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309" w:lineRule="auto"/>
        <w:rPr/>
      </w:pPr>
      <w:r/>
    </w:p>
    <w:p>
      <w:pPr>
        <w:pStyle w:val="BodyText"/>
        <w:spacing w:line="309" w:lineRule="auto"/>
        <w:rPr/>
      </w:pPr>
      <w:r/>
    </w:p>
    <w:p>
      <w:pPr>
        <w:pStyle w:val="BodyText"/>
        <w:spacing w:line="310" w:lineRule="auto"/>
        <w:rPr/>
      </w:pPr>
      <w:r/>
    </w:p>
    <w:p>
      <w:pPr>
        <w:ind w:firstLine="6902"/>
        <w:spacing w:line="946" w:lineRule="exact"/>
        <w:rPr/>
      </w:pPr>
      <w:r>
        <w:drawing>
          <wp:anchor distT="0" distB="0" distL="0" distR="0" simplePos="0" relativeHeight="251658240" behindDoc="0" locked="0" layoutInCell="1" allowOverlap="1">
            <wp:simplePos x="0" y="0"/>
            <wp:positionH relativeFrom="column">
              <wp:posOffset>843100</wp:posOffset>
            </wp:positionH>
            <wp:positionV relativeFrom="paragraph">
              <wp:posOffset>6461</wp:posOffset>
            </wp:positionV>
            <wp:extent cx="1208055" cy="483451"/>
            <wp:effectExtent l="0" t="0" r="0" b="0"/>
            <wp:wrapNone/>
            <wp:docPr id="6" name="IM 6"/>
            <wp:cNvGraphicFramePr/>
            <a:graphic>
              <a:graphicData uri="http://schemas.openxmlformats.org/drawingml/2006/picture">
                <pic:pic>
                  <pic:nvPicPr>
                    <pic:cNvPr id="6" name="IM 6"/>
                    <pic:cNvPicPr/>
                  </pic:nvPicPr>
                  <pic:blipFill>
                    <a:blip r:embed="rId2"/>
                    <a:stretch>
                      <a:fillRect/>
                    </a:stretch>
                  </pic:blipFill>
                  <pic:spPr>
                    <a:xfrm rot="0">
                      <a:off x="0" y="0"/>
                      <a:ext cx="1208055" cy="483451"/>
                    </a:xfrm>
                    <a:prstGeom prst="rect">
                      <a:avLst/>
                    </a:prstGeom>
                  </pic:spPr>
                </pic:pic>
              </a:graphicData>
            </a:graphic>
          </wp:anchor>
        </w:drawing>
      </w:r>
      <w:r>
        <w:rPr>
          <w:position w:val="-18"/>
        </w:rPr>
        <w:drawing>
          <wp:inline distT="0" distB="0" distL="0" distR="0">
            <wp:extent cx="2593847" cy="600456"/>
            <wp:effectExtent l="0" t="0" r="0" b="0"/>
            <wp:docPr id="8" name="IM 8"/>
            <wp:cNvGraphicFramePr/>
            <a:graphic>
              <a:graphicData uri="http://schemas.openxmlformats.org/drawingml/2006/picture">
                <pic:pic>
                  <pic:nvPicPr>
                    <pic:cNvPr id="8" name="IM 8"/>
                    <pic:cNvPicPr/>
                  </pic:nvPicPr>
                  <pic:blipFill>
                    <a:blip r:embed="rId3"/>
                    <a:stretch>
                      <a:fillRect/>
                    </a:stretch>
                  </pic:blipFill>
                  <pic:spPr>
                    <a:xfrm rot="0">
                      <a:off x="0" y="0"/>
                      <a:ext cx="2593847" cy="600456"/>
                    </a:xfrm>
                    <a:prstGeom prst="rect">
                      <a:avLst/>
                    </a:prstGeom>
                  </pic:spPr>
                </pic:pic>
              </a:graphicData>
            </a:graphic>
          </wp:inline>
        </w:drawing>
      </w:r>
    </w:p>
    <w:p>
      <w:pPr>
        <w:ind w:firstLine="1335"/>
        <w:spacing w:before="30" w:line="381" w:lineRule="exact"/>
        <w:rPr/>
      </w:pPr>
      <w:r>
        <w:rPr>
          <w:position w:val="-7"/>
        </w:rPr>
        <w:pict>
          <v:group id="_x0000_s2" style="mso-position-vertical-relative:line;mso-position-horizontal-relative:char;width:60.6pt;height:19.05pt;" filled="false" stroked="false" coordsize="1211,380" coordorigin="0,0">
            <v:shape id="_x0000_s4" style="position:absolute;left:0;top:0;width:1211;height:380;" filled="false" stroked="false" type="#_x0000_t75">
              <v:imagedata o:title="" r:id="rId4"/>
            </v:shape>
            <v:shape id="_x0000_s6" style="position:absolute;left:0;top:-17;width:709;height:330;" filled="false" stroked="false" type="#_x0000_t202">
              <v:fill on="false"/>
              <v:stroke on="false"/>
              <v:path/>
              <v:imagedata o:title=""/>
              <o:lock v:ext="edit" aspectratio="false"/>
              <v:textbox inset="0mm,0mm,0mm,0mm">
                <w:txbxContent>
                  <w:p>
                    <w:pPr>
                      <w:ind w:left="20"/>
                      <w:spacing w:before="20" w:line="200"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00338D"/>
                        <w:position w:val="-1"/>
                      </w:rPr>
                      <w:t>上</w:t>
                    </w:r>
                  </w:p>
                  <w:p>
                    <w:pPr>
                      <w:ind w:firstLine="418"/>
                      <w:spacing w:before="60" w:line="30" w:lineRule="exact"/>
                      <w:rPr/>
                    </w:pPr>
                    <w:r>
                      <w:rPr/>
                      <w:drawing>
                        <wp:inline distT="0" distB="0" distL="0" distR="0">
                          <wp:extent cx="171461" cy="18714"/>
                          <wp:effectExtent l="0" t="0" r="0" b="0"/>
                          <wp:docPr id="10" name="IM 10"/>
                          <wp:cNvGraphicFramePr/>
                          <a:graphic>
                            <a:graphicData uri="http://schemas.openxmlformats.org/drawingml/2006/picture">
                              <pic:pic>
                                <pic:nvPicPr>
                                  <pic:cNvPr id="10" name="IM 10"/>
                                  <pic:cNvPicPr/>
                                </pic:nvPicPr>
                                <pic:blipFill>
                                  <a:blip r:embed="rId5"/>
                                  <a:stretch>
                                    <a:fillRect/>
                                  </a:stretch>
                                </pic:blipFill>
                                <pic:spPr>
                                  <a:xfrm rot="0">
                                    <a:off x="0" y="0"/>
                                    <a:ext cx="171461" cy="18714"/>
                                  </a:xfrm>
                                  <a:prstGeom prst="rect">
                                    <a:avLst/>
                                  </a:prstGeom>
                                </pic:spPr>
                              </pic:pic>
                            </a:graphicData>
                          </a:graphic>
                        </wp:inline>
                      </w:drawing>
                    </w:r>
                  </w:p>
                </w:txbxContent>
              </v:textbox>
            </v:shape>
            <v:shape id="_x0000_s8" style="position:absolute;left:1116;top:0;width:76;height:59;" filled="false" stroked="false" type="#_x0000_t75">
              <v:imagedata o:title="" r:id="rId6"/>
            </v:shape>
          </v:group>
        </w:pict>
      </w:r>
    </w:p>
    <w:p>
      <w:pPr>
        <w:pStyle w:val="BodyText"/>
        <w:spacing w:line="479" w:lineRule="auto"/>
        <w:rPr/>
      </w:pPr>
      <w:r/>
    </w:p>
    <w:p>
      <w:pPr>
        <w:ind w:left="1296"/>
        <w:spacing w:before="682" w:line="169" w:lineRule="auto"/>
        <w:outlineLvl w:val="0"/>
        <w:rPr>
          <w:rFonts w:ascii="Microsoft YaHei" w:hAnsi="Microsoft YaHei" w:eastAsia="Microsoft YaHei" w:cs="Microsoft YaHei"/>
          <w:sz w:val="159"/>
          <w:szCs w:val="159"/>
        </w:rPr>
      </w:pPr>
      <w:r>
        <w:rPr>
          <w:rFonts w:ascii="Microsoft YaHei" w:hAnsi="Microsoft YaHei" w:eastAsia="Microsoft YaHei" w:cs="Microsoft YaHei"/>
          <w:sz w:val="159"/>
          <w:szCs w:val="159"/>
          <w:b/>
          <w:bCs/>
          <w:color w:val="00338D"/>
          <w:spacing w:val="14"/>
        </w:rPr>
        <w:t>新型储能</w:t>
      </w:r>
    </w:p>
    <w:p>
      <w:pPr>
        <w:ind w:left="1294"/>
        <w:spacing w:before="11" w:line="178" w:lineRule="auto"/>
        <w:rPr>
          <w:rFonts w:ascii="Microsoft YaHei" w:hAnsi="Microsoft YaHei" w:eastAsia="Microsoft YaHei" w:cs="Microsoft YaHei"/>
          <w:sz w:val="159"/>
          <w:szCs w:val="159"/>
        </w:rPr>
      </w:pPr>
      <w:r>
        <w:rPr>
          <w:rFonts w:ascii="Microsoft YaHei" w:hAnsi="Microsoft YaHei" w:eastAsia="Microsoft YaHei" w:cs="Microsoft YaHei"/>
          <w:sz w:val="159"/>
          <w:szCs w:val="159"/>
          <w:b/>
          <w:bCs/>
          <w:color w:val="00338D"/>
          <w:spacing w:val="20"/>
        </w:rPr>
        <w:t>助力能源转型</w:t>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1319"/>
        <w:spacing w:before="103" w:line="215" w:lineRule="exact"/>
        <w:rPr>
          <w:rFonts w:ascii="Microsoft YaHei" w:hAnsi="Microsoft YaHei" w:eastAsia="Microsoft YaHei" w:cs="Microsoft YaHei"/>
          <w:sz w:val="24"/>
          <w:szCs w:val="24"/>
        </w:rPr>
      </w:pPr>
      <w:r>
        <w:rPr>
          <w:rFonts w:ascii="Microsoft YaHei" w:hAnsi="Microsoft YaHei" w:eastAsia="Microsoft YaHei" w:cs="Microsoft YaHei"/>
          <w:sz w:val="24"/>
          <w:szCs w:val="24"/>
          <w:color w:val="00338D"/>
          <w:spacing w:val="-6"/>
          <w:position w:val="-3"/>
        </w:rPr>
        <w:t>2023年3月</w:t>
      </w:r>
    </w:p>
    <w:p>
      <w:pPr>
        <w:pStyle w:val="BodyText"/>
        <w:ind w:left="1310"/>
        <w:spacing w:line="232" w:lineRule="auto"/>
        <w:tabs>
          <w:tab w:val="left" w:pos="2463"/>
        </w:tabs>
        <w:rPr/>
      </w:pPr>
      <w:r>
        <w:rPr>
          <w:u w:val="single" w:color="auto"/>
        </w:rPr>
        <w:tab/>
      </w:r>
    </w:p>
    <w:p>
      <w:pPr>
        <w:ind w:left="1327"/>
        <w:spacing w:before="64" w:line="321" w:lineRule="exact"/>
        <w:rPr>
          <w:rFonts w:ascii="Calibri" w:hAnsi="Calibri" w:eastAsia="Calibri" w:cs="Calibri"/>
          <w:sz w:val="24"/>
          <w:szCs w:val="24"/>
        </w:rPr>
      </w:pPr>
      <w:r>
        <w:rPr>
          <w:rFonts w:ascii="Calibri" w:hAnsi="Calibri" w:eastAsia="Calibri" w:cs="Calibri"/>
          <w:sz w:val="24"/>
          <w:szCs w:val="24"/>
          <w:color w:val="00338D"/>
          <w:spacing w:val="-2"/>
          <w:position w:val="3"/>
        </w:rPr>
        <w:t>kpmg.com/cn</w:t>
      </w:r>
    </w:p>
    <w:p>
      <w:pPr>
        <w:spacing w:line="321" w:lineRule="exact"/>
        <w:sectPr>
          <w:headerReference w:type="default" r:id="rId1"/>
          <w:pgSz w:w="12245" w:h="17180"/>
          <w:pgMar w:top="400" w:right="0" w:bottom="0" w:left="0" w:header="0" w:footer="0" w:gutter="0"/>
        </w:sectPr>
        <w:rPr>
          <w:rFonts w:ascii="Calibri" w:hAnsi="Calibri" w:eastAsia="Calibri" w:cs="Calibri"/>
          <w:sz w:val="24"/>
          <w:szCs w:val="24"/>
        </w:rPr>
      </w:pPr>
    </w:p>
    <w:p>
      <w:pPr>
        <w:pStyle w:val="BodyText"/>
        <w:spacing w:line="243" w:lineRule="auto"/>
        <w:rPr/>
      </w:pPr>
      <w:r>
        <mc:AlternateContent xmlns:mc="http://schemas.openxmlformats.org/markup-compatibility/2006">
          <mc:Choice Requires="wps">
            <w:drawing>
              <wp:anchor distT="0" distB="0" distL="0" distR="0" simplePos="0" relativeHeight="251659264" behindDoc="1" locked="0" layoutInCell="0" allowOverlap="1">
                <wp:simplePos x="0" y="0"/>
                <wp:positionH relativeFrom="page">
                  <wp:posOffset>7772272</wp:posOffset>
                </wp:positionH>
                <wp:positionV relativeFrom="page">
                  <wp:posOffset>0</wp:posOffset>
                </wp:positionV>
                <wp:extent cx="3175" cy="10909300"/>
                <wp:effectExtent l="0" t="0" r="0" b="0"/>
                <wp:wrapNone/>
                <wp:docPr id="12" name="Rect 12"/>
                <wp:cNvGraphicFramePr/>
                <a:graphic>
                  <a:graphicData uri="http://schemas.microsoft.com/office/word/2010/wordprocessingShape">
                    <wps:wsp>
                      <wps:cNvPr id="12" name="Rect 12"/>
                      <wps:cNvSpPr/>
                      <wps:spPr>
                        <a:xfrm>
                          <a:off x="7772272" y="0"/>
                          <a:ext cx="3175" cy="109093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0" style="position:absolute;margin-left:611.99pt;margin-top:0pt;mso-position-vertical-relative:page;mso-position-horizontal-relative:page;width:0.25pt;height:859pt;z-index:-251657216;" o:allowincell="f" fillcolor="#000000" filled="true" stroked="false"/>
            </w:pict>
          </mc:Fallback>
        </mc:AlternateContent>
      </w:r>
      <w:r>
        <w:drawing>
          <wp:anchor distT="0" distB="0" distL="0" distR="0" simplePos="0" relativeHeight="251663360" behindDoc="0" locked="0" layoutInCell="0" allowOverlap="1">
            <wp:simplePos x="0" y="0"/>
            <wp:positionH relativeFrom="page">
              <wp:posOffset>3734602</wp:posOffset>
            </wp:positionH>
            <wp:positionV relativeFrom="page">
              <wp:posOffset>0</wp:posOffset>
            </wp:positionV>
            <wp:extent cx="2909939" cy="1078742"/>
            <wp:effectExtent l="0" t="0" r="0" b="0"/>
            <wp:wrapNone/>
            <wp:docPr id="14" name="IM 14"/>
            <wp:cNvGraphicFramePr/>
            <a:graphic>
              <a:graphicData uri="http://schemas.openxmlformats.org/drawingml/2006/picture">
                <pic:pic>
                  <pic:nvPicPr>
                    <pic:cNvPr id="14" name="IM 14"/>
                    <pic:cNvPicPr/>
                  </pic:nvPicPr>
                  <pic:blipFill>
                    <a:blip r:embed="rId8"/>
                    <a:stretch>
                      <a:fillRect/>
                    </a:stretch>
                  </pic:blipFill>
                  <pic:spPr>
                    <a:xfrm rot="0">
                      <a:off x="0" y="0"/>
                      <a:ext cx="2909939" cy="1078742"/>
                    </a:xfrm>
                    <a:prstGeom prst="rect">
                      <a:avLst/>
                    </a:prstGeom>
                  </pic:spPr>
                </pic:pic>
              </a:graphicData>
            </a:graphic>
          </wp:anchor>
        </w:drawing>
      </w:r>
      <w:r/>
    </w:p>
    <w:p>
      <w:pPr>
        <w:ind w:left="1026"/>
        <w:spacing w:before="77" w:line="178" w:lineRule="auto"/>
        <w:rPr>
          <w:rFonts w:ascii="Microsoft YaHei" w:hAnsi="Microsoft YaHei" w:eastAsia="Microsoft YaHei" w:cs="Microsoft YaHei"/>
          <w:sz w:val="18"/>
          <w:szCs w:val="18"/>
        </w:rPr>
      </w:pPr>
      <w:r>
        <w:drawing>
          <wp:anchor distT="0" distB="0" distL="0" distR="0" simplePos="0" relativeHeight="251660288" behindDoc="1" locked="0" layoutInCell="1" allowOverlap="1">
            <wp:simplePos x="0" y="0"/>
            <wp:positionH relativeFrom="column">
              <wp:posOffset>0</wp:posOffset>
            </wp:positionH>
            <wp:positionV relativeFrom="paragraph">
              <wp:posOffset>-409446</wp:posOffset>
            </wp:positionV>
            <wp:extent cx="7775447" cy="10908789"/>
            <wp:effectExtent l="0" t="0" r="0" b="0"/>
            <wp:wrapNone/>
            <wp:docPr id="16" name="IM 16"/>
            <wp:cNvGraphicFramePr/>
            <a:graphic>
              <a:graphicData uri="http://schemas.openxmlformats.org/drawingml/2006/picture">
                <pic:pic>
                  <pic:nvPicPr>
                    <pic:cNvPr id="16" name="IM 16"/>
                    <pic:cNvPicPr/>
                  </pic:nvPicPr>
                  <pic:blipFill>
                    <a:blip r:embed="rId9"/>
                    <a:stretch>
                      <a:fillRect/>
                    </a:stretch>
                  </pic:blipFill>
                  <pic:spPr>
                    <a:xfrm rot="0">
                      <a:off x="0" y="0"/>
                      <a:ext cx="7775447" cy="10908789"/>
                    </a:xfrm>
                    <a:prstGeom prst="rect">
                      <a:avLst/>
                    </a:prstGeom>
                  </pic:spPr>
                </pic:pic>
              </a:graphicData>
            </a:graphic>
          </wp:anchor>
        </w:drawing>
      </w:r>
      <w:r>
        <w:rPr>
          <w:rFonts w:ascii="Microsoft YaHei" w:hAnsi="Microsoft YaHei" w:eastAsia="Microsoft YaHei" w:cs="Microsoft YaHei"/>
          <w:sz w:val="18"/>
          <w:szCs w:val="18"/>
          <w:b/>
          <w:bCs/>
          <w:color w:val="A8A8A8"/>
          <w:spacing w:val="-2"/>
        </w:rPr>
        <w:t>1</w:t>
      </w:r>
      <w:r>
        <w:rPr>
          <w:rFonts w:ascii="Microsoft YaHei" w:hAnsi="Microsoft YaHei" w:eastAsia="Microsoft YaHei" w:cs="Microsoft YaHei"/>
          <w:sz w:val="18"/>
          <w:szCs w:val="18"/>
          <w:b/>
          <w:bCs/>
          <w:color w:val="A8A8A8"/>
          <w:spacing w:val="7"/>
        </w:rPr>
        <w:t xml:space="preserve">      </w:t>
      </w:r>
      <w:r>
        <w:rPr>
          <w:rFonts w:ascii="Microsoft YaHei" w:hAnsi="Microsoft YaHei" w:eastAsia="Microsoft YaHei" w:cs="Microsoft YaHei"/>
          <w:sz w:val="18"/>
          <w:szCs w:val="18"/>
          <w:color w:val="A8A8A8"/>
          <w:spacing w:val="-2"/>
        </w:rPr>
        <w:t>新型储能助力能源转型</w:t>
      </w:r>
    </w:p>
    <w:p>
      <w:pPr>
        <w:pStyle w:val="BodyText"/>
        <w:spacing w:line="253" w:lineRule="auto"/>
        <w:rPr/>
      </w:pPr>
      <w:r>
        <w:pict>
          <v:group id="_x0000_s12" style="position:absolute;margin-left:440.621pt;margin-top:11.4836pt;mso-position-vertical-relative:text;mso-position-horizontal-relative:text;width:95.6pt;height:92.85pt;z-index:251662336;" filled="false" stroked="false" coordsize="1911,1856" coordorigin="0,0">
            <v:shape id="_x0000_s14" style="position:absolute;left:0;top:0;width:1911;height:1856;" filled="false" strokecolor="#1E49E2" strokeweight="0.75pt" coordsize="1911,1856" coordorigin="0,0" path="m1274,7c1767,183,2024,725,1848,1219c1672,1712,1130,1969,637,1793c143,1617,-113,1075,62,582c238,88,781,-168,1274,7e">
              <v:stroke joinstyle="miter"/>
            </v:shape>
            <v:shape id="_x0000_s16" style="position:absolute;left:533;top:270;width:926;height:1183;" fillcolor="#1E49E2" filled="true" stroked="false" coordsize="926,1183" coordorigin="0,0" path="m295,868l295,846c272,846,253,827,253,804l253,424c253,323,290,240,337,175c384,109,440,63,475,39l463,22l451,39c486,63,542,109,589,174c635,239,672,323,673,424l673,804c673,827,654,846,631,846l295,846l295,868l295,889l631,889c677,889,715,851,715,804l715,424c715,312,673,220,623,149c573,79,513,31,475,4c468,0,458,0,451,4c413,31,354,79,303,150c252,220,211,312,211,424l211,804c211,851,248,889,295,889l295,868xem228,783l221,764l41,837l41,686c41,649,60,614,92,595l208,525l208,783l228,783l221,764l228,783l249,783l249,487c249,480,245,473,239,469c232,465,224,465,218,469l70,559c26,586,0,634,0,686l0,868c0,875,3,881,9,885c14,889,22,890,28,887l236,803c244,800,249,792,249,783l228,783l228,783xem693,783l685,803l897,887c903,890,911,889,917,885c922,881,926,875,926,868l926,686c926,634,899,586,854,559l704,469c697,465,689,465,682,469c676,473,672,480,672,487l672,783c672,792,677,800,685,803l693,783l714,783l714,525l832,595c864,614,884,649,884,686l884,837l701,764l693,783l714,783l693,783xem686,696l896,778l912,740l701,658em224,658l9,740l25,778l240,696em545,404l524,404c524,439,495,467,460,467c425,467,397,439,397,404c397,369,425,341,460,341c495,341,524,369,524,404l545,404l566,404c566,346,519,298,460,298c402,298,355,346,355,404c355,462,402,510,460,510c519,510,566,462,566,404l545,404xem569,950l569,929l356,929c344,929,335,919,335,908l335,887l591,887l591,908c591,919,581,929,569,929l569,950l569,970c605,970,633,942,633,908l633,866c633,861,631,856,627,852c623,848,617,846,612,846l314,846c308,846,303,848,298,852c295,856,292,861,292,866l292,908c292,942,321,970,356,970l569,970l569,950xem484,1077l484,1035c484,1023,475,1014,463,1014c451,1014,441,1023,441,1035l441,1077c441,1088,451,1098,463,1098c475,1098,484,1088,484,1077m484,1161l484,1161c484,1149,475,1140,463,1140c451,1140,441,1149,441,1161c441,1172,451,1182,463,1182c475,1182,484,1172,484,1161em843,1114c823,1069,778,1038,726,1038c704,1038,684,1043,666,1052l676,1071l693,1058c691,1055,688,1051,684,1047c663,1027,636,1016,609,1016c595,1016,582,1019,569,1024l570,1026l570,1024l569,1024l570,1026l570,1024l570,1025l570,1024l570,1024l570,1026l570,1024l570,1024l570,1023l570,953c570,941,560,932,549,932c537,932,528,941,528,953l528,1023c528,1035,532,1046,540,1054c547,1061,558,1066,570,1066c575,1066,580,1065,585,1063c592,1060,601,1059,609,1059c625,1059,642,1065,654,1077c655,1078,657,1081,659,1084c666,1092,677,1095,686,1090c698,1083,711,1080,726,1080c761,1080,790,1101,804,1131c808,1141,821,1146,832,1141c842,1137,847,1124,843,1114em122,1130c135,1101,165,1080,200,1080c214,1080,227,1083,239,1090c249,1094,260,1092,266,1084c269,1080,270,1078,271,1077c284,1065,300,1059,317,1059c325,1059,333,1060,341,1063c345,1065,351,1066,356,1066c367,1066,378,1061,385,1054c393,1046,398,1035,398,1023l398,953c398,941,388,932,377,932c365,932,356,941,356,953l356,1023l355,1024l355,1024l356,1025l356,1024l355,1024l356,1025l356,1024l356,1026l356,1024l356,1024l356,1026l356,1024c344,1019,330,1016,317,1016c290,1016,262,1027,242,1047c237,1051,234,1055,232,1058l249,1071l259,1052c242,1043,221,1037,200,1037c148,1037,103,1069,83,1113c78,1124,83,1137,94,1141c104,1146,117,1141,122,1130em105,254l105,233c105,221,95,212,84,212c72,212,62,221,62,233l62,254c62,265,72,274,84,274c95,274,105,265,105,254em105,148l105,127c105,116,95,106,84,106c72,106,62,116,62,127l62,148c62,159,72,169,84,169c95,169,105,159,105,148em147,169l126,169c114,169,105,178,105,190c105,202,114,212,126,212l147,212c158,212,168,202,168,190c168,178,158,169,147,169em41,169l20,169c9,169,0,178,0,190c0,202,9,212,20,212l41,212c53,212,62,202,62,190c62,178,53,169,41,169em864,359l864,338c864,327,854,318,842,318c830,318,820,327,820,338l820,359c820,371,830,380,842,380c854,380,864,371,864,359em864,254l864,233c864,221,854,212,842,212c830,212,820,221,820,233l820,254c820,265,830,274,842,274c854,274,864,265,864,254em905,274l884,274c873,274,864,284,864,296c864,308,873,318,884,318l905,318c917,318,926,308,926,296c926,284,917,274,905,274em800,274l779,274c767,274,758,284,758,296c758,308,767,318,779,318l800,318c811,318,820,308,820,296c820,284,811,274,800,274e"/>
          </v:group>
        </w:pict>
      </w:r>
      <w:r>
        <w:pict>
          <v:group id="_x0000_s18" style="position:absolute;margin-left:440.496pt;margin-top:8.60065pt;mso-position-vertical-relative:text;mso-position-horizontal-relative:text;width:95.85pt;height:95.85pt;z-index:251661312;" filled="false" stroked="false" coordsize="1916,1916" coordorigin="0,0">
            <v:shape id="_x0000_s20" style="position:absolute;left:0;top:0;width:1916;height:1916;" fillcolor="#ACEAFF" filled="true" stroked="false" coordsize="1916,1916" coordorigin="0,0" path="m1276,65c1770,241,2027,783,1851,1276c1675,1770,1132,2027,639,1851c146,1675,-110,1132,65,639c241,146,783,-110,1276,65e">
              <v:fill opacity="0.301961"/>
            </v:shape>
            <v:shape id="_x0000_s22" style="position:absolute;left:866;top:454;width:265;height:764;" fillcolor="#1E49E2" filled="true" stroked="false" coordsize="265,764" coordorigin="0,0" path="m110,486l110,741c110,753,120,763,131,763c143,763,153,753,153,741l153,486c153,475,143,465,131,465c120,465,110,475,110,486em0,43l264,43l264,0l0,0e"/>
          </v:group>
        </w:pict>
      </w:r>
      <w:r/>
    </w:p>
    <w:p>
      <w:pPr>
        <w:pStyle w:val="BodyText"/>
        <w:spacing w:line="253" w:lineRule="auto"/>
        <w:rPr/>
      </w:pPr>
      <w:r/>
    </w:p>
    <w:p>
      <w:pPr>
        <w:pStyle w:val="BodyText"/>
        <w:spacing w:line="253" w:lineRule="auto"/>
        <w:rPr/>
      </w:pPr>
      <w:r/>
    </w:p>
    <w:p>
      <w:pPr>
        <w:pStyle w:val="BodyText"/>
        <w:spacing w:line="254" w:lineRule="auto"/>
        <w:rPr/>
      </w:pPr>
      <w:r/>
    </w:p>
    <w:p>
      <w:pPr>
        <w:ind w:left="1306"/>
        <w:spacing w:before="463" w:line="179" w:lineRule="auto"/>
        <w:outlineLvl w:val="0"/>
        <w:rPr>
          <w:rFonts w:ascii="Microsoft YaHei" w:hAnsi="Microsoft YaHei" w:eastAsia="Microsoft YaHei" w:cs="Microsoft YaHei"/>
          <w:sz w:val="108"/>
          <w:szCs w:val="108"/>
        </w:rPr>
      </w:pPr>
      <w:r>
        <w:rPr>
          <w:rFonts w:ascii="Microsoft YaHei" w:hAnsi="Microsoft YaHei" w:eastAsia="Microsoft YaHei" w:cs="Microsoft YaHei"/>
          <w:sz w:val="108"/>
          <w:szCs w:val="108"/>
          <w:b/>
          <w:bCs/>
          <w:color w:val="00338D"/>
          <w:spacing w:val="-7"/>
        </w:rPr>
        <w:t>摘要</w:t>
      </w:r>
    </w:p>
    <w:p>
      <w:pPr>
        <w:ind w:left="1310" w:right="2829" w:firstLine="1"/>
        <w:spacing w:before="73" w:line="219"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大力发展储能对提高可再生能源利用率</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，实现“</w:t>
      </w:r>
      <w:r>
        <w:rPr>
          <w:rFonts w:ascii="Microsoft YaHei" w:hAnsi="Microsoft YaHei" w:eastAsia="Microsoft YaHei" w:cs="Microsoft YaHei"/>
          <w:sz w:val="21"/>
          <w:szCs w:val="21"/>
          <w:spacing w:val="1"/>
        </w:rPr>
        <w:t>双碳”</w:t>
      </w:r>
      <w:r>
        <w:rPr>
          <w:rFonts w:ascii="Microsoft YaHei" w:hAnsi="Microsoft YaHei" w:eastAsia="Microsoft YaHei" w:cs="Microsoft YaHei"/>
          <w:sz w:val="21"/>
          <w:szCs w:val="21"/>
          <w:spacing w:val="-23"/>
        </w:rPr>
        <w:t xml:space="preserve"> </w:t>
      </w:r>
      <w:r>
        <w:rPr>
          <w:rFonts w:ascii="Microsoft YaHei" w:hAnsi="Microsoft YaHei" w:eastAsia="Microsoft YaHei" w:cs="Microsoft YaHei"/>
          <w:sz w:val="21"/>
          <w:szCs w:val="21"/>
          <w:spacing w:val="1"/>
        </w:rPr>
        <w:t>目标</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，建立新型电力体系具有</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重要意义。2022年1月发改委、</w:t>
      </w:r>
      <w:r>
        <w:rPr>
          <w:rFonts w:ascii="Microsoft YaHei" w:hAnsi="Microsoft YaHei" w:eastAsia="Microsoft YaHei" w:cs="Microsoft YaHei"/>
          <w:sz w:val="21"/>
          <w:szCs w:val="21"/>
          <w:spacing w:val="-32"/>
        </w:rPr>
        <w:t xml:space="preserve"> </w:t>
      </w:r>
      <w:r>
        <w:rPr>
          <w:rFonts w:ascii="Microsoft YaHei" w:hAnsi="Microsoft YaHei" w:eastAsia="Microsoft YaHei" w:cs="Microsoft YaHei"/>
          <w:sz w:val="21"/>
          <w:szCs w:val="21"/>
          <w:spacing w:val="4"/>
        </w:rPr>
        <w:t>国家能源局联合</w:t>
      </w:r>
      <w:r>
        <w:rPr>
          <w:rFonts w:ascii="Microsoft YaHei" w:hAnsi="Microsoft YaHei" w:eastAsia="Microsoft YaHei" w:cs="Microsoft YaHei"/>
          <w:sz w:val="21"/>
          <w:szCs w:val="21"/>
          <w:spacing w:val="3"/>
        </w:rPr>
        <w:t>发布的《“十四五”新型储能发展实</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施方案》指出</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，新型储能是构建新型电力系统的重要技术和基础装备</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2"/>
        </w:rPr>
        <w:t>，是实现碳达峰</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碳中和目标的重要支撑</w:t>
      </w:r>
      <w:r>
        <w:rPr>
          <w:rFonts w:ascii="Microsoft YaHei" w:hAnsi="Microsoft YaHei" w:eastAsia="Microsoft YaHei" w:cs="Microsoft YaHei"/>
          <w:sz w:val="21"/>
          <w:szCs w:val="21"/>
          <w:spacing w:val="-14"/>
        </w:rPr>
        <w:t xml:space="preserve"> </w:t>
      </w:r>
      <w:r>
        <w:rPr>
          <w:rFonts w:ascii="Microsoft YaHei" w:hAnsi="Microsoft YaHei" w:eastAsia="Microsoft YaHei" w:cs="Microsoft YaHei"/>
          <w:sz w:val="21"/>
          <w:szCs w:val="21"/>
          <w:spacing w:val="2"/>
        </w:rPr>
        <w:t>，也是催生国内能源新业态、抢占国际战略新高地的重要领域。</w:t>
      </w:r>
    </w:p>
    <w:p>
      <w:pPr>
        <w:ind w:left="1309" w:right="2997" w:firstLine="2"/>
        <w:spacing w:before="255" w:line="219"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本报告从储能的定义和发展背景入手</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4"/>
        </w:rPr>
        <w:t>，对各种</w:t>
      </w:r>
      <w:r>
        <w:rPr>
          <w:rFonts w:ascii="Microsoft YaHei" w:hAnsi="Microsoft YaHei" w:eastAsia="Microsoft YaHei" w:cs="Microsoft YaHei"/>
          <w:sz w:val="21"/>
          <w:szCs w:val="21"/>
          <w:spacing w:val="3"/>
        </w:rPr>
        <w:t>储能方式、全球和中国储能产业规模进</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行了比较</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4"/>
        </w:rPr>
        <w:t>，进而对不同应用场景下储能的商业模式、</w:t>
      </w:r>
      <w:r>
        <w:rPr>
          <w:rFonts w:ascii="Microsoft YaHei" w:hAnsi="Microsoft YaHei" w:eastAsia="Microsoft YaHei" w:cs="Microsoft YaHei"/>
          <w:sz w:val="21"/>
          <w:szCs w:val="21"/>
          <w:spacing w:val="3"/>
        </w:rPr>
        <w:t>企业布局、行业投融资等进行了</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深入分析，并对行业未来所面临的机遇和挑战进行了展</w:t>
      </w:r>
      <w:r>
        <w:rPr>
          <w:rFonts w:ascii="Microsoft YaHei" w:hAnsi="Microsoft YaHei" w:eastAsia="Microsoft YaHei" w:cs="Microsoft YaHei"/>
          <w:sz w:val="21"/>
          <w:szCs w:val="21"/>
          <w:spacing w:val="-1"/>
        </w:rPr>
        <w:t>望。主要发现包括：</w:t>
      </w:r>
    </w:p>
    <w:p>
      <w:pPr>
        <w:pStyle w:val="BodyText"/>
        <w:spacing w:line="323" w:lineRule="auto"/>
        <w:rPr/>
      </w:pPr>
      <w:r/>
    </w:p>
    <w:p>
      <w:pPr>
        <w:ind w:firstLine="1300"/>
        <w:spacing w:before="1" w:line="1709" w:lineRule="exact"/>
        <w:rPr/>
      </w:pPr>
      <w:r>
        <w:rPr>
          <w:position w:val="-34"/>
        </w:rPr>
        <w:pict>
          <v:group id="_x0000_s24" style="mso-position-vertical-relative:line;mso-position-horizontal-relative:char;width:397pt;height:85.45pt;" filled="false" stroked="false" coordsize="7940,1708" coordorigin="0,0">
            <v:rect id="_x0000_s26" style="position:absolute;left:0;top:0;width:7940;height:1708;" fillcolor="#F1F1F1" filled="true" stroked="false"/>
            <v:shape id="_x0000_s28" style="position:absolute;left:1512;top:228;width:6169;height:1231;" filled="false" stroked="false" type="#_x0000_t202">
              <v:fill on="false"/>
              <v:stroke on="false"/>
              <v:path/>
              <v:imagedata o:title=""/>
              <o:lock v:ext="edit" aspectratio="false"/>
              <v:textbox inset="0mm,0mm,0mm,0mm">
                <w:txbxContent>
                  <w:p>
                    <w:pPr>
                      <w:ind w:left="20"/>
                      <w:spacing w:before="18" w:line="180" w:lineRule="auto"/>
                      <w:rPr>
                        <w:rFonts w:ascii="Microsoft YaHei" w:hAnsi="Microsoft YaHei" w:eastAsia="Microsoft YaHei" w:cs="Microsoft YaHei"/>
                        <w:sz w:val="48"/>
                        <w:szCs w:val="48"/>
                      </w:rPr>
                    </w:pPr>
                    <w:r>
                      <w:rPr>
                        <w:rFonts w:ascii="Microsoft YaHei" w:hAnsi="Microsoft YaHei" w:eastAsia="Microsoft YaHei" w:cs="Microsoft YaHei"/>
                        <w:sz w:val="48"/>
                        <w:szCs w:val="48"/>
                        <w:b/>
                        <w:bCs/>
                        <w:color w:val="00338D"/>
                        <w:spacing w:val="-2"/>
                      </w:rPr>
                      <w:t>储能市场概况</w:t>
                    </w:r>
                  </w:p>
                  <w:p>
                    <w:pPr>
                      <w:ind w:left="41" w:right="20" w:firstLine="20"/>
                      <w:spacing w:before="49" w:line="20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目前在电力系统的储能项目中，抽水蓄能仍是主要方式</w:t>
                    </w:r>
                    <w:r>
                      <w:rPr>
                        <w:rFonts w:ascii="Microsoft YaHei" w:hAnsi="Microsoft YaHei" w:eastAsia="Microsoft YaHei" w:cs="Microsoft YaHei"/>
                        <w:sz w:val="21"/>
                        <w:szCs w:val="21"/>
                        <w:spacing w:val="-1"/>
                      </w:rPr>
                      <w:t>，但以电化</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学储能为代表的多种新型储能方式正迅速发展且前景广阔。</w:t>
                    </w:r>
                  </w:p>
                </w:txbxContent>
              </v:textbox>
            </v:shape>
            <v:shape id="_x0000_s30" style="position:absolute;left:94;top:190;width:1323;height:1323;" filled="false" stroked="false" type="#_x0000_t75">
              <v:imagedata o:title="" r:id="rId10"/>
            </v:shape>
            <v:shape id="_x0000_s32" style="position:absolute;left:580;top:591;width:547;height:637;" fillcolor="#00338D" filled="true" stroked="false" coordsize="547,637" coordorigin="0,0" path="m0,181l254,181l254,205l0,205l0,181xem0,301l254,301l254,325l0,325l0,301xem0,416l254,416l254,440l0,440l0,416xem416,411c413,411,411,410,409,408c305,323,303,240,319,185c325,164,338,146,350,132c366,114,378,97,387,79c402,48,406,34,406,28c408,7,420,4,426,3c456,0,502,67,522,129c541,185,568,324,422,409c420,410,418,411,416,411m430,30c428,44,421,64,408,90c398,110,385,128,368,148c357,161,346,175,342,192c321,260,347,324,417,384c527,316,520,213,506,156c487,82,444,32,430,27c430,28,430,29,430,30em256,637l139,637l139,613l256,613c338,613,405,546,405,464l412,185l436,186l429,465c429,559,351,637,256,637e"/>
            <v:shape id="_x0000_s34" style="position:absolute;left:571;top:460;width:278;height:145;" fillcolor="#00338D" filled="true" stroked="false" coordsize="278,145" coordorigin="0,0" path="m278,144l0,144l0,30c0,13,13,0,29,0l248,0c264,0,278,13,278,30l278,144xm24,119l254,119l254,30c254,27,251,24,248,24l29,24c26,24,24,27,24,30l24,119xe"/>
          </v:group>
        </w:pict>
      </w:r>
    </w:p>
    <w:p>
      <w:pPr>
        <w:pStyle w:val="BodyText"/>
        <w:spacing w:line="242" w:lineRule="auto"/>
        <w:rPr/>
      </w:pPr>
      <w:r/>
    </w:p>
    <w:p>
      <w:pPr>
        <w:pStyle w:val="BodyText"/>
        <w:ind w:left="1577" w:right="3003" w:hanging="262"/>
        <w:spacing w:before="103" w:line="211" w:lineRule="auto"/>
        <w:rPr>
          <w:rFonts w:ascii="Microsoft YaHei" w:hAnsi="Microsoft YaHei" w:eastAsia="Microsoft YaHei" w:cs="Microsoft YaHei"/>
        </w:rPr>
      </w:pPr>
      <w:r>
        <w:rPr>
          <w:sz w:val="24"/>
          <w:szCs w:val="24"/>
          <w:color w:val="00338D"/>
          <w:spacing w:val="4"/>
        </w:rPr>
        <w:t>•</w:t>
      </w:r>
      <w:r>
        <w:rPr>
          <w:sz w:val="24"/>
          <w:szCs w:val="24"/>
          <w:color w:val="00338D"/>
          <w:spacing w:val="28"/>
        </w:rPr>
        <w:t xml:space="preserve">  </w:t>
      </w:r>
      <w:r>
        <w:rPr>
          <w:rFonts w:ascii="Microsoft YaHei" w:hAnsi="Microsoft YaHei" w:eastAsia="Microsoft YaHei" w:cs="Microsoft YaHei"/>
          <w:sz w:val="24"/>
          <w:szCs w:val="24"/>
          <w:b/>
          <w:bCs/>
          <w:color w:val="00338D"/>
          <w:spacing w:val="4"/>
        </w:rPr>
        <w:t>抽水蓄能仍为主流但未来发展空间可能受</w:t>
      </w:r>
      <w:r>
        <w:rPr>
          <w:rFonts w:ascii="Microsoft YaHei" w:hAnsi="Microsoft YaHei" w:eastAsia="Microsoft YaHei" w:cs="Microsoft YaHei"/>
          <w:sz w:val="24"/>
          <w:szCs w:val="24"/>
          <w:b/>
          <w:bCs/>
          <w:color w:val="00338D"/>
          <w:spacing w:val="3"/>
        </w:rPr>
        <w:t>限。</w:t>
      </w:r>
      <w:r>
        <w:rPr>
          <w:rFonts w:ascii="Microsoft YaHei" w:hAnsi="Microsoft YaHei" w:eastAsia="Microsoft YaHei" w:cs="Microsoft YaHei"/>
          <w:spacing w:val="3"/>
        </w:rPr>
        <w:t>抽水蓄能具有技术成熟、储能</w:t>
      </w:r>
      <w:r>
        <w:rPr>
          <w:rFonts w:ascii="Microsoft YaHei" w:hAnsi="Microsoft YaHei" w:eastAsia="Microsoft YaHei" w:cs="Microsoft YaHei"/>
          <w:spacing w:val="1"/>
        </w:rPr>
        <w:t xml:space="preserve"> </w:t>
      </w:r>
      <w:r>
        <w:rPr>
          <w:rFonts w:ascii="Microsoft YaHei" w:hAnsi="Microsoft YaHei" w:eastAsia="Microsoft YaHei" w:cs="Microsoft YaHei"/>
          <w:spacing w:val="2"/>
        </w:rPr>
        <w:t>容量大、系统效率高、运行寿命长、安全性能高等优势，是当前商业化程度</w:t>
      </w:r>
      <w:r>
        <w:rPr>
          <w:rFonts w:ascii="Microsoft YaHei" w:hAnsi="Microsoft YaHei" w:eastAsia="Microsoft YaHei" w:cs="Microsoft YaHei"/>
          <w:spacing w:val="1"/>
        </w:rPr>
        <w:t>较高、</w:t>
      </w:r>
      <w:r>
        <w:rPr>
          <w:rFonts w:ascii="Microsoft YaHei" w:hAnsi="Microsoft YaHei" w:eastAsia="Microsoft YaHei" w:cs="Microsoft YaHei"/>
        </w:rPr>
        <w:t xml:space="preserve"> </w:t>
      </w:r>
      <w:r>
        <w:rPr>
          <w:rFonts w:ascii="Microsoft YaHei" w:hAnsi="Microsoft YaHei" w:eastAsia="Microsoft YaHei" w:cs="Microsoft YaHei"/>
          <w:spacing w:val="2"/>
        </w:rPr>
        <w:t>应用范围较广的主流储能技术。</w:t>
      </w:r>
      <w:r>
        <w:rPr>
          <w:rFonts w:ascii="Microsoft YaHei" w:hAnsi="Microsoft YaHei" w:eastAsia="Microsoft YaHei" w:cs="Microsoft YaHei"/>
          <w:spacing w:val="-40"/>
        </w:rPr>
        <w:t xml:space="preserve"> </w:t>
      </w:r>
      <w:r>
        <w:rPr>
          <w:rFonts w:ascii="Microsoft YaHei" w:hAnsi="Microsoft YaHei" w:eastAsia="Microsoft YaHei" w:cs="Microsoft YaHei"/>
          <w:spacing w:val="2"/>
        </w:rPr>
        <w:t>从国际市场来看，抽水储能占据绝对领先地位，截</w:t>
      </w:r>
      <w:r>
        <w:rPr>
          <w:rFonts w:ascii="Microsoft YaHei" w:hAnsi="Microsoft YaHei" w:eastAsia="Microsoft YaHei" w:cs="Microsoft YaHei"/>
        </w:rPr>
        <w:t xml:space="preserve"> </w:t>
      </w:r>
      <w:r>
        <w:rPr>
          <w:rFonts w:ascii="Microsoft YaHei" w:hAnsi="Microsoft YaHei" w:eastAsia="Microsoft YaHei" w:cs="Microsoft YaHei"/>
        </w:rPr>
        <w:t>至2020年底，抽水蓄能装机规模占电力储能项目总规模的94%。</w:t>
      </w:r>
      <w:r>
        <w:rPr>
          <w:rFonts w:ascii="Microsoft YaHei" w:hAnsi="Microsoft YaHei" w:eastAsia="Microsoft YaHei" w:cs="Microsoft YaHei"/>
          <w:spacing w:val="-1"/>
        </w:rPr>
        <w:t>但抽水蓄能电站的</w:t>
      </w:r>
      <w:r>
        <w:rPr>
          <w:rFonts w:ascii="Microsoft YaHei" w:hAnsi="Microsoft YaHei" w:eastAsia="Microsoft YaHei" w:cs="Microsoft YaHei"/>
        </w:rPr>
        <w:t xml:space="preserve"> </w:t>
      </w:r>
      <w:r>
        <w:rPr>
          <w:rFonts w:ascii="Microsoft YaHei" w:hAnsi="Microsoft YaHei" w:eastAsia="Microsoft YaHei" w:cs="Microsoft YaHei"/>
          <w:spacing w:val="2"/>
        </w:rPr>
        <w:t>建设受地形因素限制较大</w:t>
      </w:r>
      <w:r>
        <w:rPr>
          <w:rFonts w:ascii="Microsoft YaHei" w:hAnsi="Microsoft YaHei" w:eastAsia="Microsoft YaHei" w:cs="Microsoft YaHei"/>
          <w:spacing w:val="-16"/>
        </w:rPr>
        <w:t xml:space="preserve"> </w:t>
      </w:r>
      <w:r>
        <w:rPr>
          <w:rFonts w:ascii="Microsoft YaHei" w:hAnsi="Microsoft YaHei" w:eastAsia="Microsoft YaHei" w:cs="Microsoft YaHei"/>
          <w:spacing w:val="2"/>
        </w:rPr>
        <w:t>，且建设周期较长</w:t>
      </w:r>
      <w:r>
        <w:rPr>
          <w:rFonts w:ascii="Microsoft YaHei" w:hAnsi="Microsoft YaHei" w:eastAsia="Microsoft YaHei" w:cs="Microsoft YaHei"/>
          <w:spacing w:val="-28"/>
        </w:rPr>
        <w:t xml:space="preserve"> </w:t>
      </w:r>
      <w:r>
        <w:rPr>
          <w:rFonts w:ascii="Microsoft YaHei" w:hAnsi="Microsoft YaHei" w:eastAsia="Microsoft YaHei" w:cs="Microsoft YaHei"/>
          <w:spacing w:val="2"/>
        </w:rPr>
        <w:t>，通常需要7年左右</w:t>
      </w:r>
      <w:r>
        <w:rPr>
          <w:rFonts w:ascii="Microsoft YaHei" w:hAnsi="Microsoft YaHei" w:eastAsia="Microsoft YaHei" w:cs="Microsoft YaHei"/>
          <w:spacing w:val="-29"/>
        </w:rPr>
        <w:t xml:space="preserve"> </w:t>
      </w:r>
      <w:r>
        <w:rPr>
          <w:rFonts w:ascii="Microsoft YaHei" w:hAnsi="Microsoft YaHei" w:eastAsia="Microsoft YaHei" w:cs="Microsoft YaHei"/>
          <w:spacing w:val="2"/>
        </w:rPr>
        <w:t>，未来随着电化学</w:t>
      </w:r>
      <w:r>
        <w:rPr>
          <w:rFonts w:ascii="Microsoft YaHei" w:hAnsi="Microsoft YaHei" w:eastAsia="Microsoft YaHei" w:cs="Microsoft YaHei"/>
        </w:rPr>
        <w:t xml:space="preserve"> </w:t>
      </w:r>
      <w:r>
        <w:rPr>
          <w:rFonts w:ascii="Microsoft YaHei" w:hAnsi="Microsoft YaHei" w:eastAsia="Microsoft YaHei" w:cs="Microsoft YaHei"/>
        </w:rPr>
        <w:t>储能等新型储能造价的下降，抽水蓄能在电力系统中的发展</w:t>
      </w:r>
      <w:r>
        <w:rPr>
          <w:rFonts w:ascii="Microsoft YaHei" w:hAnsi="Microsoft YaHei" w:eastAsia="Microsoft YaHei" w:cs="Microsoft YaHei"/>
          <w:spacing w:val="-1"/>
        </w:rPr>
        <w:t>空间可能受限。</w:t>
      </w:r>
    </w:p>
    <w:p>
      <w:pPr>
        <w:pStyle w:val="BodyText"/>
        <w:ind w:left="1579" w:right="2833" w:hanging="264"/>
        <w:spacing w:before="322" w:line="212" w:lineRule="auto"/>
        <w:rPr>
          <w:rFonts w:ascii="Microsoft YaHei" w:hAnsi="Microsoft YaHei" w:eastAsia="Microsoft YaHei" w:cs="Microsoft YaHei"/>
        </w:rPr>
      </w:pPr>
      <w:r>
        <w:rPr>
          <w:sz w:val="24"/>
          <w:szCs w:val="24"/>
          <w:color w:val="00338D"/>
          <w:spacing w:val="-1"/>
        </w:rPr>
        <w:t>•   </w:t>
      </w:r>
      <w:r>
        <w:rPr>
          <w:rFonts w:ascii="Microsoft YaHei" w:hAnsi="Microsoft YaHei" w:eastAsia="Microsoft YaHei" w:cs="Microsoft YaHei"/>
          <w:sz w:val="24"/>
          <w:szCs w:val="24"/>
          <w:b/>
          <w:bCs/>
          <w:color w:val="00338D"/>
          <w:spacing w:val="-1"/>
        </w:rPr>
        <w:t>以电化学储能为主的新型储能增长迅速，成为储能行业发展的主力。</w:t>
      </w:r>
      <w:r>
        <w:rPr>
          <w:rFonts w:ascii="Microsoft YaHei" w:hAnsi="Microsoft YaHei" w:eastAsia="Microsoft YaHei" w:cs="Microsoft YaHei"/>
          <w:sz w:val="24"/>
          <w:szCs w:val="24"/>
          <w:b/>
          <w:bCs/>
          <w:color w:val="00338D"/>
          <w:spacing w:val="-24"/>
        </w:rPr>
        <w:t xml:space="preserve"> </w:t>
      </w:r>
      <w:r>
        <w:rPr>
          <w:rFonts w:ascii="Microsoft YaHei" w:hAnsi="Microsoft YaHei" w:eastAsia="Microsoft YaHei" w:cs="Microsoft YaHei"/>
          <w:spacing w:val="-1"/>
        </w:rPr>
        <w:t>电化</w:t>
      </w:r>
      <w:r>
        <w:rPr>
          <w:rFonts w:ascii="Microsoft YaHei" w:hAnsi="Microsoft YaHei" w:eastAsia="Microsoft YaHei" w:cs="Microsoft YaHei"/>
        </w:rPr>
        <w:t xml:space="preserve">    </w:t>
      </w:r>
      <w:r>
        <w:rPr>
          <w:rFonts w:ascii="Microsoft YaHei" w:hAnsi="Microsoft YaHei" w:eastAsia="Microsoft YaHei" w:cs="Microsoft YaHei"/>
          <w:spacing w:val="2"/>
        </w:rPr>
        <w:t>学储能功率范围较广、能量密度高，相较其他新型储能技术成熟度更高，</w:t>
      </w:r>
      <w:r>
        <w:rPr>
          <w:rFonts w:ascii="Microsoft YaHei" w:hAnsi="Microsoft YaHei" w:eastAsia="Microsoft YaHei" w:cs="Microsoft YaHei"/>
          <w:spacing w:val="-31"/>
        </w:rPr>
        <w:t xml:space="preserve"> </w:t>
      </w:r>
      <w:r>
        <w:rPr>
          <w:rFonts w:ascii="Microsoft YaHei" w:hAnsi="Microsoft YaHei" w:eastAsia="Microsoft YaHei" w:cs="Microsoft YaHei"/>
          <w:spacing w:val="2"/>
        </w:rPr>
        <w:t>因</w:t>
      </w:r>
      <w:r>
        <w:rPr>
          <w:rFonts w:ascii="Microsoft YaHei" w:hAnsi="Microsoft YaHei" w:eastAsia="Microsoft YaHei" w:cs="Microsoft YaHei"/>
          <w:spacing w:val="1"/>
        </w:rPr>
        <w:t>此适用</w:t>
      </w:r>
      <w:r>
        <w:rPr>
          <w:rFonts w:ascii="Microsoft YaHei" w:hAnsi="Microsoft YaHei" w:eastAsia="Microsoft YaHei" w:cs="Microsoft YaHei"/>
        </w:rPr>
        <w:t xml:space="preserve">    </w:t>
      </w:r>
      <w:r>
        <w:rPr>
          <w:rFonts w:ascii="Microsoft YaHei" w:hAnsi="Microsoft YaHei" w:eastAsia="Microsoft YaHei" w:cs="Microsoft YaHei"/>
        </w:rPr>
        <w:t>场景更广泛。</w:t>
      </w:r>
      <w:r>
        <w:rPr>
          <w:rFonts w:ascii="Microsoft YaHei" w:hAnsi="Microsoft YaHei" w:eastAsia="Microsoft YaHei" w:cs="Microsoft YaHei"/>
          <w:spacing w:val="-25"/>
        </w:rPr>
        <w:t xml:space="preserve"> </w:t>
      </w:r>
      <w:r>
        <w:rPr>
          <w:rFonts w:ascii="Microsoft YaHei" w:hAnsi="Microsoft YaHei" w:eastAsia="Microsoft YaHei" w:cs="Microsoft YaHei"/>
        </w:rPr>
        <w:t>此外，相较抽水蓄能来说，电化学储能安装更为便捷、</w:t>
      </w:r>
      <w:r>
        <w:rPr>
          <w:rFonts w:ascii="Microsoft YaHei" w:hAnsi="Microsoft YaHei" w:eastAsia="Microsoft YaHei" w:cs="Microsoft YaHei"/>
          <w:spacing w:val="-39"/>
        </w:rPr>
        <w:t xml:space="preserve"> </w:t>
      </w:r>
      <w:r>
        <w:rPr>
          <w:rFonts w:ascii="Microsoft YaHei" w:hAnsi="Microsoft YaHei" w:eastAsia="Microsoft YaHei" w:cs="Microsoft YaHei"/>
        </w:rPr>
        <w:t>不受区位限制， </w:t>
      </w:r>
      <w:r>
        <w:rPr>
          <w:rFonts w:ascii="Microsoft YaHei" w:hAnsi="Microsoft YaHei" w:eastAsia="Microsoft YaHei" w:cs="Microsoft YaHei"/>
        </w:rPr>
        <w:t>正成为储能产业发展新动力。截至2022年底，全国电力</w:t>
      </w:r>
      <w:r>
        <w:rPr>
          <w:rFonts w:ascii="Microsoft YaHei" w:hAnsi="Microsoft YaHei" w:eastAsia="Microsoft YaHei" w:cs="Microsoft YaHei"/>
          <w:spacing w:val="-1"/>
        </w:rPr>
        <w:t>安委会19家企业成员单位总</w:t>
      </w:r>
      <w:r>
        <w:rPr>
          <w:rFonts w:ascii="Microsoft YaHei" w:hAnsi="Microsoft YaHei" w:eastAsia="Microsoft YaHei" w:cs="Microsoft YaHei"/>
        </w:rPr>
        <w:t xml:space="preserve">    </w:t>
      </w:r>
      <w:r>
        <w:rPr>
          <w:rFonts w:ascii="Microsoft YaHei" w:hAnsi="Microsoft YaHei" w:eastAsia="Microsoft YaHei" w:cs="Microsoft YaHei"/>
        </w:rPr>
        <w:t>计报送500kW/500kWh以上的各类电化学储能电站772</w:t>
      </w:r>
      <w:r>
        <w:rPr>
          <w:rFonts w:ascii="Microsoft YaHei" w:hAnsi="Microsoft YaHei" w:eastAsia="Microsoft YaHei" w:cs="Microsoft YaHei"/>
          <w:spacing w:val="-1"/>
        </w:rPr>
        <w:t>座、总能量43.08GWh。</w:t>
      </w:r>
      <w:r>
        <w:rPr>
          <w:rFonts w:ascii="Microsoft YaHei" w:hAnsi="Microsoft YaHei" w:eastAsia="Microsoft YaHei" w:cs="Microsoft YaHei"/>
          <w:spacing w:val="-32"/>
        </w:rPr>
        <w:t xml:space="preserve"> </w:t>
      </w:r>
      <w:r>
        <w:rPr>
          <w:rFonts w:ascii="Microsoft YaHei" w:hAnsi="Microsoft YaHei" w:eastAsia="Microsoft YaHei" w:cs="Microsoft YaHei"/>
          <w:spacing w:val="-1"/>
        </w:rPr>
        <w:t>电</w:t>
      </w:r>
      <w:r>
        <w:rPr>
          <w:rFonts w:ascii="Microsoft YaHei" w:hAnsi="Microsoft YaHei" w:eastAsia="Microsoft YaHei" w:cs="Microsoft YaHei"/>
        </w:rPr>
        <w:t xml:space="preserve">    </w:t>
      </w:r>
      <w:r>
        <w:rPr>
          <w:rFonts w:ascii="Microsoft YaHei" w:hAnsi="Microsoft YaHei" w:eastAsia="Microsoft YaHei" w:cs="Microsoft YaHei"/>
          <w:spacing w:val="1"/>
        </w:rPr>
        <w:t>化学储能中以锂离子电池为主导,但三元锂电池安全隐患较突出，意味着安全性更高</w:t>
      </w:r>
      <w:r>
        <w:rPr>
          <w:rFonts w:ascii="Microsoft YaHei" w:hAnsi="Microsoft YaHei" w:eastAsia="Microsoft YaHei" w:cs="Microsoft YaHei"/>
          <w:spacing w:val="2"/>
        </w:rPr>
        <w:t xml:space="preserve">    </w:t>
      </w:r>
      <w:r>
        <w:rPr>
          <w:rFonts w:ascii="Microsoft YaHei" w:hAnsi="Microsoft YaHei" w:eastAsia="Microsoft YaHei" w:cs="Microsoft YaHei"/>
          <w:spacing w:val="-1"/>
        </w:rPr>
        <w:t>的磷酸铁锂电池、液流电池等未来有望进一步打开市场空间。</w:t>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ind w:left="1805" w:right="1241" w:hanging="411"/>
        <w:spacing w:before="48"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F1F1F1"/>
          <w:spacing w:val="-1"/>
        </w:rPr>
        <w:t>© 2023</w:t>
      </w:r>
      <w:r>
        <w:rPr>
          <w:rFonts w:ascii="Microsoft YaHei" w:hAnsi="Microsoft YaHei" w:eastAsia="Microsoft YaHei" w:cs="Microsoft YaHei"/>
          <w:sz w:val="11"/>
          <w:szCs w:val="11"/>
          <w:color w:val="F1F1F1"/>
          <w:spacing w:val="-6"/>
        </w:rPr>
        <w:t xml:space="preserve"> </w:t>
      </w:r>
      <w:r>
        <w:rPr>
          <w:rFonts w:ascii="Microsoft YaHei" w:hAnsi="Microsoft YaHei" w:eastAsia="Microsoft YaHei" w:cs="Microsoft YaHei"/>
          <w:sz w:val="11"/>
          <w:szCs w:val="11"/>
          <w:color w:val="F1F1F1"/>
          <w:spacing w:val="-1"/>
        </w:rPr>
        <w:t>毕马威华振会计师事务所(特殊普通合伙)</w:t>
      </w:r>
      <w:r>
        <w:rPr>
          <w:rFonts w:ascii="Microsoft YaHei" w:hAnsi="Microsoft YaHei" w:eastAsia="Microsoft YaHei" w:cs="Microsoft YaHei"/>
          <w:sz w:val="11"/>
          <w:szCs w:val="11"/>
          <w:color w:val="F1F1F1"/>
          <w:spacing w:val="-12"/>
        </w:rPr>
        <w:t xml:space="preserve"> </w:t>
      </w:r>
      <w:r>
        <w:rPr>
          <w:rFonts w:ascii="Microsoft YaHei" w:hAnsi="Microsoft YaHei" w:eastAsia="Microsoft YaHei" w:cs="Microsoft YaHei"/>
          <w:sz w:val="11"/>
          <w:szCs w:val="11"/>
          <w:color w:val="F1F1F1"/>
          <w:spacing w:val="-1"/>
        </w:rPr>
        <w:t>— 中国合伙制会计师事务所，毕马威企业咨询</w:t>
      </w:r>
      <w:r>
        <w:rPr>
          <w:rFonts w:ascii="Microsoft YaHei" w:hAnsi="Microsoft YaHei" w:eastAsia="Microsoft YaHei" w:cs="Microsoft YaHei"/>
          <w:sz w:val="11"/>
          <w:szCs w:val="11"/>
          <w:color w:val="F1F1F1"/>
          <w:spacing w:val="-8"/>
        </w:rPr>
        <w:t xml:space="preserve"> </w:t>
      </w:r>
      <w:r>
        <w:rPr>
          <w:rFonts w:ascii="Microsoft YaHei" w:hAnsi="Microsoft YaHei" w:eastAsia="Microsoft YaHei" w:cs="Microsoft YaHei"/>
          <w:sz w:val="11"/>
          <w:szCs w:val="11"/>
          <w:color w:val="F1F1F1"/>
          <w:spacing w:val="-1"/>
        </w:rPr>
        <w:t>(中国)有限公司 — 中国有限责任公司，毕马威会计师事务所</w:t>
      </w:r>
      <w:r>
        <w:rPr>
          <w:rFonts w:ascii="Microsoft YaHei" w:hAnsi="Microsoft YaHei" w:eastAsia="Microsoft YaHei" w:cs="Microsoft YaHei"/>
          <w:sz w:val="11"/>
          <w:szCs w:val="11"/>
          <w:color w:val="F1F1F1"/>
          <w:spacing w:val="-8"/>
        </w:rPr>
        <w:t xml:space="preserve"> </w:t>
      </w:r>
      <w:r>
        <w:rPr>
          <w:rFonts w:ascii="Microsoft YaHei" w:hAnsi="Microsoft YaHei" w:eastAsia="Microsoft YaHei" w:cs="Microsoft YaHei"/>
          <w:sz w:val="11"/>
          <w:szCs w:val="11"/>
          <w:color w:val="F1F1F1"/>
          <w:spacing w:val="-1"/>
        </w:rPr>
        <w:t>— 澳门特别行政区合伙制事务所，</w:t>
      </w:r>
      <w:r>
        <w:rPr>
          <w:rFonts w:ascii="Microsoft YaHei" w:hAnsi="Microsoft YaHei" w:eastAsia="Microsoft YaHei" w:cs="Microsoft YaHei"/>
          <w:sz w:val="11"/>
          <w:szCs w:val="11"/>
          <w:color w:val="F1F1F1"/>
          <w:spacing w:val="-2"/>
        </w:rPr>
        <w:t>及毕马威</w:t>
      </w:r>
      <w:r>
        <w:rPr>
          <w:rFonts w:ascii="Microsoft YaHei" w:hAnsi="Microsoft YaHei" w:eastAsia="Microsoft YaHei" w:cs="Microsoft YaHei"/>
          <w:sz w:val="11"/>
          <w:szCs w:val="11"/>
          <w:color w:val="F1F1F1"/>
        </w:rPr>
        <w:t xml:space="preserve"> </w:t>
      </w:r>
      <w:r>
        <w:rPr>
          <w:rFonts w:ascii="Microsoft YaHei" w:hAnsi="Microsoft YaHei" w:eastAsia="Microsoft YaHei" w:cs="Microsoft YaHei"/>
          <w:sz w:val="11"/>
          <w:szCs w:val="11"/>
          <w:color w:val="F1F1F1"/>
        </w:rPr>
        <w:t>会计师事务所 —</w:t>
      </w:r>
      <w:r>
        <w:rPr>
          <w:rFonts w:ascii="Microsoft YaHei" w:hAnsi="Microsoft YaHei" w:eastAsia="Microsoft YaHei" w:cs="Microsoft YaHei"/>
          <w:sz w:val="11"/>
          <w:szCs w:val="11"/>
          <w:color w:val="F1F1F1"/>
          <w:spacing w:val="-6"/>
        </w:rPr>
        <w:t xml:space="preserve"> </w:t>
      </w:r>
      <w:r>
        <w:rPr>
          <w:rFonts w:ascii="Microsoft YaHei" w:hAnsi="Microsoft YaHei" w:eastAsia="Microsoft YaHei" w:cs="Microsoft YaHei"/>
          <w:sz w:val="11"/>
          <w:szCs w:val="11"/>
          <w:color w:val="F1F1F1"/>
        </w:rPr>
        <w:t>香港特别行政区合伙制事务所，</w:t>
      </w:r>
      <w:r>
        <w:rPr>
          <w:rFonts w:ascii="Microsoft YaHei" w:hAnsi="Microsoft YaHei" w:eastAsia="Microsoft YaHei" w:cs="Microsoft YaHei"/>
          <w:sz w:val="11"/>
          <w:szCs w:val="11"/>
          <w:color w:val="F1F1F1"/>
          <w:spacing w:val="-1"/>
        </w:rPr>
        <w:t>均是与英国私营担保有限公司</w:t>
      </w:r>
      <w:r>
        <w:rPr>
          <w:rFonts w:ascii="Microsoft YaHei" w:hAnsi="Microsoft YaHei" w:eastAsia="Microsoft YaHei" w:cs="Microsoft YaHei"/>
          <w:sz w:val="11"/>
          <w:szCs w:val="11"/>
          <w:color w:val="F1F1F1"/>
          <w:spacing w:val="-13"/>
        </w:rPr>
        <w:t xml:space="preserve"> </w:t>
      </w:r>
      <w:r>
        <w:rPr>
          <w:rFonts w:ascii="Microsoft YaHei" w:hAnsi="Microsoft YaHei" w:eastAsia="Microsoft YaHei" w:cs="Microsoft YaHei"/>
          <w:sz w:val="11"/>
          <w:szCs w:val="11"/>
          <w:color w:val="F1F1F1"/>
          <w:spacing w:val="-1"/>
        </w:rPr>
        <w:t>— 毕马威国际有限公司相关联的独立成员所全球性组织中的成员。版权所有，不得转载。在中国印刷。</w:t>
      </w:r>
    </w:p>
    <w:p>
      <w:pPr>
        <w:spacing w:line="172" w:lineRule="auto"/>
        <w:sectPr>
          <w:headerReference w:type="default" r:id="rId7"/>
          <w:pgSz w:w="12245" w:h="17180"/>
          <w:pgMar w:top="400" w:right="0" w:bottom="0" w:left="0" w:header="0" w:footer="0" w:gutter="0"/>
        </w:sectPr>
        <w:rPr>
          <w:rFonts w:ascii="Microsoft YaHei" w:hAnsi="Microsoft YaHei" w:eastAsia="Microsoft YaHei" w:cs="Microsoft YaHei"/>
          <w:sz w:val="11"/>
          <w:szCs w:val="11"/>
        </w:rPr>
      </w:pPr>
    </w:p>
    <w:p>
      <w:pPr>
        <w:pStyle w:val="BodyText"/>
        <w:spacing w:line="243" w:lineRule="auto"/>
        <w:rPr/>
      </w:pPr>
      <w:r>
        <mc:AlternateContent xmlns:mc="http://schemas.openxmlformats.org/markup-compatibility/2006">
          <mc:Choice Requires="wps">
            <w:drawing>
              <wp:anchor distT="0" distB="0" distL="0" distR="0" simplePos="0" relativeHeight="251664384" behindDoc="1" locked="0" layoutInCell="0" allowOverlap="1">
                <wp:simplePos x="0" y="0"/>
                <wp:positionH relativeFrom="page">
                  <wp:posOffset>7772272</wp:posOffset>
                </wp:positionH>
                <wp:positionV relativeFrom="page">
                  <wp:posOffset>0</wp:posOffset>
                </wp:positionV>
                <wp:extent cx="3175" cy="10909300"/>
                <wp:effectExtent l="0" t="0" r="0" b="0"/>
                <wp:wrapNone/>
                <wp:docPr id="18" name="Rect 18"/>
                <wp:cNvGraphicFramePr/>
                <a:graphic>
                  <a:graphicData uri="http://schemas.microsoft.com/office/word/2010/wordprocessingShape">
                    <wps:wsp>
                      <wps:cNvPr id="18" name="Rect 18"/>
                      <wps:cNvSpPr/>
                      <wps:spPr>
                        <a:xfrm>
                          <a:off x="7772272" y="0"/>
                          <a:ext cx="3175" cy="109093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36" style="position:absolute;margin-left:611.99pt;margin-top:0pt;mso-position-vertical-relative:page;mso-position-horizontal-relative:page;width:0.25pt;height:859pt;z-index:-251652096;" o:allowincell="f" fillcolor="#000000" filled="true" stroked="false"/>
            </w:pict>
          </mc:Fallback>
        </mc:AlternateContent>
      </w:r>
      <w:r/>
    </w:p>
    <w:p>
      <w:pPr>
        <w:ind w:left="8975"/>
        <w:spacing w:before="77" w:line="178" w:lineRule="auto"/>
        <w:rPr>
          <w:rFonts w:ascii="Microsoft YaHei" w:hAnsi="Microsoft YaHei" w:eastAsia="Microsoft YaHei" w:cs="Microsoft YaHei"/>
          <w:sz w:val="18"/>
          <w:szCs w:val="18"/>
        </w:rPr>
      </w:pPr>
      <w:r>
        <w:drawing>
          <wp:anchor distT="0" distB="0" distL="0" distR="0" simplePos="0" relativeHeight="251665408" behindDoc="1" locked="0" layoutInCell="1" allowOverlap="1">
            <wp:simplePos x="0" y="0"/>
            <wp:positionH relativeFrom="column">
              <wp:posOffset>0</wp:posOffset>
            </wp:positionH>
            <wp:positionV relativeFrom="paragraph">
              <wp:posOffset>-409446</wp:posOffset>
            </wp:positionV>
            <wp:extent cx="7775447" cy="10908789"/>
            <wp:effectExtent l="0" t="0" r="0" b="0"/>
            <wp:wrapNone/>
            <wp:docPr id="20" name="IM 20"/>
            <wp:cNvGraphicFramePr/>
            <a:graphic>
              <a:graphicData uri="http://schemas.openxmlformats.org/drawingml/2006/picture">
                <pic:pic>
                  <pic:nvPicPr>
                    <pic:cNvPr id="20" name="IM 20"/>
                    <pic:cNvPicPr/>
                  </pic:nvPicPr>
                  <pic:blipFill>
                    <a:blip r:embed="rId11"/>
                    <a:stretch>
                      <a:fillRect/>
                    </a:stretch>
                  </pic:blipFill>
                  <pic:spPr>
                    <a:xfrm rot="0">
                      <a:off x="0" y="0"/>
                      <a:ext cx="7775447" cy="10908789"/>
                    </a:xfrm>
                    <a:prstGeom prst="rect">
                      <a:avLst/>
                    </a:prstGeom>
                  </pic:spPr>
                </pic:pic>
              </a:graphicData>
            </a:graphic>
          </wp:anchor>
        </w:drawing>
      </w:r>
      <w:r>
        <w:rPr>
          <w:rFonts w:ascii="Microsoft YaHei" w:hAnsi="Microsoft YaHei" w:eastAsia="Microsoft YaHei" w:cs="Microsoft YaHei"/>
          <w:sz w:val="18"/>
          <w:szCs w:val="18"/>
          <w:color w:val="A8A8A8"/>
        </w:rPr>
        <w:t>新型储能助力能源转型</w:t>
      </w:r>
      <w:r>
        <w:rPr>
          <w:rFonts w:ascii="Microsoft YaHei" w:hAnsi="Microsoft YaHei" w:eastAsia="Microsoft YaHei" w:cs="Microsoft YaHei"/>
          <w:sz w:val="18"/>
          <w:szCs w:val="18"/>
          <w:color w:val="A8A8A8"/>
          <w:spacing w:val="6"/>
        </w:rPr>
        <w:t xml:space="preserve">      </w:t>
      </w:r>
      <w:r>
        <w:rPr>
          <w:rFonts w:ascii="Microsoft YaHei" w:hAnsi="Microsoft YaHei" w:eastAsia="Microsoft YaHei" w:cs="Microsoft YaHei"/>
          <w:sz w:val="18"/>
          <w:szCs w:val="18"/>
          <w:b/>
          <w:bCs/>
          <w:color w:val="A8A8A8"/>
        </w:rPr>
        <w:t>2</w:t>
      </w:r>
    </w:p>
    <w:p>
      <w:pPr>
        <w:pStyle w:val="BodyText"/>
        <w:spacing w:line="274" w:lineRule="auto"/>
        <w:rPr/>
      </w:pPr>
      <w:r/>
    </w:p>
    <w:p>
      <w:pPr>
        <w:pStyle w:val="BodyText"/>
        <w:spacing w:line="274" w:lineRule="auto"/>
        <w:rPr/>
      </w:pPr>
      <w:r/>
    </w:p>
    <w:p>
      <w:pPr>
        <w:pStyle w:val="BodyText"/>
        <w:spacing w:line="274" w:lineRule="auto"/>
        <w:rPr/>
      </w:pPr>
      <w:r/>
    </w:p>
    <w:p>
      <w:pPr>
        <w:pStyle w:val="BodyText"/>
        <w:spacing w:line="274" w:lineRule="auto"/>
        <w:rPr/>
      </w:pPr>
      <w:r/>
    </w:p>
    <w:p>
      <w:pPr>
        <w:pStyle w:val="BodyText"/>
        <w:spacing w:line="274" w:lineRule="auto"/>
        <w:rPr/>
      </w:pPr>
      <w:r/>
    </w:p>
    <w:p>
      <w:pPr>
        <w:pStyle w:val="BodyText"/>
        <w:spacing w:line="274" w:lineRule="auto"/>
        <w:rPr/>
      </w:pPr>
      <w:r/>
    </w:p>
    <w:p>
      <w:pPr>
        <w:pStyle w:val="BodyText"/>
        <w:ind w:left="1610" w:right="2800" w:hanging="265"/>
        <w:spacing w:before="103" w:line="207" w:lineRule="auto"/>
        <w:rPr>
          <w:rFonts w:ascii="Microsoft YaHei" w:hAnsi="Microsoft YaHei" w:eastAsia="Microsoft YaHei" w:cs="Microsoft YaHei"/>
        </w:rPr>
      </w:pPr>
      <w:r>
        <w:rPr>
          <w:sz w:val="24"/>
          <w:szCs w:val="24"/>
          <w:color w:val="00338D"/>
          <w:spacing w:val="2"/>
        </w:rPr>
        <w:t>•</w:t>
      </w:r>
      <w:r>
        <w:rPr>
          <w:sz w:val="24"/>
          <w:szCs w:val="24"/>
          <w:color w:val="00338D"/>
          <w:spacing w:val="29"/>
        </w:rPr>
        <w:t xml:space="preserve">  </w:t>
      </w:r>
      <w:r>
        <w:rPr>
          <w:rFonts w:ascii="Microsoft YaHei" w:hAnsi="Microsoft YaHei" w:eastAsia="Microsoft YaHei" w:cs="Microsoft YaHei"/>
          <w:sz w:val="24"/>
          <w:szCs w:val="24"/>
          <w:b/>
          <w:bCs/>
          <w:color w:val="00338D"/>
          <w:spacing w:val="2"/>
        </w:rPr>
        <w:t>新型储能技术适用场景各异，聚焦三大降本思路促进规模</w:t>
      </w:r>
      <w:r>
        <w:rPr>
          <w:rFonts w:ascii="Microsoft YaHei" w:hAnsi="Microsoft YaHei" w:eastAsia="Microsoft YaHei" w:cs="Microsoft YaHei"/>
          <w:sz w:val="24"/>
          <w:szCs w:val="24"/>
          <w:b/>
          <w:bCs/>
          <w:color w:val="00338D"/>
          <w:spacing w:val="1"/>
        </w:rPr>
        <w:t>化应用。</w:t>
      </w:r>
      <w:r>
        <w:rPr>
          <w:rFonts w:ascii="Microsoft YaHei" w:hAnsi="Microsoft YaHei" w:eastAsia="Microsoft YaHei" w:cs="Microsoft YaHei"/>
          <w:spacing w:val="1"/>
        </w:rPr>
        <w:t>在推动</w:t>
      </w:r>
      <w:r>
        <w:rPr>
          <w:rFonts w:ascii="Microsoft YaHei" w:hAnsi="Microsoft YaHei" w:eastAsia="Microsoft YaHei" w:cs="Microsoft YaHei"/>
        </w:rPr>
        <w:t xml:space="preserve">    </w:t>
      </w:r>
      <w:r>
        <w:rPr>
          <w:rFonts w:ascii="Microsoft YaHei" w:hAnsi="Microsoft YaHei" w:eastAsia="Microsoft YaHei" w:cs="Microsoft YaHei"/>
          <w:spacing w:val="1"/>
        </w:rPr>
        <w:t>新型储能技术规模化应用过程中，</w:t>
      </w:r>
      <w:r>
        <w:rPr>
          <w:rFonts w:ascii="Microsoft YaHei" w:hAnsi="Microsoft YaHei" w:eastAsia="Microsoft YaHei" w:cs="Microsoft YaHei"/>
          <w:spacing w:val="-38"/>
        </w:rPr>
        <w:t xml:space="preserve"> </w:t>
      </w:r>
      <w:r>
        <w:rPr>
          <w:rFonts w:ascii="Microsoft YaHei" w:hAnsi="Microsoft YaHei" w:eastAsia="Microsoft YaHei" w:cs="Microsoft YaHei"/>
          <w:spacing w:val="1"/>
        </w:rPr>
        <w:t>应针对不同的应用场景，匹配满足电网高安全性、</w:t>
      </w:r>
      <w:r>
        <w:rPr>
          <w:rFonts w:ascii="Microsoft YaHei" w:hAnsi="Microsoft YaHei" w:eastAsia="Microsoft YaHei" w:cs="Microsoft YaHei"/>
        </w:rPr>
        <w:t xml:space="preserve"> </w:t>
      </w:r>
      <w:r>
        <w:rPr>
          <w:rFonts w:ascii="Microsoft YaHei" w:hAnsi="Microsoft YaHei" w:eastAsia="Microsoft YaHei" w:cs="Microsoft YaHei"/>
          <w:spacing w:val="3"/>
        </w:rPr>
        <w:t>长寿命、低成本、高效率等需求的储能技术，除了电化学储能</w:t>
      </w:r>
      <w:r>
        <w:rPr>
          <w:rFonts w:ascii="Microsoft YaHei" w:hAnsi="Microsoft YaHei" w:eastAsia="Microsoft YaHei" w:cs="Microsoft YaHei"/>
          <w:spacing w:val="2"/>
        </w:rPr>
        <w:t>技术的市场前景值得</w:t>
      </w:r>
      <w:r>
        <w:rPr>
          <w:rFonts w:ascii="Microsoft YaHei" w:hAnsi="Microsoft YaHei" w:eastAsia="Microsoft YaHei" w:cs="Microsoft YaHei"/>
        </w:rPr>
        <w:t xml:space="preserve">    </w:t>
      </w:r>
      <w:r>
        <w:rPr>
          <w:rFonts w:ascii="Microsoft YaHei" w:hAnsi="Microsoft YaHei" w:eastAsia="Microsoft YaHei" w:cs="Microsoft YaHei"/>
          <w:spacing w:val="1"/>
        </w:rPr>
        <w:t>关注外，压缩空气储能、</w:t>
      </w:r>
      <w:r>
        <w:rPr>
          <w:rFonts w:ascii="Microsoft YaHei" w:hAnsi="Microsoft YaHei" w:eastAsia="Microsoft YaHei" w:cs="Microsoft YaHei"/>
          <w:spacing w:val="-19"/>
        </w:rPr>
        <w:t xml:space="preserve"> </w:t>
      </w:r>
      <w:r>
        <w:rPr>
          <w:rFonts w:ascii="Microsoft YaHei" w:hAnsi="Microsoft YaHei" w:eastAsia="Microsoft YaHei" w:cs="Microsoft YaHei"/>
          <w:spacing w:val="1"/>
        </w:rPr>
        <w:t>飞轮储能、氢（氨）储能等的商业化潜力同样不容小觑。</w:t>
      </w:r>
    </w:p>
    <w:p>
      <w:pPr>
        <w:ind w:left="1608" w:right="2973" w:firstLine="17"/>
        <w:spacing w:before="63" w:line="20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当前业界主要聚焦三类降本思路，助力以电化学储能为代表的新型储能技术实现规</w:t>
      </w:r>
      <w:r>
        <w:rPr>
          <w:rFonts w:ascii="Microsoft YaHei" w:hAnsi="Microsoft YaHei" w:eastAsia="Microsoft YaHei" w:cs="Microsoft YaHei"/>
          <w:sz w:val="21"/>
          <w:szCs w:val="21"/>
          <w:spacing w:val="12"/>
        </w:rPr>
        <w:t xml:space="preserve"> </w:t>
      </w:r>
      <w:r>
        <w:rPr>
          <w:rFonts w:ascii="Microsoft YaHei" w:hAnsi="Microsoft YaHei" w:eastAsia="Microsoft YaHei" w:cs="Microsoft YaHei"/>
          <w:sz w:val="21"/>
          <w:szCs w:val="21"/>
          <w:spacing w:val="2"/>
        </w:rPr>
        <w:t>模化应用：一是注重提升电池组循环寿命；</w:t>
      </w:r>
      <w:r>
        <w:rPr>
          <w:rFonts w:ascii="Microsoft YaHei" w:hAnsi="Microsoft YaHei" w:eastAsia="Microsoft YaHei" w:cs="Microsoft YaHei"/>
          <w:sz w:val="21"/>
          <w:szCs w:val="21"/>
          <w:spacing w:val="-33"/>
        </w:rPr>
        <w:t xml:space="preserve"> </w:t>
      </w:r>
      <w:r>
        <w:rPr>
          <w:rFonts w:ascii="Microsoft YaHei" w:hAnsi="Microsoft YaHei" w:eastAsia="Microsoft YaHei" w:cs="Microsoft YaHei"/>
          <w:sz w:val="21"/>
          <w:szCs w:val="21"/>
          <w:spacing w:val="2"/>
        </w:rPr>
        <w:t>二是合理降低供应链成本，例如实现低</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成本材料替代；三是优化储能冷却和集成方式等技术，提升储能系统整体</w:t>
      </w:r>
      <w:r>
        <w:rPr>
          <w:rFonts w:ascii="Microsoft YaHei" w:hAnsi="Microsoft YaHei" w:eastAsia="Microsoft YaHei" w:cs="Microsoft YaHei"/>
          <w:sz w:val="21"/>
          <w:szCs w:val="21"/>
        </w:rPr>
        <w:t>效率。</w:t>
      </w:r>
    </w:p>
    <w:p>
      <w:pPr>
        <w:pStyle w:val="BodyText"/>
        <w:ind w:left="1608" w:right="2800" w:hanging="263"/>
        <w:spacing w:before="314" w:line="213" w:lineRule="auto"/>
        <w:rPr>
          <w:rFonts w:ascii="Microsoft YaHei" w:hAnsi="Microsoft YaHei" w:eastAsia="Microsoft YaHei" w:cs="Microsoft YaHei"/>
        </w:rPr>
      </w:pPr>
      <w:r>
        <w:rPr>
          <w:sz w:val="24"/>
          <w:szCs w:val="24"/>
          <w:color w:val="00338D"/>
          <w:spacing w:val="1"/>
        </w:rPr>
        <w:t>•</w:t>
      </w:r>
      <w:r>
        <w:rPr>
          <w:sz w:val="24"/>
          <w:szCs w:val="24"/>
          <w:color w:val="00338D"/>
          <w:spacing w:val="28"/>
        </w:rPr>
        <w:t xml:space="preserve">  </w:t>
      </w:r>
      <w:r>
        <w:rPr>
          <w:rFonts w:ascii="Microsoft YaHei" w:hAnsi="Microsoft YaHei" w:eastAsia="Microsoft YaHei" w:cs="Microsoft YaHei"/>
          <w:sz w:val="24"/>
          <w:szCs w:val="24"/>
          <w:b/>
          <w:bCs/>
          <w:color w:val="00338D"/>
          <w:spacing w:val="1"/>
        </w:rPr>
        <w:t>政策引导、市场机制优化双管齐下</w:t>
      </w:r>
      <w:r>
        <w:rPr>
          <w:rFonts w:ascii="Microsoft YaHei" w:hAnsi="Microsoft YaHei" w:eastAsia="Microsoft YaHei" w:cs="Microsoft YaHei"/>
          <w:sz w:val="24"/>
          <w:szCs w:val="24"/>
          <w:b/>
          <w:bCs/>
          <w:color w:val="00338D"/>
          <w:spacing w:val="-32"/>
        </w:rPr>
        <w:t xml:space="preserve"> </w:t>
      </w:r>
      <w:r>
        <w:rPr>
          <w:rFonts w:ascii="Microsoft YaHei" w:hAnsi="Microsoft YaHei" w:eastAsia="Microsoft YaHei" w:cs="Microsoft YaHei"/>
          <w:sz w:val="24"/>
          <w:szCs w:val="24"/>
          <w:b/>
          <w:bCs/>
          <w:color w:val="00338D"/>
          <w:spacing w:val="1"/>
        </w:rPr>
        <w:t>，保障新型储</w:t>
      </w:r>
      <w:r>
        <w:rPr>
          <w:rFonts w:ascii="Microsoft YaHei" w:hAnsi="Microsoft YaHei" w:eastAsia="Microsoft YaHei" w:cs="Microsoft YaHei"/>
          <w:sz w:val="24"/>
          <w:szCs w:val="24"/>
          <w:b/>
          <w:bCs/>
          <w:color w:val="00338D"/>
        </w:rPr>
        <w:t>能长期稳定发展。</w:t>
      </w:r>
      <w:r>
        <w:rPr>
          <w:rFonts w:ascii="Microsoft YaHei" w:hAnsi="Microsoft YaHei" w:eastAsia="Microsoft YaHei" w:cs="Microsoft YaHei"/>
        </w:rPr>
        <w:t>新型储    </w:t>
      </w:r>
      <w:r>
        <w:rPr>
          <w:rFonts w:ascii="Microsoft YaHei" w:hAnsi="Microsoft YaHei" w:eastAsia="Microsoft YaHei" w:cs="Microsoft YaHei"/>
          <w:spacing w:val="3"/>
        </w:rPr>
        <w:t>能发展除了需要实现技术进步和提高成本竞争力外，有利的政策环</w:t>
      </w:r>
      <w:r>
        <w:rPr>
          <w:rFonts w:ascii="Microsoft YaHei" w:hAnsi="Microsoft YaHei" w:eastAsia="Microsoft YaHei" w:cs="Microsoft YaHei"/>
          <w:spacing w:val="2"/>
        </w:rPr>
        <w:t>境和市场机制也</w:t>
      </w:r>
      <w:r>
        <w:rPr>
          <w:rFonts w:ascii="Microsoft YaHei" w:hAnsi="Microsoft YaHei" w:eastAsia="Microsoft YaHei" w:cs="Microsoft YaHei"/>
        </w:rPr>
        <w:t xml:space="preserve">    </w:t>
      </w:r>
      <w:r>
        <w:rPr>
          <w:rFonts w:ascii="Microsoft YaHei" w:hAnsi="Microsoft YaHei" w:eastAsia="Microsoft YaHei" w:cs="Microsoft YaHei"/>
          <w:spacing w:val="1"/>
        </w:rPr>
        <w:t>必不可少，“十四五”以来，国家正积极推</w:t>
      </w:r>
      <w:r>
        <w:rPr>
          <w:rFonts w:ascii="Microsoft YaHei" w:hAnsi="Microsoft YaHei" w:eastAsia="Microsoft YaHei" w:cs="Microsoft YaHei"/>
        </w:rPr>
        <w:t>动新型储能到2025年实现从商业化初期    </w:t>
      </w:r>
      <w:r>
        <w:rPr>
          <w:rFonts w:ascii="Microsoft YaHei" w:hAnsi="Microsoft YaHei" w:eastAsia="Microsoft YaHei" w:cs="Microsoft YaHei"/>
        </w:rPr>
        <w:t>向规模化发展转变，到2030年实现全面市场化发展。从中长期来看，中国储能产业</w:t>
      </w:r>
      <w:r>
        <w:rPr>
          <w:rFonts w:ascii="Microsoft YaHei" w:hAnsi="Microsoft YaHei" w:eastAsia="Microsoft YaHei" w:cs="Microsoft YaHei"/>
          <w:spacing w:val="1"/>
        </w:rPr>
        <w:t xml:space="preserve">    </w:t>
      </w:r>
      <w:r>
        <w:rPr>
          <w:rFonts w:ascii="Microsoft YaHei" w:hAnsi="Microsoft YaHei" w:eastAsia="Microsoft YaHei" w:cs="Microsoft YaHei"/>
        </w:rPr>
        <w:t>需要依靠稳健高效的市场机制建立可持续的盈利模式，</w:t>
      </w:r>
      <w:r>
        <w:rPr>
          <w:rFonts w:ascii="Microsoft YaHei" w:hAnsi="Microsoft YaHei" w:eastAsia="Microsoft YaHei" w:cs="Microsoft YaHei"/>
          <w:spacing w:val="-23"/>
        </w:rPr>
        <w:t xml:space="preserve"> </w:t>
      </w:r>
      <w:r>
        <w:rPr>
          <w:rFonts w:ascii="Microsoft YaHei" w:hAnsi="Microsoft YaHei" w:eastAsia="Microsoft YaHei" w:cs="Microsoft YaHei"/>
        </w:rPr>
        <w:t>实现高质量发展。</w:t>
      </w:r>
      <w:r>
        <w:rPr>
          <w:rFonts w:ascii="Microsoft YaHei" w:hAnsi="Microsoft YaHei" w:eastAsia="Microsoft YaHei" w:cs="Microsoft YaHei"/>
          <w:spacing w:val="-38"/>
        </w:rPr>
        <w:t xml:space="preserve"> </w:t>
      </w:r>
      <w:r>
        <w:rPr>
          <w:rFonts w:ascii="Microsoft YaHei" w:hAnsi="Microsoft YaHei" w:eastAsia="Microsoft YaHei" w:cs="Microsoft YaHei"/>
        </w:rPr>
        <w:t>可借鉴美、 </w:t>
      </w:r>
      <w:r>
        <w:rPr>
          <w:rFonts w:ascii="Microsoft YaHei" w:hAnsi="Microsoft YaHei" w:eastAsia="Microsoft YaHei" w:cs="Microsoft YaHei"/>
          <w:spacing w:val="3"/>
        </w:rPr>
        <w:t>欧、澳等的电力市场化经验，适当考虑放开电价管制并建立合理竞</w:t>
      </w:r>
      <w:r>
        <w:rPr>
          <w:rFonts w:ascii="Microsoft YaHei" w:hAnsi="Microsoft YaHei" w:eastAsia="Microsoft YaHei" w:cs="Microsoft YaHei"/>
          <w:spacing w:val="2"/>
        </w:rPr>
        <w:t>价机制，让储能</w:t>
      </w:r>
      <w:r>
        <w:rPr>
          <w:rFonts w:ascii="Microsoft YaHei" w:hAnsi="Microsoft YaHei" w:eastAsia="Microsoft YaHei" w:cs="Microsoft YaHei"/>
        </w:rPr>
        <w:t xml:space="preserve">    </w:t>
      </w:r>
      <w:r>
        <w:rPr>
          <w:rFonts w:ascii="Microsoft YaHei" w:hAnsi="Microsoft YaHei" w:eastAsia="Microsoft YaHei" w:cs="Microsoft YaHei"/>
          <w:spacing w:val="2"/>
        </w:rPr>
        <w:t>主体从电价波动（即充电和放电的价差）中获得商业收益，</w:t>
      </w:r>
      <w:r>
        <w:rPr>
          <w:rFonts w:ascii="Microsoft YaHei" w:hAnsi="Microsoft YaHei" w:eastAsia="Microsoft YaHei" w:cs="Microsoft YaHei"/>
          <w:spacing w:val="-33"/>
        </w:rPr>
        <w:t xml:space="preserve"> </w:t>
      </w:r>
      <w:r>
        <w:rPr>
          <w:rFonts w:ascii="Microsoft YaHei" w:hAnsi="Microsoft YaHei" w:eastAsia="Microsoft YaHei" w:cs="Microsoft YaHei"/>
          <w:spacing w:val="2"/>
        </w:rPr>
        <w:t>并结合国内各地储能发</w:t>
      </w:r>
      <w:r>
        <w:rPr>
          <w:rFonts w:ascii="Microsoft YaHei" w:hAnsi="Microsoft YaHei" w:eastAsia="Microsoft YaHei" w:cs="Microsoft YaHei"/>
        </w:rPr>
        <w:t xml:space="preserve">    </w:t>
      </w:r>
      <w:r>
        <w:rPr>
          <w:rFonts w:ascii="Microsoft YaHei" w:hAnsi="Microsoft YaHei" w:eastAsia="Microsoft YaHei" w:cs="Microsoft YaHei"/>
        </w:rPr>
        <w:t>展现状，从电力市场化和新型储能参与市场方</w:t>
      </w:r>
      <w:r>
        <w:rPr>
          <w:rFonts w:ascii="Microsoft YaHei" w:hAnsi="Microsoft YaHei" w:eastAsia="Microsoft YaHei" w:cs="Microsoft YaHei"/>
          <w:spacing w:val="-1"/>
        </w:rPr>
        <w:t>式两方面逐步优化。</w:t>
      </w:r>
    </w:p>
    <w:p>
      <w:pPr>
        <w:pStyle w:val="BodyText"/>
        <w:spacing w:line="252" w:lineRule="auto"/>
        <w:rPr/>
      </w:pPr>
      <w:r/>
    </w:p>
    <w:p>
      <w:pPr>
        <w:pStyle w:val="BodyText"/>
        <w:spacing w:line="253" w:lineRule="auto"/>
        <w:rPr/>
      </w:pPr>
      <w:r/>
    </w:p>
    <w:p>
      <w:pPr>
        <w:ind w:left="1300"/>
        <w:spacing w:before="206"/>
        <w:outlineLvl w:val="0"/>
        <w:tabs>
          <w:tab w:val="left" w:pos="1393"/>
        </w:tabs>
        <w:rPr>
          <w:rFonts w:ascii="Microsoft YaHei" w:hAnsi="Microsoft YaHei" w:eastAsia="Microsoft YaHei" w:cs="Microsoft YaHei"/>
          <w:sz w:val="48"/>
          <w:szCs w:val="48"/>
        </w:rPr>
      </w:pPr>
      <w:r>
        <w:rPr>
          <w:shd w:val="clear" w:fill="F1F1F1"/>
          <w:rFonts w:ascii="Microsoft YaHei" w:hAnsi="Microsoft YaHei" w:eastAsia="Microsoft YaHei" w:cs="Microsoft YaHei"/>
          <w:sz w:val="48"/>
          <w:szCs w:val="48"/>
          <w:color w:val="00338D"/>
        </w:rPr>
        <w:tab/>
      </w:r>
      <w:r>
        <w:rPr>
          <w:shd w:val="clear" w:fill="F1F1F1"/>
          <w:rFonts w:ascii="Microsoft YaHei" w:hAnsi="Microsoft YaHei" w:eastAsia="Microsoft YaHei" w:cs="Microsoft YaHei"/>
          <w:sz w:val="48"/>
          <w:szCs w:val="48"/>
          <w:color w:val="00338D"/>
          <w:position w:val="-48"/>
        </w:rPr>
        <w:drawing>
          <wp:inline distT="0" distB="0" distL="0" distR="0">
            <wp:extent cx="841244" cy="840732"/>
            <wp:effectExtent l="0" t="0" r="0" b="0"/>
            <wp:docPr id="22" name="IM 22"/>
            <wp:cNvGraphicFramePr/>
            <a:graphic>
              <a:graphicData uri="http://schemas.openxmlformats.org/drawingml/2006/picture">
                <pic:pic>
                  <pic:nvPicPr>
                    <pic:cNvPr id="22" name="IM 22"/>
                    <pic:cNvPicPr/>
                  </pic:nvPicPr>
                  <pic:blipFill>
                    <a:blip r:embed="rId12"/>
                    <a:stretch>
                      <a:fillRect/>
                    </a:stretch>
                  </pic:blipFill>
                  <pic:spPr>
                    <a:xfrm rot="0">
                      <a:off x="0" y="0"/>
                      <a:ext cx="841244" cy="840732"/>
                    </a:xfrm>
                    <a:prstGeom prst="rect">
                      <a:avLst/>
                    </a:prstGeom>
                  </pic:spPr>
                </pic:pic>
              </a:graphicData>
            </a:graphic>
          </wp:inline>
        </w:drawing>
      </w:r>
      <w:r>
        <w:rPr>
          <w:shd w:val="clear" w:fill="F1F1F1"/>
          <w:rFonts w:ascii="Microsoft YaHei" w:hAnsi="Microsoft YaHei" w:eastAsia="Microsoft YaHei" w:cs="Microsoft YaHei"/>
          <w:sz w:val="48"/>
          <w:szCs w:val="48"/>
          <w:b/>
          <w:bCs/>
          <w:color w:val="00338D"/>
          <w:spacing w:val="6"/>
        </w:rPr>
        <w:t>产业规模及预测                     </w:t>
      </w:r>
    </w:p>
    <w:p>
      <w:pPr>
        <w:pStyle w:val="BodyText"/>
        <w:ind w:left="1610" w:right="2972" w:hanging="265"/>
        <w:spacing w:before="236" w:line="211" w:lineRule="auto"/>
        <w:rPr>
          <w:rFonts w:ascii="Microsoft YaHei" w:hAnsi="Microsoft YaHei" w:eastAsia="Microsoft YaHei" w:cs="Microsoft YaHei"/>
        </w:rPr>
      </w:pPr>
      <w:r>
        <w:rPr>
          <w:sz w:val="24"/>
          <w:szCs w:val="24"/>
          <w:color w:val="00338D"/>
          <w:spacing w:val="-1"/>
        </w:rPr>
        <w:t>•</w:t>
      </w:r>
      <w:r>
        <w:rPr>
          <w:sz w:val="24"/>
          <w:szCs w:val="24"/>
          <w:color w:val="00338D"/>
          <w:spacing w:val="32"/>
        </w:rPr>
        <w:t xml:space="preserve">  </w:t>
      </w:r>
      <w:r>
        <w:rPr>
          <w:rFonts w:ascii="Microsoft YaHei" w:hAnsi="Microsoft YaHei" w:eastAsia="Microsoft YaHei" w:cs="Microsoft YaHei"/>
          <w:sz w:val="24"/>
          <w:szCs w:val="24"/>
          <w:b/>
          <w:bCs/>
          <w:color w:val="00338D"/>
          <w:spacing w:val="-1"/>
        </w:rPr>
        <w:t>可再生能源发电量的提升将带来全球储能市场规模</w:t>
      </w:r>
      <w:r>
        <w:rPr>
          <w:rFonts w:ascii="Microsoft YaHei" w:hAnsi="Microsoft YaHei" w:eastAsia="Microsoft YaHei" w:cs="Microsoft YaHei"/>
          <w:sz w:val="24"/>
          <w:szCs w:val="24"/>
          <w:b/>
          <w:bCs/>
          <w:color w:val="00338D"/>
          <w:spacing w:val="-2"/>
        </w:rPr>
        <w:t>快速增长。</w:t>
      </w:r>
      <w:r>
        <w:rPr>
          <w:rFonts w:ascii="Microsoft YaHei" w:hAnsi="Microsoft YaHei" w:eastAsia="Microsoft YaHei" w:cs="Microsoft YaHei"/>
          <w:spacing w:val="-2"/>
        </w:rPr>
        <w:t>据EIA预测，</w:t>
      </w:r>
      <w:r>
        <w:rPr>
          <w:rFonts w:ascii="Microsoft YaHei" w:hAnsi="Microsoft YaHei" w:eastAsia="Microsoft YaHei" w:cs="Microsoft YaHei"/>
        </w:rPr>
        <w:t xml:space="preserve">  </w:t>
      </w:r>
      <w:r>
        <w:rPr>
          <w:rFonts w:ascii="Microsoft YaHei" w:hAnsi="Microsoft YaHei" w:eastAsia="Microsoft YaHei" w:cs="Microsoft YaHei"/>
          <w:spacing w:val="2"/>
        </w:rPr>
        <w:t>至2050年</w:t>
      </w:r>
      <w:r>
        <w:rPr>
          <w:rFonts w:ascii="Microsoft YaHei" w:hAnsi="Microsoft YaHei" w:eastAsia="Microsoft YaHei" w:cs="Microsoft YaHei"/>
          <w:spacing w:val="-29"/>
        </w:rPr>
        <w:t xml:space="preserve"> </w:t>
      </w:r>
      <w:r>
        <w:rPr>
          <w:rFonts w:ascii="Microsoft YaHei" w:hAnsi="Microsoft YaHei" w:eastAsia="Microsoft YaHei" w:cs="Microsoft YaHei"/>
          <w:spacing w:val="2"/>
        </w:rPr>
        <w:t>，风能和太阳能发电将占到可再生能源发电量的72%</w:t>
      </w:r>
      <w:r>
        <w:rPr>
          <w:rFonts w:ascii="Microsoft YaHei" w:hAnsi="Microsoft YaHei" w:eastAsia="Microsoft YaHei" w:cs="Microsoft YaHei"/>
          <w:spacing w:val="-27"/>
        </w:rPr>
        <w:t xml:space="preserve"> </w:t>
      </w:r>
      <w:r>
        <w:rPr>
          <w:rFonts w:ascii="Microsoft YaHei" w:hAnsi="Microsoft YaHei" w:eastAsia="Microsoft YaHei" w:cs="Microsoft YaHei"/>
          <w:spacing w:val="2"/>
        </w:rPr>
        <w:t>，较2</w:t>
      </w:r>
      <w:r>
        <w:rPr>
          <w:rFonts w:ascii="Microsoft YaHei" w:hAnsi="Microsoft YaHei" w:eastAsia="Microsoft YaHei" w:cs="Microsoft YaHei"/>
          <w:spacing w:val="1"/>
        </w:rPr>
        <w:t>020年占比提</w:t>
      </w:r>
      <w:r>
        <w:rPr>
          <w:rFonts w:ascii="Microsoft YaHei" w:hAnsi="Microsoft YaHei" w:eastAsia="Microsoft YaHei" w:cs="Microsoft YaHei"/>
        </w:rPr>
        <w:t xml:space="preserve"> </w:t>
      </w:r>
      <w:r>
        <w:rPr>
          <w:rFonts w:ascii="Microsoft YaHei" w:hAnsi="Microsoft YaHei" w:eastAsia="Microsoft YaHei" w:cs="Microsoft YaHei"/>
          <w:spacing w:val="3"/>
        </w:rPr>
        <w:t>升近一倍。风能和太阳能等新能源所特有的间歇性和不稳定性</w:t>
      </w:r>
      <w:r>
        <w:rPr>
          <w:rFonts w:ascii="Microsoft YaHei" w:hAnsi="Microsoft YaHei" w:eastAsia="Microsoft YaHei" w:cs="Microsoft YaHei"/>
          <w:spacing w:val="2"/>
        </w:rPr>
        <w:t>将推动全球储能市场</w:t>
      </w:r>
      <w:r>
        <w:rPr>
          <w:rFonts w:ascii="Microsoft YaHei" w:hAnsi="Microsoft YaHei" w:eastAsia="Microsoft YaHei" w:cs="Microsoft YaHei"/>
        </w:rPr>
        <w:t xml:space="preserve"> </w:t>
      </w:r>
      <w:r>
        <w:rPr>
          <w:rFonts w:ascii="Microsoft YaHei" w:hAnsi="Microsoft YaHei" w:eastAsia="Microsoft YaHei" w:cs="Microsoft YaHei"/>
          <w:spacing w:val="9"/>
        </w:rPr>
        <w:t>的快速发展。</w:t>
      </w:r>
      <w:r>
        <w:rPr>
          <w:rFonts w:ascii="Microsoft YaHei" w:hAnsi="Microsoft YaHei" w:eastAsia="Microsoft YaHei" w:cs="Microsoft YaHei"/>
          <w:spacing w:val="-30"/>
        </w:rPr>
        <w:t xml:space="preserve"> </w:t>
      </w:r>
      <w:r>
        <w:rPr>
          <w:rFonts w:ascii="Microsoft YaHei" w:hAnsi="Microsoft YaHei" w:eastAsia="Microsoft YaHei" w:cs="Microsoft YaHei"/>
          <w:spacing w:val="9"/>
        </w:rPr>
        <w:t>电化学储能作为新型储能方式的代表,</w:t>
      </w:r>
      <w:r>
        <w:rPr>
          <w:rFonts w:ascii="Microsoft YaHei" w:hAnsi="Microsoft YaHei" w:eastAsia="Microsoft YaHei" w:cs="Microsoft YaHei"/>
          <w:spacing w:val="60"/>
        </w:rPr>
        <w:t xml:space="preserve"> </w:t>
      </w:r>
      <w:r>
        <w:rPr>
          <w:rFonts w:ascii="Microsoft YaHei" w:hAnsi="Microsoft YaHei" w:eastAsia="Microsoft YaHei" w:cs="Microsoft YaHei"/>
          <w:spacing w:val="9"/>
        </w:rPr>
        <w:t>未来发展前景尤为广阔。据</w:t>
      </w:r>
      <w:r>
        <w:rPr>
          <w:rFonts w:ascii="Microsoft YaHei" w:hAnsi="Microsoft YaHei" w:eastAsia="Microsoft YaHei" w:cs="Microsoft YaHei"/>
        </w:rPr>
        <w:t xml:space="preserve"> </w:t>
      </w:r>
      <w:r>
        <w:rPr>
          <w:rFonts w:ascii="Microsoft YaHei" w:hAnsi="Microsoft YaHei" w:eastAsia="Microsoft YaHei" w:cs="Microsoft YaHei"/>
          <w:spacing w:val="-3"/>
        </w:rPr>
        <w:t>CNESA预测，至2027年，全球电化学储能产业装机规模</w:t>
      </w:r>
      <w:r>
        <w:rPr>
          <w:rFonts w:ascii="Microsoft YaHei" w:hAnsi="Microsoft YaHei" w:eastAsia="Microsoft YaHei" w:cs="Microsoft YaHei"/>
          <w:spacing w:val="-4"/>
        </w:rPr>
        <w:t>将达1,138.9GWh,  2021-27</w:t>
      </w:r>
      <w:r>
        <w:rPr>
          <w:rFonts w:ascii="Microsoft YaHei" w:hAnsi="Microsoft YaHei" w:eastAsia="Microsoft YaHei" w:cs="Microsoft YaHei"/>
        </w:rPr>
        <w:t xml:space="preserve"> </w:t>
      </w:r>
      <w:r>
        <w:rPr>
          <w:rFonts w:ascii="Microsoft YaHei" w:hAnsi="Microsoft YaHei" w:eastAsia="Microsoft YaHei" w:cs="Microsoft YaHei"/>
        </w:rPr>
        <w:t>年间复合增长率达61%，约为未来储能总装机容量年复合增长率</w:t>
      </w:r>
      <w:r>
        <w:rPr>
          <w:rFonts w:ascii="Microsoft YaHei" w:hAnsi="Microsoft YaHei" w:eastAsia="Microsoft YaHei" w:cs="Microsoft YaHei"/>
          <w:spacing w:val="-1"/>
        </w:rPr>
        <w:t>31%的两倍。</w:t>
      </w:r>
    </w:p>
    <w:p>
      <w:pPr>
        <w:pStyle w:val="BodyText"/>
        <w:ind w:left="1609" w:right="2799" w:hanging="264"/>
        <w:spacing w:before="326" w:line="216" w:lineRule="auto"/>
        <w:jc w:val="right"/>
        <w:rPr>
          <w:rFonts w:ascii="Microsoft YaHei" w:hAnsi="Microsoft YaHei" w:eastAsia="Microsoft YaHei" w:cs="Microsoft YaHei"/>
        </w:rPr>
      </w:pPr>
      <w:r>
        <w:rPr>
          <w:sz w:val="24"/>
          <w:szCs w:val="24"/>
          <w:color w:val="00338D"/>
          <w:spacing w:val="5"/>
        </w:rPr>
        <w:t>•</w:t>
      </w:r>
      <w:r>
        <w:rPr>
          <w:sz w:val="24"/>
          <w:szCs w:val="24"/>
          <w:color w:val="00338D"/>
          <w:spacing w:val="30"/>
        </w:rPr>
        <w:t xml:space="preserve">  </w:t>
      </w:r>
      <w:r>
        <w:rPr>
          <w:rFonts w:ascii="Microsoft YaHei" w:hAnsi="Microsoft YaHei" w:eastAsia="Microsoft YaHei" w:cs="Microsoft YaHei"/>
          <w:sz w:val="24"/>
          <w:szCs w:val="24"/>
          <w:b/>
          <w:bCs/>
          <w:color w:val="00338D"/>
          <w:spacing w:val="5"/>
        </w:rPr>
        <w:t>2022年中国电化学储能装机量同比翻番</w:t>
      </w:r>
      <w:r>
        <w:rPr>
          <w:rFonts w:ascii="Microsoft YaHei" w:hAnsi="Microsoft YaHei" w:eastAsia="Microsoft YaHei" w:cs="Microsoft YaHei"/>
          <w:sz w:val="24"/>
          <w:szCs w:val="24"/>
          <w:b/>
          <w:bCs/>
          <w:color w:val="00338D"/>
          <w:spacing w:val="-23"/>
        </w:rPr>
        <w:t xml:space="preserve"> </w:t>
      </w:r>
      <w:r>
        <w:rPr>
          <w:rFonts w:ascii="Microsoft YaHei" w:hAnsi="Microsoft YaHei" w:eastAsia="Microsoft YaHei" w:cs="Microsoft YaHei"/>
          <w:sz w:val="24"/>
          <w:szCs w:val="24"/>
          <w:b/>
          <w:bCs/>
          <w:color w:val="00338D"/>
          <w:spacing w:val="5"/>
        </w:rPr>
        <w:t>，2026</w:t>
      </w:r>
      <w:r>
        <w:rPr>
          <w:rFonts w:ascii="Microsoft YaHei" w:hAnsi="Microsoft YaHei" w:eastAsia="Microsoft YaHei" w:cs="Microsoft YaHei"/>
          <w:sz w:val="24"/>
          <w:szCs w:val="24"/>
          <w:b/>
          <w:bCs/>
          <w:color w:val="00338D"/>
          <w:spacing w:val="4"/>
        </w:rPr>
        <w:t>年装机量有望占到全球</w:t>
      </w:r>
      <w:r>
        <w:rPr>
          <w:rFonts w:ascii="Microsoft YaHei" w:hAnsi="Microsoft YaHei" w:eastAsia="Microsoft YaHei" w:cs="Microsoft YaHei"/>
          <w:sz w:val="24"/>
          <w:szCs w:val="24"/>
          <w:b/>
          <w:bCs/>
          <w:color w:val="00338D"/>
        </w:rPr>
        <w:t xml:space="preserve">   </w:t>
      </w:r>
      <w:r>
        <w:rPr>
          <w:rFonts w:ascii="Microsoft YaHei" w:hAnsi="Microsoft YaHei" w:eastAsia="Microsoft YaHei" w:cs="Microsoft YaHei"/>
          <w:sz w:val="24"/>
          <w:szCs w:val="24"/>
          <w:b/>
          <w:bCs/>
          <w:color w:val="00338D"/>
          <w:spacing w:val="1"/>
        </w:rPr>
        <w:t>1/5以上。</w:t>
      </w:r>
      <w:r>
        <w:rPr>
          <w:rFonts w:ascii="Microsoft YaHei" w:hAnsi="Microsoft YaHei" w:eastAsia="Microsoft YaHei" w:cs="Microsoft YaHei"/>
          <w:sz w:val="24"/>
          <w:szCs w:val="24"/>
          <w:b/>
          <w:bCs/>
          <w:color w:val="00338D"/>
          <w:spacing w:val="-31"/>
        </w:rPr>
        <w:t xml:space="preserve"> </w:t>
      </w:r>
      <w:r>
        <w:rPr>
          <w:rFonts w:ascii="Microsoft YaHei" w:hAnsi="Microsoft YaHei" w:eastAsia="Microsoft YaHei" w:cs="Microsoft YaHei"/>
          <w:spacing w:val="1"/>
        </w:rPr>
        <w:t>截至2022年底</w:t>
      </w:r>
      <w:r>
        <w:rPr>
          <w:rFonts w:ascii="Microsoft YaHei" w:hAnsi="Microsoft YaHei" w:eastAsia="Microsoft YaHei" w:cs="Microsoft YaHei"/>
          <w:spacing w:val="-29"/>
        </w:rPr>
        <w:t xml:space="preserve"> </w:t>
      </w:r>
      <w:r>
        <w:rPr>
          <w:rFonts w:ascii="Microsoft YaHei" w:hAnsi="Microsoft YaHei" w:eastAsia="Microsoft YaHei" w:cs="Microsoft YaHei"/>
          <w:spacing w:val="1"/>
        </w:rPr>
        <w:t>，全国电力安全生产委员会19家企业成员单位累计投运</w:t>
      </w:r>
      <w:r>
        <w:rPr>
          <w:rFonts w:ascii="Microsoft YaHei" w:hAnsi="Microsoft YaHei" w:eastAsia="Microsoft YaHei" w:cs="Microsoft YaHei"/>
        </w:rPr>
        <w:t xml:space="preserve">    </w:t>
      </w:r>
      <w:r>
        <w:rPr>
          <w:rFonts w:ascii="Microsoft YaHei" w:hAnsi="Microsoft YaHei" w:eastAsia="Microsoft YaHei" w:cs="Microsoft YaHei"/>
          <w:spacing w:val="-1"/>
        </w:rPr>
        <w:t>电化学储能站472座、</w:t>
      </w:r>
      <w:r>
        <w:rPr>
          <w:rFonts w:ascii="Microsoft YaHei" w:hAnsi="Microsoft YaHei" w:eastAsia="Microsoft YaHei" w:cs="Microsoft YaHei"/>
          <w:spacing w:val="-42"/>
        </w:rPr>
        <w:t xml:space="preserve"> </w:t>
      </w:r>
      <w:r>
        <w:rPr>
          <w:rFonts w:ascii="Microsoft YaHei" w:hAnsi="Microsoft YaHei" w:eastAsia="Microsoft YaHei" w:cs="Microsoft YaHei"/>
          <w:spacing w:val="-1"/>
        </w:rPr>
        <w:t>总能量14.1GWh、</w:t>
      </w:r>
      <w:r>
        <w:rPr>
          <w:rFonts w:ascii="Microsoft YaHei" w:hAnsi="Microsoft YaHei" w:eastAsia="Microsoft YaHei" w:cs="Microsoft YaHei"/>
          <w:spacing w:val="-30"/>
        </w:rPr>
        <w:t xml:space="preserve"> </w:t>
      </w:r>
      <w:r>
        <w:rPr>
          <w:rFonts w:ascii="Microsoft YaHei" w:hAnsi="Microsoft YaHei" w:eastAsia="Microsoft YaHei" w:cs="Microsoft YaHei"/>
          <w:spacing w:val="-1"/>
        </w:rPr>
        <w:t>同比增长127%；</w:t>
      </w:r>
      <w:r>
        <w:rPr>
          <w:rFonts w:ascii="Microsoft YaHei" w:hAnsi="Microsoft YaHei" w:eastAsia="Microsoft YaHei" w:cs="Microsoft YaHei"/>
          <w:spacing w:val="-41"/>
        </w:rPr>
        <w:t xml:space="preserve"> </w:t>
      </w:r>
      <w:r>
        <w:rPr>
          <w:rFonts w:ascii="Microsoft YaHei" w:hAnsi="Microsoft YaHei" w:eastAsia="Microsoft YaHei" w:cs="Microsoft YaHei"/>
          <w:spacing w:val="-1"/>
        </w:rPr>
        <w:t>2022年</w:t>
      </w:r>
      <w:r>
        <w:rPr>
          <w:rFonts w:ascii="Microsoft YaHei" w:hAnsi="Microsoft YaHei" w:eastAsia="Microsoft YaHei" w:cs="Microsoft YaHei"/>
          <w:spacing w:val="-28"/>
        </w:rPr>
        <w:t xml:space="preserve"> </w:t>
      </w:r>
      <w:r>
        <w:rPr>
          <w:rFonts w:ascii="Microsoft YaHei" w:hAnsi="Microsoft YaHei" w:eastAsia="Microsoft YaHei" w:cs="Microsoft YaHei"/>
          <w:spacing w:val="-1"/>
        </w:rPr>
        <w:t>，新增投运电化</w:t>
      </w:r>
      <w:r>
        <w:rPr>
          <w:rFonts w:ascii="Microsoft YaHei" w:hAnsi="Microsoft YaHei" w:eastAsia="Microsoft YaHei" w:cs="Microsoft YaHei"/>
        </w:rPr>
        <w:t xml:space="preserve">    </w:t>
      </w:r>
      <w:r>
        <w:rPr>
          <w:rFonts w:ascii="Microsoft YaHei" w:hAnsi="Microsoft YaHei" w:eastAsia="Microsoft YaHei" w:cs="Microsoft YaHei"/>
          <w:spacing w:val="-4"/>
        </w:rPr>
        <w:t>学</w:t>
      </w:r>
      <w:r>
        <w:rPr>
          <w:rFonts w:ascii="Microsoft YaHei" w:hAnsi="Microsoft YaHei" w:eastAsia="Microsoft YaHei" w:cs="Microsoft YaHei"/>
          <w:spacing w:val="-37"/>
        </w:rPr>
        <w:t xml:space="preserve"> </w:t>
      </w:r>
      <w:r>
        <w:rPr>
          <w:rFonts w:ascii="Microsoft YaHei" w:hAnsi="Microsoft YaHei" w:eastAsia="Microsoft YaHei" w:cs="Microsoft YaHei"/>
          <w:spacing w:val="-4"/>
        </w:rPr>
        <w:t>储能</w:t>
      </w:r>
      <w:r>
        <w:rPr>
          <w:rFonts w:ascii="Microsoft YaHei" w:hAnsi="Microsoft YaHei" w:eastAsia="Microsoft YaHei" w:cs="Microsoft YaHei"/>
          <w:spacing w:val="-15"/>
        </w:rPr>
        <w:t xml:space="preserve"> </w:t>
      </w:r>
      <w:r>
        <w:rPr>
          <w:rFonts w:ascii="Microsoft YaHei" w:hAnsi="Microsoft YaHei" w:eastAsia="Microsoft YaHei" w:cs="Microsoft YaHei"/>
          <w:spacing w:val="-4"/>
        </w:rPr>
        <w:t>电站</w:t>
      </w:r>
      <w:r>
        <w:rPr>
          <w:rFonts w:ascii="Microsoft YaHei" w:hAnsi="Microsoft YaHei" w:eastAsia="Microsoft YaHei" w:cs="Microsoft YaHei"/>
          <w:spacing w:val="-25"/>
        </w:rPr>
        <w:t xml:space="preserve"> </w:t>
      </w:r>
      <w:r>
        <w:rPr>
          <w:rFonts w:ascii="Microsoft YaHei" w:hAnsi="Microsoft YaHei" w:eastAsia="Microsoft YaHei" w:cs="Microsoft YaHei"/>
          <w:spacing w:val="-4"/>
        </w:rPr>
        <w:t>194座</w:t>
      </w:r>
      <w:r>
        <w:rPr>
          <w:rFonts w:ascii="Microsoft YaHei" w:hAnsi="Microsoft YaHei" w:eastAsia="Microsoft YaHei" w:cs="Microsoft YaHei"/>
          <w:spacing w:val="-32"/>
        </w:rPr>
        <w:t xml:space="preserve"> </w:t>
      </w:r>
      <w:r>
        <w:rPr>
          <w:rFonts w:ascii="Microsoft YaHei" w:hAnsi="Microsoft YaHei" w:eastAsia="Microsoft YaHei" w:cs="Microsoft YaHei"/>
          <w:spacing w:val="-4"/>
        </w:rPr>
        <w:t>、</w:t>
      </w:r>
      <w:r>
        <w:rPr>
          <w:rFonts w:ascii="Microsoft YaHei" w:hAnsi="Microsoft YaHei" w:eastAsia="Microsoft YaHei" w:cs="Microsoft YaHei"/>
          <w:spacing w:val="-40"/>
        </w:rPr>
        <w:t xml:space="preserve"> </w:t>
      </w:r>
      <w:r>
        <w:rPr>
          <w:rFonts w:ascii="Microsoft YaHei" w:hAnsi="Microsoft YaHei" w:eastAsia="Microsoft YaHei" w:cs="Microsoft YaHei"/>
          <w:spacing w:val="-4"/>
        </w:rPr>
        <w:t>总能</w:t>
      </w:r>
      <w:r>
        <w:rPr>
          <w:rFonts w:ascii="Microsoft YaHei" w:hAnsi="Microsoft YaHei" w:eastAsia="Microsoft YaHei" w:cs="Microsoft YaHei"/>
          <w:spacing w:val="-32"/>
        </w:rPr>
        <w:t xml:space="preserve"> </w:t>
      </w:r>
      <w:r>
        <w:rPr>
          <w:rFonts w:ascii="Microsoft YaHei" w:hAnsi="Microsoft YaHei" w:eastAsia="Microsoft YaHei" w:cs="Microsoft YaHei"/>
          <w:spacing w:val="-4"/>
        </w:rPr>
        <w:t>量</w:t>
      </w:r>
      <w:r>
        <w:rPr>
          <w:rFonts w:ascii="Microsoft YaHei" w:hAnsi="Microsoft YaHei" w:eastAsia="Microsoft YaHei" w:cs="Microsoft YaHei"/>
          <w:spacing w:val="-33"/>
        </w:rPr>
        <w:t xml:space="preserve"> </w:t>
      </w:r>
      <w:r>
        <w:rPr>
          <w:rFonts w:ascii="Microsoft YaHei" w:hAnsi="Microsoft YaHei" w:eastAsia="Microsoft YaHei" w:cs="Microsoft YaHei"/>
          <w:spacing w:val="-4"/>
        </w:rPr>
        <w:t>7.9GWh</w:t>
      </w:r>
      <w:r>
        <w:rPr>
          <w:rFonts w:ascii="Microsoft YaHei" w:hAnsi="Microsoft YaHei" w:eastAsia="Microsoft YaHei" w:cs="Microsoft YaHei"/>
          <w:spacing w:val="-18"/>
        </w:rPr>
        <w:t xml:space="preserve"> </w:t>
      </w:r>
      <w:r>
        <w:rPr>
          <w:rFonts w:ascii="Microsoft YaHei" w:hAnsi="Microsoft YaHei" w:eastAsia="Microsoft YaHei" w:cs="Microsoft YaHei"/>
          <w:spacing w:val="-4"/>
        </w:rPr>
        <w:t>，</w:t>
      </w:r>
      <w:r>
        <w:rPr>
          <w:rFonts w:ascii="Microsoft YaHei" w:hAnsi="Microsoft YaHei" w:eastAsia="Microsoft YaHei" w:cs="Microsoft YaHei"/>
          <w:spacing w:val="-14"/>
        </w:rPr>
        <w:t xml:space="preserve"> </w:t>
      </w:r>
      <w:r>
        <w:rPr>
          <w:rFonts w:ascii="Microsoft YaHei" w:hAnsi="Microsoft YaHei" w:eastAsia="Microsoft YaHei" w:cs="Microsoft YaHei"/>
          <w:spacing w:val="-4"/>
        </w:rPr>
        <w:t>占已</w:t>
      </w:r>
      <w:r>
        <w:rPr>
          <w:rFonts w:ascii="Microsoft YaHei" w:hAnsi="Microsoft YaHei" w:eastAsia="Microsoft YaHei" w:cs="Microsoft YaHei"/>
          <w:spacing w:val="-36"/>
        </w:rPr>
        <w:t xml:space="preserve"> </w:t>
      </w:r>
      <w:r>
        <w:rPr>
          <w:rFonts w:ascii="Microsoft YaHei" w:hAnsi="Microsoft YaHei" w:eastAsia="Microsoft YaHei" w:cs="Microsoft YaHei"/>
          <w:spacing w:val="-4"/>
        </w:rPr>
        <w:t>投运</w:t>
      </w:r>
      <w:r>
        <w:rPr>
          <w:rFonts w:ascii="Microsoft YaHei" w:hAnsi="Microsoft YaHei" w:eastAsia="Microsoft YaHei" w:cs="Microsoft YaHei"/>
          <w:spacing w:val="-15"/>
        </w:rPr>
        <w:t xml:space="preserve"> </w:t>
      </w:r>
      <w:r>
        <w:rPr>
          <w:rFonts w:ascii="Microsoft YaHei" w:hAnsi="Microsoft YaHei" w:eastAsia="Microsoft YaHei" w:cs="Microsoft YaHei"/>
          <w:spacing w:val="-4"/>
        </w:rPr>
        <w:t>电站</w:t>
      </w:r>
      <w:r>
        <w:rPr>
          <w:rFonts w:ascii="Microsoft YaHei" w:hAnsi="Microsoft YaHei" w:eastAsia="Microsoft YaHei" w:cs="Microsoft YaHei"/>
          <w:spacing w:val="-33"/>
        </w:rPr>
        <w:t xml:space="preserve"> </w:t>
      </w:r>
      <w:r>
        <w:rPr>
          <w:rFonts w:ascii="Microsoft YaHei" w:hAnsi="Microsoft YaHei" w:eastAsia="Microsoft YaHei" w:cs="Microsoft YaHei"/>
          <w:spacing w:val="-4"/>
        </w:rPr>
        <w:t>总能</w:t>
      </w:r>
      <w:r>
        <w:rPr>
          <w:rFonts w:ascii="Microsoft YaHei" w:hAnsi="Microsoft YaHei" w:eastAsia="Microsoft YaHei" w:cs="Microsoft YaHei"/>
          <w:spacing w:val="-32"/>
        </w:rPr>
        <w:t xml:space="preserve"> </w:t>
      </w:r>
      <w:r>
        <w:rPr>
          <w:rFonts w:ascii="Microsoft YaHei" w:hAnsi="Microsoft YaHei" w:eastAsia="Microsoft YaHei" w:cs="Microsoft YaHei"/>
          <w:spacing w:val="-4"/>
        </w:rPr>
        <w:t>量的</w:t>
      </w:r>
      <w:r>
        <w:rPr>
          <w:rFonts w:ascii="Microsoft YaHei" w:hAnsi="Microsoft YaHei" w:eastAsia="Microsoft YaHei" w:cs="Microsoft YaHei"/>
          <w:spacing w:val="-31"/>
        </w:rPr>
        <w:t xml:space="preserve"> </w:t>
      </w:r>
      <w:r>
        <w:rPr>
          <w:rFonts w:ascii="Microsoft YaHei" w:hAnsi="Microsoft YaHei" w:eastAsia="Microsoft YaHei" w:cs="Microsoft YaHei"/>
          <w:spacing w:val="-4"/>
        </w:rPr>
        <w:t>60.2%</w:t>
      </w:r>
      <w:r>
        <w:rPr>
          <w:rFonts w:ascii="Microsoft YaHei" w:hAnsi="Microsoft YaHei" w:eastAsia="Microsoft YaHei" w:cs="Microsoft YaHei"/>
          <w:spacing w:val="-13"/>
        </w:rPr>
        <w:t xml:space="preserve"> </w:t>
      </w:r>
      <w:r>
        <w:rPr>
          <w:rFonts w:ascii="Microsoft YaHei" w:hAnsi="Microsoft YaHei" w:eastAsia="Microsoft YaHei" w:cs="Microsoft YaHei"/>
          <w:spacing w:val="-4"/>
        </w:rPr>
        <w:t>，</w:t>
      </w:r>
      <w:r>
        <w:rPr>
          <w:rFonts w:ascii="Microsoft YaHei" w:hAnsi="Microsoft YaHei" w:eastAsia="Microsoft YaHei" w:cs="Microsoft YaHei"/>
          <w:spacing w:val="-28"/>
        </w:rPr>
        <w:t xml:space="preserve"> </w:t>
      </w:r>
      <w:r>
        <w:rPr>
          <w:rFonts w:ascii="Microsoft YaHei" w:hAnsi="Microsoft YaHei" w:eastAsia="Microsoft YaHei" w:cs="Microsoft YaHei"/>
          <w:spacing w:val="-4"/>
        </w:rPr>
        <w:t>同</w:t>
      </w:r>
      <w:r>
        <w:rPr>
          <w:rFonts w:ascii="Microsoft YaHei" w:hAnsi="Microsoft YaHei" w:eastAsia="Microsoft YaHei" w:cs="Microsoft YaHei"/>
          <w:spacing w:val="-5"/>
        </w:rPr>
        <w:t>比增</w:t>
      </w:r>
      <w:r>
        <w:rPr>
          <w:rFonts w:ascii="Microsoft YaHei" w:hAnsi="Microsoft YaHei" w:eastAsia="Microsoft YaHei" w:cs="Microsoft YaHei"/>
          <w:spacing w:val="-31"/>
        </w:rPr>
        <w:t xml:space="preserve"> </w:t>
      </w:r>
      <w:r>
        <w:rPr>
          <w:rFonts w:ascii="Microsoft YaHei" w:hAnsi="Microsoft YaHei" w:eastAsia="Microsoft YaHei" w:cs="Microsoft YaHei"/>
          <w:spacing w:val="-5"/>
        </w:rPr>
        <w:t>长</w:t>
      </w:r>
      <w:r>
        <w:rPr>
          <w:rFonts w:ascii="Microsoft YaHei" w:hAnsi="Microsoft YaHei" w:eastAsia="Microsoft YaHei" w:cs="Microsoft YaHei"/>
        </w:rPr>
        <w:t xml:space="preserve">    </w:t>
      </w:r>
      <w:r>
        <w:rPr>
          <w:rFonts w:ascii="Microsoft YaHei" w:hAnsi="Microsoft YaHei" w:eastAsia="Microsoft YaHei" w:cs="Microsoft YaHei"/>
        </w:rPr>
        <w:t>176%。从国际比较来看，根据IEA的预测，到</w:t>
      </w:r>
      <w:r>
        <w:rPr>
          <w:rFonts w:ascii="Microsoft YaHei" w:hAnsi="Microsoft YaHei" w:eastAsia="Microsoft YaHei" w:cs="Microsoft YaHei"/>
          <w:spacing w:val="-1"/>
        </w:rPr>
        <w:t>2026年，中国电化学储能总装机量将</w:t>
      </w:r>
      <w:r>
        <w:rPr>
          <w:rFonts w:ascii="Microsoft YaHei" w:hAnsi="Microsoft YaHei" w:eastAsia="Microsoft YaHei" w:cs="Microsoft YaHei"/>
        </w:rPr>
        <w:t xml:space="preserve">    </w:t>
      </w:r>
      <w:r>
        <w:rPr>
          <w:rFonts w:ascii="Microsoft YaHei" w:hAnsi="Microsoft YaHei" w:eastAsia="Microsoft YaHei" w:cs="Microsoft YaHei"/>
        </w:rPr>
        <w:t>跃居各国首位</w:t>
      </w:r>
      <w:r>
        <w:rPr>
          <w:rFonts w:ascii="Microsoft YaHei" w:hAnsi="Microsoft YaHei" w:eastAsia="Microsoft YaHei" w:cs="Microsoft YaHei"/>
          <w:spacing w:val="-26"/>
        </w:rPr>
        <w:t xml:space="preserve"> </w:t>
      </w:r>
      <w:r>
        <w:rPr>
          <w:rFonts w:ascii="Microsoft YaHei" w:hAnsi="Microsoft YaHei" w:eastAsia="Microsoft YaHei" w:cs="Microsoft YaHei"/>
        </w:rPr>
        <w:t>，</w:t>
      </w:r>
      <w:r>
        <w:rPr>
          <w:rFonts w:ascii="Microsoft YaHei" w:hAnsi="Microsoft YaHei" w:eastAsia="Microsoft YaHei" w:cs="Microsoft YaHei"/>
          <w:spacing w:val="-29"/>
        </w:rPr>
        <w:t xml:space="preserve"> </w:t>
      </w:r>
      <w:r>
        <w:rPr>
          <w:rFonts w:ascii="Microsoft YaHei" w:hAnsi="Microsoft YaHei" w:eastAsia="Microsoft YaHei" w:cs="Microsoft YaHei"/>
        </w:rPr>
        <w:t>占比22%</w:t>
      </w:r>
      <w:r>
        <w:rPr>
          <w:rFonts w:ascii="Microsoft YaHei" w:hAnsi="Microsoft YaHei" w:eastAsia="Microsoft YaHei" w:cs="Microsoft YaHei"/>
          <w:spacing w:val="-27"/>
        </w:rPr>
        <w:t xml:space="preserve"> </w:t>
      </w:r>
      <w:r>
        <w:rPr>
          <w:rFonts w:ascii="Microsoft YaHei" w:hAnsi="Microsoft YaHei" w:eastAsia="Microsoft YaHei" w:cs="Microsoft YaHei"/>
        </w:rPr>
        <w:t>，几乎与欧洲全境的总装机量持平</w:t>
      </w:r>
      <w:r>
        <w:rPr>
          <w:rFonts w:ascii="Microsoft YaHei" w:hAnsi="Microsoft YaHei" w:eastAsia="Microsoft YaHei" w:cs="Microsoft YaHei"/>
          <w:spacing w:val="-29"/>
        </w:rPr>
        <w:t xml:space="preserve"> </w:t>
      </w:r>
      <w:r>
        <w:rPr>
          <w:rFonts w:ascii="Microsoft YaHei" w:hAnsi="Microsoft YaHei" w:eastAsia="Microsoft YaHei" w:cs="Microsoft YaHei"/>
        </w:rPr>
        <w:t>，较美国高7个百分点。</w:t>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1805" w:right="1241" w:hanging="411"/>
        <w:spacing w:before="47" w:line="172" w:lineRule="auto"/>
        <w:rPr>
          <w:rFonts w:ascii="Microsoft YaHei" w:hAnsi="Microsoft YaHei" w:eastAsia="Microsoft YaHei" w:cs="Microsoft YaHei"/>
          <w:sz w:val="11"/>
          <w:szCs w:val="11"/>
        </w:rPr>
      </w:pPr>
      <w:r>
        <w:drawing>
          <wp:anchor distT="0" distB="0" distL="0" distR="0" simplePos="0" relativeHeight="251666432" behindDoc="0" locked="0" layoutInCell="1" allowOverlap="1">
            <wp:simplePos x="0" y="0"/>
            <wp:positionH relativeFrom="column">
              <wp:posOffset>4361818</wp:posOffset>
            </wp:positionH>
            <wp:positionV relativeFrom="paragraph">
              <wp:posOffset>-316789</wp:posOffset>
            </wp:positionV>
            <wp:extent cx="2867271" cy="657097"/>
            <wp:effectExtent l="0" t="0" r="0" b="0"/>
            <wp:wrapNone/>
            <wp:docPr id="24" name="IM 24"/>
            <wp:cNvGraphicFramePr/>
            <a:graphic>
              <a:graphicData uri="http://schemas.openxmlformats.org/drawingml/2006/picture">
                <pic:pic>
                  <pic:nvPicPr>
                    <pic:cNvPr id="24" name="IM 24"/>
                    <pic:cNvPicPr/>
                  </pic:nvPicPr>
                  <pic:blipFill>
                    <a:blip r:embed="rId13"/>
                    <a:stretch>
                      <a:fillRect/>
                    </a:stretch>
                  </pic:blipFill>
                  <pic:spPr>
                    <a:xfrm rot="0">
                      <a:off x="0" y="0"/>
                      <a:ext cx="2867271" cy="657097"/>
                    </a:xfrm>
                    <a:prstGeom prst="rect">
                      <a:avLst/>
                    </a:prstGeom>
                  </pic:spPr>
                </pic:pic>
              </a:graphicData>
            </a:graphic>
          </wp:anchor>
        </w:drawing>
      </w:r>
      <w:r>
        <w:rPr>
          <w:rFonts w:ascii="Microsoft YaHei" w:hAnsi="Microsoft YaHei" w:eastAsia="Microsoft YaHei" w:cs="Microsoft YaHei"/>
          <w:sz w:val="11"/>
          <w:szCs w:val="11"/>
          <w:color w:val="F1F1F1"/>
          <w:spacing w:val="-1"/>
        </w:rPr>
        <w:t>© 2023</w:t>
      </w:r>
      <w:r>
        <w:rPr>
          <w:rFonts w:ascii="Microsoft YaHei" w:hAnsi="Microsoft YaHei" w:eastAsia="Microsoft YaHei" w:cs="Microsoft YaHei"/>
          <w:sz w:val="11"/>
          <w:szCs w:val="11"/>
          <w:color w:val="F1F1F1"/>
          <w:spacing w:val="-6"/>
        </w:rPr>
        <w:t xml:space="preserve"> </w:t>
      </w:r>
      <w:r>
        <w:rPr>
          <w:rFonts w:ascii="Microsoft YaHei" w:hAnsi="Microsoft YaHei" w:eastAsia="Microsoft YaHei" w:cs="Microsoft YaHei"/>
          <w:sz w:val="11"/>
          <w:szCs w:val="11"/>
          <w:color w:val="F1F1F1"/>
          <w:spacing w:val="-1"/>
        </w:rPr>
        <w:t>毕马威华振会计师事务所(特殊普通合伙)</w:t>
      </w:r>
      <w:r>
        <w:rPr>
          <w:rFonts w:ascii="Microsoft YaHei" w:hAnsi="Microsoft YaHei" w:eastAsia="Microsoft YaHei" w:cs="Microsoft YaHei"/>
          <w:sz w:val="11"/>
          <w:szCs w:val="11"/>
          <w:color w:val="F1F1F1"/>
          <w:spacing w:val="-12"/>
        </w:rPr>
        <w:t xml:space="preserve"> </w:t>
      </w:r>
      <w:r>
        <w:rPr>
          <w:rFonts w:ascii="Microsoft YaHei" w:hAnsi="Microsoft YaHei" w:eastAsia="Microsoft YaHei" w:cs="Microsoft YaHei"/>
          <w:sz w:val="11"/>
          <w:szCs w:val="11"/>
          <w:color w:val="F1F1F1"/>
          <w:spacing w:val="-1"/>
        </w:rPr>
        <w:t>— 中国合伙制会计师事务所，毕马威企业咨询</w:t>
      </w:r>
      <w:r>
        <w:rPr>
          <w:rFonts w:ascii="Microsoft YaHei" w:hAnsi="Microsoft YaHei" w:eastAsia="Microsoft YaHei" w:cs="Microsoft YaHei"/>
          <w:sz w:val="11"/>
          <w:szCs w:val="11"/>
          <w:color w:val="F1F1F1"/>
          <w:spacing w:val="-8"/>
        </w:rPr>
        <w:t xml:space="preserve"> </w:t>
      </w:r>
      <w:r>
        <w:rPr>
          <w:rFonts w:ascii="Microsoft YaHei" w:hAnsi="Microsoft YaHei" w:eastAsia="Microsoft YaHei" w:cs="Microsoft YaHei"/>
          <w:sz w:val="11"/>
          <w:szCs w:val="11"/>
          <w:color w:val="F1F1F1"/>
          <w:spacing w:val="-1"/>
        </w:rPr>
        <w:t>(中国)有限公司 — 中国有限责任公司，毕马威会计师事务所</w:t>
      </w:r>
      <w:r>
        <w:rPr>
          <w:rFonts w:ascii="Microsoft YaHei" w:hAnsi="Microsoft YaHei" w:eastAsia="Microsoft YaHei" w:cs="Microsoft YaHei"/>
          <w:sz w:val="11"/>
          <w:szCs w:val="11"/>
          <w:color w:val="F1F1F1"/>
          <w:spacing w:val="-8"/>
        </w:rPr>
        <w:t xml:space="preserve"> </w:t>
      </w:r>
      <w:r>
        <w:rPr>
          <w:rFonts w:ascii="Microsoft YaHei" w:hAnsi="Microsoft YaHei" w:eastAsia="Microsoft YaHei" w:cs="Microsoft YaHei"/>
          <w:sz w:val="11"/>
          <w:szCs w:val="11"/>
          <w:color w:val="F1F1F1"/>
          <w:spacing w:val="-1"/>
        </w:rPr>
        <w:t>— 澳门特别行政区合伙制事务所，</w:t>
      </w:r>
      <w:r>
        <w:rPr>
          <w:rFonts w:ascii="Microsoft YaHei" w:hAnsi="Microsoft YaHei" w:eastAsia="Microsoft YaHei" w:cs="Microsoft YaHei"/>
          <w:sz w:val="11"/>
          <w:szCs w:val="11"/>
          <w:color w:val="F1F1F1"/>
          <w:spacing w:val="-2"/>
        </w:rPr>
        <w:t>及毕马威</w:t>
      </w:r>
      <w:r>
        <w:rPr>
          <w:rFonts w:ascii="Microsoft YaHei" w:hAnsi="Microsoft YaHei" w:eastAsia="Microsoft YaHei" w:cs="Microsoft YaHei"/>
          <w:sz w:val="11"/>
          <w:szCs w:val="11"/>
          <w:color w:val="F1F1F1"/>
        </w:rPr>
        <w:t xml:space="preserve"> </w:t>
      </w:r>
      <w:r>
        <w:rPr>
          <w:rFonts w:ascii="Microsoft YaHei" w:hAnsi="Microsoft YaHei" w:eastAsia="Microsoft YaHei" w:cs="Microsoft YaHei"/>
          <w:sz w:val="11"/>
          <w:szCs w:val="11"/>
          <w:color w:val="F1F1F1"/>
        </w:rPr>
        <w:t>会计师事务所 —</w:t>
      </w:r>
      <w:r>
        <w:rPr>
          <w:rFonts w:ascii="Microsoft YaHei" w:hAnsi="Microsoft YaHei" w:eastAsia="Microsoft YaHei" w:cs="Microsoft YaHei"/>
          <w:sz w:val="11"/>
          <w:szCs w:val="11"/>
          <w:color w:val="F1F1F1"/>
          <w:spacing w:val="-6"/>
        </w:rPr>
        <w:t xml:space="preserve"> </w:t>
      </w:r>
      <w:r>
        <w:rPr>
          <w:rFonts w:ascii="Microsoft YaHei" w:hAnsi="Microsoft YaHei" w:eastAsia="Microsoft YaHei" w:cs="Microsoft YaHei"/>
          <w:sz w:val="11"/>
          <w:szCs w:val="11"/>
          <w:color w:val="F1F1F1"/>
        </w:rPr>
        <w:t>香港特别行政区合伙制事务所，</w:t>
      </w:r>
      <w:r>
        <w:rPr>
          <w:rFonts w:ascii="Microsoft YaHei" w:hAnsi="Microsoft YaHei" w:eastAsia="Microsoft YaHei" w:cs="Microsoft YaHei"/>
          <w:sz w:val="11"/>
          <w:szCs w:val="11"/>
          <w:color w:val="F1F1F1"/>
          <w:spacing w:val="-1"/>
        </w:rPr>
        <w:t>均是与英国私营担保有限公司</w:t>
      </w:r>
      <w:r>
        <w:rPr>
          <w:rFonts w:ascii="Microsoft YaHei" w:hAnsi="Microsoft YaHei" w:eastAsia="Microsoft YaHei" w:cs="Microsoft YaHei"/>
          <w:sz w:val="11"/>
          <w:szCs w:val="11"/>
          <w:color w:val="F1F1F1"/>
          <w:spacing w:val="-13"/>
        </w:rPr>
        <w:t xml:space="preserve"> </w:t>
      </w:r>
      <w:r>
        <w:rPr>
          <w:rFonts w:ascii="Microsoft YaHei" w:hAnsi="Microsoft YaHei" w:eastAsia="Microsoft YaHei" w:cs="Microsoft YaHei"/>
          <w:sz w:val="11"/>
          <w:szCs w:val="11"/>
          <w:color w:val="F1F1F1"/>
          <w:spacing w:val="-1"/>
        </w:rPr>
        <w:t>— 毕马威国际有限公司相关联的独立成员所全球性组织中的成员。版权所有，不得转载。在中国印刷。</w:t>
      </w:r>
    </w:p>
    <w:p>
      <w:pPr>
        <w:spacing w:line="172" w:lineRule="auto"/>
        <w:sectPr>
          <w:pgSz w:w="12245" w:h="17180"/>
          <w:pgMar w:top="400" w:right="0" w:bottom="0" w:left="0" w:header="0" w:footer="0" w:gutter="0"/>
        </w:sectPr>
        <w:rPr>
          <w:rFonts w:ascii="Microsoft YaHei" w:hAnsi="Microsoft YaHei" w:eastAsia="Microsoft YaHei" w:cs="Microsoft YaHei"/>
          <w:sz w:val="11"/>
          <w:szCs w:val="11"/>
        </w:rPr>
      </w:pPr>
    </w:p>
    <w:p>
      <w:pPr>
        <w:pStyle w:val="BodyText"/>
        <w:spacing w:line="243" w:lineRule="auto"/>
        <w:rPr/>
      </w:pPr>
      <w:r>
        <mc:AlternateContent xmlns:mc="http://schemas.openxmlformats.org/markup-compatibility/2006">
          <mc:Choice Requires="wps">
            <w:drawing>
              <wp:anchor distT="0" distB="0" distL="0" distR="0" simplePos="0" relativeHeight="251669504" behindDoc="1" locked="0" layoutInCell="0" allowOverlap="1">
                <wp:simplePos x="0" y="0"/>
                <wp:positionH relativeFrom="page">
                  <wp:posOffset>7772272</wp:posOffset>
                </wp:positionH>
                <wp:positionV relativeFrom="page">
                  <wp:posOffset>0</wp:posOffset>
                </wp:positionV>
                <wp:extent cx="3175" cy="10909300"/>
                <wp:effectExtent l="0" t="0" r="0" b="0"/>
                <wp:wrapNone/>
                <wp:docPr id="26" name="Rect 26"/>
                <wp:cNvGraphicFramePr/>
                <a:graphic>
                  <a:graphicData uri="http://schemas.microsoft.com/office/word/2010/wordprocessingShape">
                    <wps:wsp>
                      <wps:cNvPr id="26" name="Rect 26"/>
                      <wps:cNvSpPr/>
                      <wps:spPr>
                        <a:xfrm>
                          <a:off x="7772272" y="0"/>
                          <a:ext cx="3175" cy="109093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38" style="position:absolute;margin-left:611.99pt;margin-top:0pt;mso-position-vertical-relative:page;mso-position-horizontal-relative:page;width:0.25pt;height:859pt;z-index:-251646976;" o:allowincell="f" fillcolor="#000000" filled="true" stroked="false"/>
            </w:pict>
          </mc:Fallback>
        </mc:AlternateContent>
      </w:r>
      <w:r/>
    </w:p>
    <w:p>
      <w:pPr>
        <w:ind w:left="1016"/>
        <w:spacing w:before="77" w:line="178" w:lineRule="auto"/>
        <w:rPr>
          <w:rFonts w:ascii="Microsoft YaHei" w:hAnsi="Microsoft YaHei" w:eastAsia="Microsoft YaHei" w:cs="Microsoft YaHei"/>
          <w:sz w:val="18"/>
          <w:szCs w:val="18"/>
        </w:rPr>
      </w:pPr>
      <w:r>
        <w:drawing>
          <wp:anchor distT="0" distB="0" distL="0" distR="0" simplePos="0" relativeHeight="251670528" behindDoc="1" locked="0" layoutInCell="1" allowOverlap="1">
            <wp:simplePos x="0" y="0"/>
            <wp:positionH relativeFrom="column">
              <wp:posOffset>0</wp:posOffset>
            </wp:positionH>
            <wp:positionV relativeFrom="paragraph">
              <wp:posOffset>-409446</wp:posOffset>
            </wp:positionV>
            <wp:extent cx="7775447" cy="10908789"/>
            <wp:effectExtent l="0" t="0" r="0" b="0"/>
            <wp:wrapNone/>
            <wp:docPr id="28" name="IM 28"/>
            <wp:cNvGraphicFramePr/>
            <a:graphic>
              <a:graphicData uri="http://schemas.openxmlformats.org/drawingml/2006/picture">
                <pic:pic>
                  <pic:nvPicPr>
                    <pic:cNvPr id="28" name="IM 28"/>
                    <pic:cNvPicPr/>
                  </pic:nvPicPr>
                  <pic:blipFill>
                    <a:blip r:embed="rId14"/>
                    <a:stretch>
                      <a:fillRect/>
                    </a:stretch>
                  </pic:blipFill>
                  <pic:spPr>
                    <a:xfrm rot="0">
                      <a:off x="0" y="0"/>
                      <a:ext cx="7775447" cy="10908789"/>
                    </a:xfrm>
                    <a:prstGeom prst="rect">
                      <a:avLst/>
                    </a:prstGeom>
                  </pic:spPr>
                </pic:pic>
              </a:graphicData>
            </a:graphic>
          </wp:anchor>
        </w:drawing>
      </w:r>
      <w:r>
        <w:rPr>
          <w:rFonts w:ascii="Microsoft YaHei" w:hAnsi="Microsoft YaHei" w:eastAsia="Microsoft YaHei" w:cs="Microsoft YaHei"/>
          <w:sz w:val="18"/>
          <w:szCs w:val="18"/>
          <w:b/>
          <w:bCs/>
          <w:color w:val="A8A8A8"/>
          <w:spacing w:val="-1"/>
        </w:rPr>
        <w:t>3</w:t>
      </w:r>
      <w:r>
        <w:rPr>
          <w:rFonts w:ascii="Microsoft YaHei" w:hAnsi="Microsoft YaHei" w:eastAsia="Microsoft YaHei" w:cs="Microsoft YaHei"/>
          <w:sz w:val="18"/>
          <w:szCs w:val="18"/>
          <w:b/>
          <w:bCs/>
          <w:color w:val="A8A8A8"/>
          <w:spacing w:val="7"/>
        </w:rPr>
        <w:t xml:space="preserve">      </w:t>
      </w:r>
      <w:r>
        <w:rPr>
          <w:rFonts w:ascii="Microsoft YaHei" w:hAnsi="Microsoft YaHei" w:eastAsia="Microsoft YaHei" w:cs="Microsoft YaHei"/>
          <w:sz w:val="18"/>
          <w:szCs w:val="18"/>
          <w:color w:val="A8A8A8"/>
          <w:spacing w:val="-1"/>
        </w:rPr>
        <w:t>新型储能助力能源转型</w:t>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drawing>
          <wp:anchor distT="0" distB="0" distL="0" distR="0" simplePos="0" relativeHeight="251673600" behindDoc="0" locked="0" layoutInCell="1" allowOverlap="1">
            <wp:simplePos x="0" y="0"/>
            <wp:positionH relativeFrom="column">
              <wp:posOffset>897694</wp:posOffset>
            </wp:positionH>
            <wp:positionV relativeFrom="paragraph">
              <wp:posOffset>159907</wp:posOffset>
            </wp:positionV>
            <wp:extent cx="838070" cy="840731"/>
            <wp:effectExtent l="0" t="0" r="0" b="0"/>
            <wp:wrapNone/>
            <wp:docPr id="30" name="IM 30"/>
            <wp:cNvGraphicFramePr/>
            <a:graphic>
              <a:graphicData uri="http://schemas.openxmlformats.org/drawingml/2006/picture">
                <pic:pic>
                  <pic:nvPicPr>
                    <pic:cNvPr id="30" name="IM 30"/>
                    <pic:cNvPicPr/>
                  </pic:nvPicPr>
                  <pic:blipFill>
                    <a:blip r:embed="rId15"/>
                    <a:stretch>
                      <a:fillRect/>
                    </a:stretch>
                  </pic:blipFill>
                  <pic:spPr>
                    <a:xfrm rot="0">
                      <a:off x="0" y="0"/>
                      <a:ext cx="838070" cy="840731"/>
                    </a:xfrm>
                    <a:prstGeom prst="rect">
                      <a:avLst/>
                    </a:prstGeom>
                  </pic:spPr>
                </pic:pic>
              </a:graphicData>
            </a:graphic>
          </wp:anchor>
        </w:drawing>
      </w:r>
      <w:r/>
    </w:p>
    <w:p>
      <w:pPr>
        <w:pStyle w:val="BodyText"/>
        <w:spacing w:line="252" w:lineRule="auto"/>
        <w:rPr/>
      </w:pPr>
      <w:r/>
    </w:p>
    <w:p>
      <w:pPr>
        <w:ind w:left="2849"/>
        <w:spacing w:before="205" w:line="178" w:lineRule="auto"/>
        <w:outlineLvl w:val="0"/>
        <w:rPr>
          <w:rFonts w:ascii="Microsoft YaHei" w:hAnsi="Microsoft YaHei" w:eastAsia="Microsoft YaHei" w:cs="Microsoft YaHei"/>
          <w:sz w:val="48"/>
          <w:szCs w:val="48"/>
        </w:rPr>
      </w:pPr>
      <w:r>
        <mc:AlternateContent xmlns:mc="http://schemas.openxmlformats.org/markup-compatibility/2006">
          <mc:Choice Requires="wps">
            <w:drawing>
              <wp:anchor distT="0" distB="0" distL="0" distR="0" simplePos="0" relativeHeight="251671552" behindDoc="1" locked="0" layoutInCell="1" allowOverlap="1">
                <wp:simplePos x="0" y="0"/>
                <wp:positionH relativeFrom="column">
                  <wp:posOffset>838200</wp:posOffset>
                </wp:positionH>
                <wp:positionV relativeFrom="paragraph">
                  <wp:posOffset>-8440</wp:posOffset>
                </wp:positionV>
                <wp:extent cx="5038725" cy="1844675"/>
                <wp:effectExtent l="0" t="0" r="0" b="0"/>
                <wp:wrapNone/>
                <wp:docPr id="32" name="Rect 32"/>
                <wp:cNvGraphicFramePr/>
                <a:graphic>
                  <a:graphicData uri="http://schemas.microsoft.com/office/word/2010/wordprocessingShape">
                    <wps:wsp>
                      <wps:cNvPr id="32" name="Rect 32"/>
                      <wps:cNvSpPr/>
                      <wps:spPr>
                        <a:xfrm>
                          <a:off x="838200" y="-8440"/>
                          <a:ext cx="5038725" cy="1844675"/>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40" style="position:absolute;margin-left:66pt;margin-top:-0.664611pt;mso-position-vertical-relative:text;mso-position-horizontal-relative:text;width:396.75pt;height:145.25pt;z-index:-251644928;" fillcolor="#F1F1F1" filled="true" stroked="false"/>
            </w:pict>
          </mc:Fallback>
        </mc:AlternateContent>
      </w:r>
      <w:r>
        <w:rPr>
          <w:rFonts w:ascii="Microsoft YaHei" w:hAnsi="Microsoft YaHei" w:eastAsia="Microsoft YaHei" w:cs="Microsoft YaHei"/>
          <w:sz w:val="48"/>
          <w:szCs w:val="48"/>
          <w:b/>
          <w:bCs/>
          <w:color w:val="00338D"/>
          <w:spacing w:val="-1"/>
        </w:rPr>
        <w:t>储能的商业模式分析</w:t>
      </w:r>
    </w:p>
    <w:p>
      <w:pPr>
        <w:ind w:left="2865" w:right="2975"/>
        <w:spacing w:before="40" w:line="216"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储能的应用场景可从</w:t>
      </w:r>
      <w:r>
        <w:rPr>
          <w:rFonts w:ascii="Microsoft YaHei" w:hAnsi="Microsoft YaHei" w:eastAsia="Microsoft YaHei" w:cs="Microsoft YaHei"/>
          <w:sz w:val="24"/>
          <w:szCs w:val="24"/>
          <w:b/>
          <w:bCs/>
          <w:color w:val="00338D"/>
          <w:spacing w:val="-1"/>
        </w:rPr>
        <w:t>发电侧、电网侧、用户侧</w:t>
      </w:r>
      <w:r>
        <w:rPr>
          <w:rFonts w:ascii="Microsoft YaHei" w:hAnsi="Microsoft YaHei" w:eastAsia="Microsoft YaHei" w:cs="Microsoft YaHei"/>
          <w:sz w:val="21"/>
          <w:szCs w:val="21"/>
          <w:spacing w:val="-1"/>
        </w:rPr>
        <w:t>三个环节进行划分，</w:t>
      </w:r>
      <w:r>
        <w:rPr>
          <w:rFonts w:ascii="Microsoft YaHei" w:hAnsi="Microsoft YaHei" w:eastAsia="Microsoft YaHei" w:cs="Microsoft YaHei"/>
          <w:sz w:val="21"/>
          <w:szCs w:val="21"/>
          <w:spacing w:val="11"/>
        </w:rPr>
        <w:t xml:space="preserve"> </w:t>
      </w:r>
      <w:r>
        <w:rPr>
          <w:rFonts w:ascii="Microsoft YaHei" w:hAnsi="Microsoft YaHei" w:eastAsia="Microsoft YaHei" w:cs="Microsoft YaHei"/>
          <w:sz w:val="21"/>
          <w:szCs w:val="21"/>
          <w:spacing w:val="5"/>
        </w:rPr>
        <w:t>每个环节的商业模式也有所不同。在发电侧主要起到匹配电力生产</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5"/>
        </w:rPr>
        <w:t>和消纳、减轻电网压力等作用；在电网侧储能主要用于减少或延缓</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电网设备投资、缓解电网阻塞</w:t>
      </w:r>
      <w:r>
        <w:rPr>
          <w:rFonts w:ascii="Microsoft YaHei" w:hAnsi="Microsoft YaHei" w:eastAsia="Microsoft YaHei" w:cs="Microsoft YaHei"/>
          <w:sz w:val="21"/>
          <w:szCs w:val="21"/>
          <w:spacing w:val="-27"/>
        </w:rPr>
        <w:t xml:space="preserve"> </w:t>
      </w:r>
      <w:r>
        <w:rPr>
          <w:rFonts w:ascii="Microsoft YaHei" w:hAnsi="Microsoft YaHei" w:eastAsia="Microsoft YaHei" w:cs="Microsoft YaHei"/>
          <w:sz w:val="21"/>
          <w:szCs w:val="21"/>
          <w:spacing w:val="3"/>
        </w:rPr>
        <w:t>，</w:t>
      </w:r>
      <w:r>
        <w:rPr>
          <w:rFonts w:ascii="Microsoft YaHei" w:hAnsi="Microsoft YaHei" w:eastAsia="Microsoft YaHei" w:cs="Microsoft YaHei"/>
          <w:sz w:val="21"/>
          <w:szCs w:val="21"/>
          <w:spacing w:val="-41"/>
        </w:rPr>
        <w:t xml:space="preserve"> </w:t>
      </w:r>
      <w:r>
        <w:rPr>
          <w:rFonts w:ascii="Microsoft YaHei" w:hAnsi="Microsoft YaHei" w:eastAsia="Microsoft YaHei" w:cs="Microsoft YaHei"/>
          <w:sz w:val="21"/>
          <w:szCs w:val="21"/>
          <w:spacing w:val="3"/>
        </w:rPr>
        <w:t>以及为电力系统提供调峰调频等辅</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助服务；在用户侧则帮助用户实现削峰填谷或光伏自发自用等模式，</w:t>
      </w:r>
      <w:r>
        <w:rPr>
          <w:rFonts w:ascii="Microsoft YaHei" w:hAnsi="Microsoft YaHei" w:eastAsia="Microsoft YaHei" w:cs="Microsoft YaHei"/>
          <w:sz w:val="21"/>
          <w:szCs w:val="21"/>
          <w:spacing w:val="12"/>
        </w:rPr>
        <w:t xml:space="preserve"> </w:t>
      </w:r>
      <w:r>
        <w:rPr>
          <w:rFonts w:ascii="Microsoft YaHei" w:hAnsi="Microsoft YaHei" w:eastAsia="Microsoft YaHei" w:cs="Microsoft YaHei"/>
          <w:sz w:val="21"/>
          <w:szCs w:val="21"/>
          <w:spacing w:val="-4"/>
        </w:rPr>
        <w:t>降低电费支出。</w:t>
      </w:r>
    </w:p>
    <w:p>
      <w:pPr>
        <w:pStyle w:val="BodyText"/>
        <w:ind w:left="1594" w:right="2812" w:hanging="262"/>
        <w:spacing w:before="340" w:line="217" w:lineRule="auto"/>
        <w:rPr>
          <w:rFonts w:ascii="Microsoft YaHei" w:hAnsi="Microsoft YaHei" w:eastAsia="Microsoft YaHei" w:cs="Microsoft YaHei"/>
        </w:rPr>
      </w:pPr>
      <w:r>
        <w:rPr>
          <w:sz w:val="24"/>
          <w:szCs w:val="24"/>
          <w:color w:val="00338D"/>
          <w:spacing w:val="4"/>
        </w:rPr>
        <w:t>•</w:t>
      </w:r>
      <w:r>
        <w:rPr>
          <w:sz w:val="24"/>
          <w:szCs w:val="24"/>
          <w:color w:val="00338D"/>
          <w:spacing w:val="28"/>
        </w:rPr>
        <w:t xml:space="preserve">  </w:t>
      </w:r>
      <w:r>
        <w:rPr>
          <w:rFonts w:ascii="Microsoft YaHei" w:hAnsi="Microsoft YaHei" w:eastAsia="Microsoft YaHei" w:cs="Microsoft YaHei"/>
          <w:sz w:val="24"/>
          <w:szCs w:val="24"/>
          <w:b/>
          <w:bCs/>
          <w:color w:val="00338D"/>
          <w:spacing w:val="4"/>
        </w:rPr>
        <w:t>发电侧：</w:t>
      </w:r>
      <w:r>
        <w:rPr>
          <w:rFonts w:ascii="Microsoft YaHei" w:hAnsi="Microsoft YaHei" w:eastAsia="Microsoft YaHei" w:cs="Microsoft YaHei"/>
          <w:sz w:val="24"/>
          <w:szCs w:val="24"/>
          <w:b/>
          <w:bCs/>
          <w:color w:val="00338D"/>
          <w:spacing w:val="-32"/>
        </w:rPr>
        <w:t xml:space="preserve"> </w:t>
      </w:r>
      <w:r>
        <w:rPr>
          <w:rFonts w:ascii="Microsoft YaHei" w:hAnsi="Microsoft YaHei" w:eastAsia="Microsoft YaHei" w:cs="Microsoft YaHei"/>
          <w:spacing w:val="4"/>
        </w:rPr>
        <w:t>当前我国发电侧电化学储能从用途上看主要有火储联合调频和新能源配</w:t>
      </w:r>
      <w:r>
        <w:rPr>
          <w:rFonts w:ascii="Microsoft YaHei" w:hAnsi="Microsoft YaHei" w:eastAsia="Microsoft YaHei" w:cs="Microsoft YaHei"/>
        </w:rPr>
        <w:t xml:space="preserve">    </w:t>
      </w:r>
      <w:r>
        <w:rPr>
          <w:rFonts w:ascii="Microsoft YaHei" w:hAnsi="Microsoft YaHei" w:eastAsia="Microsoft YaHei" w:cs="Microsoft YaHei"/>
          <w:spacing w:val="1"/>
        </w:rPr>
        <w:t>储，火储联合调频市场规模有限，</w:t>
      </w:r>
      <w:r>
        <w:rPr>
          <w:rFonts w:ascii="Microsoft YaHei" w:hAnsi="Microsoft YaHei" w:eastAsia="Microsoft YaHei" w:cs="Microsoft YaHei"/>
          <w:spacing w:val="-33"/>
        </w:rPr>
        <w:t xml:space="preserve"> </w:t>
      </w:r>
      <w:r>
        <w:rPr>
          <w:rFonts w:ascii="Microsoft YaHei" w:hAnsi="Microsoft YaHei" w:eastAsia="Microsoft YaHei" w:cs="Microsoft YaHei"/>
          <w:spacing w:val="1"/>
        </w:rPr>
        <w:t>新能源配储成为发电侧电化学储能主要应用场景。</w:t>
      </w:r>
      <w:r>
        <w:rPr>
          <w:rFonts w:ascii="Microsoft YaHei" w:hAnsi="Microsoft YaHei" w:eastAsia="Microsoft YaHei" w:cs="Microsoft YaHei"/>
        </w:rPr>
        <w:t xml:space="preserve"> </w:t>
      </w:r>
      <w:r>
        <w:rPr>
          <w:rFonts w:ascii="Microsoft YaHei" w:hAnsi="Microsoft YaHei" w:eastAsia="Microsoft YaHei" w:cs="Microsoft YaHei"/>
          <w:spacing w:val="2"/>
        </w:rPr>
        <w:t>由于新能源配储成本高、</w:t>
      </w:r>
      <w:r>
        <w:rPr>
          <w:rFonts w:ascii="Microsoft YaHei" w:hAnsi="Microsoft YaHei" w:eastAsia="Microsoft YaHei" w:cs="Microsoft YaHei"/>
          <w:spacing w:val="-31"/>
        </w:rPr>
        <w:t xml:space="preserve"> </w:t>
      </w:r>
      <w:r>
        <w:rPr>
          <w:rFonts w:ascii="Microsoft YaHei" w:hAnsi="Microsoft YaHei" w:eastAsia="Microsoft YaHei" w:cs="Microsoft YaHei"/>
          <w:spacing w:val="2"/>
        </w:rPr>
        <w:t>收益渠道单一、利用效率低等因素制约了新能源发电侧配</w:t>
      </w:r>
      <w:r>
        <w:rPr>
          <w:rFonts w:ascii="Microsoft YaHei" w:hAnsi="Microsoft YaHei" w:eastAsia="Microsoft YaHei" w:cs="Microsoft YaHei"/>
        </w:rPr>
        <w:t xml:space="preserve">    </w:t>
      </w:r>
      <w:r>
        <w:rPr>
          <w:rFonts w:ascii="Microsoft YaHei" w:hAnsi="Microsoft YaHei" w:eastAsia="Microsoft YaHei" w:cs="Microsoft YaHei"/>
        </w:rPr>
        <w:t>储项目的发展，政策仍是当前新能源配储发展的主要驱动因素。</w:t>
      </w:r>
    </w:p>
    <w:p>
      <w:pPr>
        <w:pStyle w:val="BodyText"/>
        <w:spacing w:line="439" w:lineRule="auto"/>
        <w:rPr/>
      </w:pPr>
      <w:r>
        <w:pict>
          <v:rect id="_x0000_s42" style="position:absolute;margin-left:85.9401pt;margin-top:10.2055pt;mso-position-vertical-relative:text;mso-position-horizontal-relative:text;width:43.4pt;height:5pt;z-index:251675648;" fillcolor="#00B8F5" filled="true" stroked="false"/>
        </w:pict>
      </w:r>
      <w:r/>
    </w:p>
    <w:p>
      <w:pPr>
        <w:ind w:left="1706"/>
        <w:spacing w:before="91"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B8F5"/>
          <w:spacing w:val="-1"/>
        </w:rPr>
        <w:t>新能源并网成为发电侧电化学储能主要应用场景，但总投资成本较高。</w:t>
      </w:r>
    </w:p>
    <w:p>
      <w:pPr>
        <w:ind w:left="1704" w:right="3462" w:firstLine="8"/>
        <w:spacing w:before="143" w:line="217" w:lineRule="auto"/>
        <w:jc w:val="both"/>
        <w:rPr>
          <w:rFonts w:ascii="Microsoft YaHei" w:hAnsi="Microsoft YaHei" w:eastAsia="Microsoft YaHei" w:cs="Microsoft YaHei"/>
          <w:sz w:val="21"/>
          <w:szCs w:val="21"/>
        </w:rPr>
      </w:pPr>
      <w:r>
        <w:drawing>
          <wp:anchor distT="0" distB="0" distL="0" distR="0" simplePos="0" relativeHeight="251672576" behindDoc="1" locked="0" layoutInCell="1" allowOverlap="1">
            <wp:simplePos x="0" y="0"/>
            <wp:positionH relativeFrom="column">
              <wp:posOffset>5347015</wp:posOffset>
            </wp:positionH>
            <wp:positionV relativeFrom="paragraph">
              <wp:posOffset>-337789</wp:posOffset>
            </wp:positionV>
            <wp:extent cx="520384" cy="4796623"/>
            <wp:effectExtent l="0" t="0" r="0" b="0"/>
            <wp:wrapNone/>
            <wp:docPr id="34" name="IM 34"/>
            <wp:cNvGraphicFramePr/>
            <a:graphic>
              <a:graphicData uri="http://schemas.openxmlformats.org/drawingml/2006/picture">
                <pic:pic>
                  <pic:nvPicPr>
                    <pic:cNvPr id="34" name="IM 34"/>
                    <pic:cNvPicPr/>
                  </pic:nvPicPr>
                  <pic:blipFill>
                    <a:blip r:embed="rId16"/>
                    <a:stretch>
                      <a:fillRect/>
                    </a:stretch>
                  </pic:blipFill>
                  <pic:spPr>
                    <a:xfrm rot="0">
                      <a:off x="0" y="0"/>
                      <a:ext cx="520384" cy="4796623"/>
                    </a:xfrm>
                    <a:prstGeom prst="rect">
                      <a:avLst/>
                    </a:prstGeom>
                  </pic:spPr>
                </pic:pic>
              </a:graphicData>
            </a:graphic>
          </wp:anchor>
        </w:drawing>
      </w:r>
      <w:r>
        <w:rPr>
          <w:rFonts w:ascii="Microsoft YaHei" w:hAnsi="Microsoft YaHei" w:eastAsia="Microsoft YaHei" w:cs="Microsoft YaHei"/>
          <w:sz w:val="21"/>
          <w:szCs w:val="21"/>
          <w:spacing w:val="1"/>
        </w:rPr>
        <w:t>多省出台政策</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1"/>
        </w:rPr>
        <w:t>，要求新能源场站进行配储</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，配置储能比例为5%-20%</w:t>
      </w:r>
      <w:r>
        <w:rPr>
          <w:rFonts w:ascii="Microsoft YaHei" w:hAnsi="Microsoft YaHei" w:eastAsia="Microsoft YaHei" w:cs="Microsoft YaHei"/>
          <w:sz w:val="21"/>
          <w:szCs w:val="21"/>
          <w:spacing w:val="-26"/>
        </w:rPr>
        <w:t xml:space="preserve"> </w:t>
      </w:r>
      <w:r>
        <w:rPr>
          <w:rFonts w:ascii="Microsoft YaHei" w:hAnsi="Microsoft YaHei" w:eastAsia="Microsoft YaHei" w:cs="Microsoft YaHei"/>
          <w:sz w:val="21"/>
          <w:szCs w:val="21"/>
          <w:spacing w:val="1"/>
        </w:rPr>
        <w:t>，配置</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小时大多在2小时。但储能电站建设会加大项目初始投资成本，一座光伏电站</w:t>
      </w:r>
      <w:r>
        <w:rPr>
          <w:rFonts w:ascii="Microsoft YaHei" w:hAnsi="Microsoft YaHei" w:eastAsia="Microsoft YaHei" w:cs="Microsoft YaHei"/>
          <w:sz w:val="21"/>
          <w:szCs w:val="21"/>
          <w:spacing w:val="18"/>
        </w:rPr>
        <w:t xml:space="preserve"> </w:t>
      </w:r>
      <w:r>
        <w:rPr>
          <w:rFonts w:ascii="Microsoft YaHei" w:hAnsi="Microsoft YaHei" w:eastAsia="Microsoft YaHei" w:cs="Microsoft YaHei"/>
          <w:sz w:val="21"/>
          <w:szCs w:val="21"/>
        </w:rPr>
        <w:t>配建装机量20%、时长2小时的储能项目，其初始投资将增加8%-10%；而风 </w:t>
      </w:r>
      <w:r>
        <w:rPr>
          <w:rFonts w:ascii="Microsoft YaHei" w:hAnsi="Microsoft YaHei" w:eastAsia="Microsoft YaHei" w:cs="Microsoft YaHei"/>
          <w:sz w:val="21"/>
          <w:szCs w:val="21"/>
        </w:rPr>
        <w:t>电场配建同样容量的储能项目，其初始投资成本将增加15%-20%。当前新能</w:t>
      </w:r>
      <w:r>
        <w:rPr>
          <w:rFonts w:ascii="Microsoft YaHei" w:hAnsi="Microsoft YaHei" w:eastAsia="Microsoft YaHei" w:cs="Microsoft YaHei"/>
          <w:sz w:val="21"/>
          <w:szCs w:val="21"/>
          <w:spacing w:val="6"/>
        </w:rPr>
        <w:t xml:space="preserve"> </w:t>
      </w:r>
      <w:r>
        <w:rPr>
          <w:rFonts w:ascii="Microsoft YaHei" w:hAnsi="Microsoft YaHei" w:eastAsia="Microsoft YaHei" w:cs="Microsoft YaHei"/>
          <w:sz w:val="21"/>
          <w:szCs w:val="21"/>
          <w:spacing w:val="2"/>
        </w:rPr>
        <w:t>源企业配储成本主要由企业自身承担</w:t>
      </w:r>
      <w:r>
        <w:rPr>
          <w:rFonts w:ascii="Microsoft YaHei" w:hAnsi="Microsoft YaHei" w:eastAsia="Microsoft YaHei" w:cs="Microsoft YaHei"/>
          <w:sz w:val="21"/>
          <w:szCs w:val="21"/>
          <w:spacing w:val="-15"/>
        </w:rPr>
        <w:t xml:space="preserve"> </w:t>
      </w:r>
      <w:r>
        <w:rPr>
          <w:rFonts w:ascii="Microsoft YaHei" w:hAnsi="Microsoft YaHei" w:eastAsia="Microsoft YaHei" w:cs="Microsoft YaHei"/>
          <w:sz w:val="21"/>
          <w:szCs w:val="21"/>
          <w:spacing w:val="2"/>
        </w:rPr>
        <w:t>，叠加锂矿等上游成本上涨</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，给企业带</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5"/>
        </w:rPr>
        <w:t>来较大压力。</w:t>
      </w:r>
    </w:p>
    <w:p>
      <w:pPr>
        <w:pStyle w:val="BodyText"/>
        <w:spacing w:line="312" w:lineRule="auto"/>
        <w:rPr/>
      </w:pPr>
      <w:r/>
    </w:p>
    <w:p>
      <w:pPr>
        <w:pStyle w:val="BodyText"/>
        <w:spacing w:line="312" w:lineRule="auto"/>
        <w:rPr/>
      </w:pPr>
      <w:r>
        <w:pict>
          <v:rect id="_x0000_s44" style="position:absolute;margin-left:85.9401pt;margin-top:3.55905pt;mso-position-vertical-relative:text;mso-position-horizontal-relative:text;width:43.4pt;height:5pt;z-index:251674624;" fillcolor="#00B8F5" filled="true" stroked="false"/>
        </w:pict>
      </w:r>
      <w:r/>
    </w:p>
    <w:p>
      <w:pPr>
        <w:ind w:left="1704" w:right="3462"/>
        <w:spacing w:before="91" w:line="22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B8F5"/>
          <w:spacing w:val="3"/>
        </w:rPr>
        <w:t>发电侧储能收益由减少“弃风弃光”</w:t>
      </w:r>
      <w:r>
        <w:rPr>
          <w:rFonts w:ascii="Microsoft YaHei" w:hAnsi="Microsoft YaHei" w:eastAsia="Microsoft YaHei" w:cs="Microsoft YaHei"/>
          <w:sz w:val="21"/>
          <w:szCs w:val="21"/>
          <w:color w:val="00B8F5"/>
          <w:spacing w:val="-14"/>
        </w:rPr>
        <w:t xml:space="preserve"> </w:t>
      </w:r>
      <w:r>
        <w:rPr>
          <w:rFonts w:ascii="Microsoft YaHei" w:hAnsi="Microsoft YaHei" w:eastAsia="Microsoft YaHei" w:cs="Microsoft YaHei"/>
          <w:sz w:val="21"/>
          <w:szCs w:val="21"/>
          <w:color w:val="00B8F5"/>
          <w:spacing w:val="3"/>
        </w:rPr>
        <w:t>电量增加电费收入和减少的考核费用等</w:t>
      </w:r>
      <w:r>
        <w:rPr>
          <w:rFonts w:ascii="Microsoft YaHei" w:hAnsi="Microsoft YaHei" w:eastAsia="Microsoft YaHei" w:cs="Microsoft YaHei"/>
          <w:sz w:val="21"/>
          <w:szCs w:val="21"/>
          <w:color w:val="00B8F5"/>
        </w:rPr>
        <w:t xml:space="preserve"> </w:t>
      </w:r>
      <w:r>
        <w:rPr>
          <w:rFonts w:ascii="Microsoft YaHei" w:hAnsi="Microsoft YaHei" w:eastAsia="Microsoft YaHei" w:cs="Microsoft YaHei"/>
          <w:sz w:val="21"/>
          <w:szCs w:val="21"/>
          <w:color w:val="00B8F5"/>
          <w:spacing w:val="-2"/>
        </w:rPr>
        <w:t>构成，但目前经济性仍不显著。</w:t>
      </w:r>
    </w:p>
    <w:p>
      <w:pPr>
        <w:ind w:left="1705" w:right="3462"/>
        <w:spacing w:before="29" w:line="21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我国电力市场化机制尚不成熟</w:t>
      </w:r>
      <w:r>
        <w:rPr>
          <w:rFonts w:ascii="Microsoft YaHei" w:hAnsi="Microsoft YaHei" w:eastAsia="Microsoft YaHei" w:cs="Microsoft YaHei"/>
          <w:sz w:val="21"/>
          <w:szCs w:val="21"/>
          <w:spacing w:val="-17"/>
        </w:rPr>
        <w:t xml:space="preserve"> </w:t>
      </w:r>
      <w:r>
        <w:rPr>
          <w:rFonts w:ascii="Microsoft YaHei" w:hAnsi="Microsoft YaHei" w:eastAsia="Microsoft YaHei" w:cs="Microsoft YaHei"/>
          <w:sz w:val="21"/>
          <w:szCs w:val="21"/>
          <w:spacing w:val="3"/>
        </w:rPr>
        <w:t>，新能源配储参与电力市场现货交易仍在探索</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中</w:t>
      </w:r>
      <w:r>
        <w:rPr>
          <w:rFonts w:ascii="Microsoft YaHei" w:hAnsi="Microsoft YaHei" w:eastAsia="Microsoft YaHei" w:cs="Microsoft YaHei"/>
          <w:sz w:val="21"/>
          <w:szCs w:val="21"/>
          <w:spacing w:val="-17"/>
        </w:rPr>
        <w:t xml:space="preserve"> </w:t>
      </w:r>
      <w:r>
        <w:rPr>
          <w:rFonts w:ascii="Microsoft YaHei" w:hAnsi="Microsoft YaHei" w:eastAsia="Microsoft YaHei" w:cs="Microsoft YaHei"/>
          <w:sz w:val="21"/>
          <w:szCs w:val="21"/>
          <w:spacing w:val="2"/>
        </w:rPr>
        <w:t>，发电侧参与电网调度不明确</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，参与辅助服务市场条件不成熟。相较于抽</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水蓄能两部制电价政策</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spacing w:val="-38"/>
        </w:rPr>
        <w:t xml:space="preserve"> </w:t>
      </w:r>
      <w:r>
        <w:rPr>
          <w:rFonts w:ascii="Microsoft YaHei" w:hAnsi="Microsoft YaHei" w:eastAsia="Microsoft YaHei" w:cs="Microsoft YaHei"/>
          <w:sz w:val="21"/>
          <w:szCs w:val="21"/>
          <w:spacing w:val="1"/>
        </w:rPr>
        <w:t>由于新型储能起步晚</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rPr>
        <w:t>无论是电量电价</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rPr>
        <w:t>，还是容量 </w:t>
      </w:r>
      <w:r>
        <w:rPr>
          <w:rFonts w:ascii="Microsoft YaHei" w:hAnsi="Microsoft YaHei" w:eastAsia="Microsoft YaHei" w:cs="Microsoft YaHei"/>
          <w:sz w:val="21"/>
          <w:szCs w:val="21"/>
          <w:spacing w:val="1"/>
        </w:rPr>
        <w:t>电价都有待完善。</w:t>
      </w:r>
      <w:r>
        <w:rPr>
          <w:rFonts w:ascii="Microsoft YaHei" w:hAnsi="Microsoft YaHei" w:eastAsia="Microsoft YaHei" w:cs="Microsoft YaHei"/>
          <w:sz w:val="21"/>
          <w:szCs w:val="21"/>
          <w:spacing w:val="-17"/>
        </w:rPr>
        <w:t xml:space="preserve"> </w:t>
      </w:r>
      <w:r>
        <w:rPr>
          <w:rFonts w:ascii="Microsoft YaHei" w:hAnsi="Microsoft YaHei" w:eastAsia="Microsoft YaHei" w:cs="Microsoft YaHei"/>
          <w:sz w:val="21"/>
          <w:szCs w:val="21"/>
          <w:spacing w:val="1"/>
        </w:rPr>
        <w:t>目前新能源配储成本高</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1"/>
        </w:rPr>
        <w:t>，且使用不足。根据中电联调研</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不同应用场景储能项目配置时长相差较大</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，新能源侧储能配置时长为1.6h</w:t>
      </w:r>
      <w:r>
        <w:rPr>
          <w:rFonts w:ascii="Microsoft YaHei" w:hAnsi="Microsoft YaHei" w:eastAsia="Microsoft YaHei" w:cs="Microsoft YaHei"/>
          <w:sz w:val="21"/>
          <w:szCs w:val="21"/>
          <w:spacing w:val="-27"/>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高于火储的0.6h</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，低于电网侧储能的2.3h、用户侧储能的5.</w:t>
      </w:r>
      <w:r>
        <w:rPr>
          <w:rFonts w:ascii="Microsoft YaHei" w:hAnsi="Microsoft YaHei" w:eastAsia="Microsoft YaHei" w:cs="Microsoft YaHei"/>
          <w:sz w:val="21"/>
          <w:szCs w:val="21"/>
          <w:spacing w:val="1"/>
        </w:rPr>
        <w:t>3h。</w:t>
      </w:r>
      <w:r>
        <w:rPr>
          <w:rFonts w:ascii="Microsoft YaHei" w:hAnsi="Microsoft YaHei" w:eastAsia="Microsoft YaHei" w:cs="Microsoft YaHei"/>
          <w:sz w:val="21"/>
          <w:szCs w:val="21"/>
          <w:spacing w:val="-40"/>
        </w:rPr>
        <w:t xml:space="preserve"> </w:t>
      </w:r>
      <w:r>
        <w:rPr>
          <w:rFonts w:ascii="Microsoft YaHei" w:hAnsi="Microsoft YaHei" w:eastAsia="Microsoft YaHei" w:cs="Microsoft YaHei"/>
          <w:sz w:val="21"/>
          <w:szCs w:val="21"/>
          <w:spacing w:val="1"/>
        </w:rPr>
        <w:t>新能源配储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能运行策略相差较大</w:t>
      </w:r>
      <w:r>
        <w:rPr>
          <w:rFonts w:ascii="Microsoft YaHei" w:hAnsi="Microsoft YaHei" w:eastAsia="Microsoft YaHei" w:cs="Microsoft YaHei"/>
          <w:sz w:val="21"/>
          <w:szCs w:val="21"/>
          <w:spacing w:val="-16"/>
        </w:rPr>
        <w:t xml:space="preserve"> </w:t>
      </w:r>
      <w:r>
        <w:rPr>
          <w:rFonts w:ascii="Microsoft YaHei" w:hAnsi="Microsoft YaHei" w:eastAsia="Microsoft YaHei" w:cs="Microsoft YaHei"/>
          <w:sz w:val="21"/>
          <w:szCs w:val="21"/>
          <w:spacing w:val="2"/>
        </w:rPr>
        <w:t>，大部分电站采用弃电时一充一放的运行策略</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，个别项</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目存在仅部分储能单元被调用、每月平均充放2次、甚至基本不调用的情况。</w:t>
      </w:r>
      <w:r>
        <w:rPr>
          <w:rFonts w:ascii="Microsoft YaHei" w:hAnsi="Microsoft YaHei" w:eastAsia="Microsoft YaHei" w:cs="Microsoft YaHei"/>
          <w:sz w:val="21"/>
          <w:szCs w:val="21"/>
          <w:spacing w:val="17"/>
          <w:w w:val="101"/>
        </w:rPr>
        <w:t xml:space="preserve"> </w:t>
      </w:r>
      <w:r>
        <w:rPr>
          <w:rFonts w:ascii="Microsoft YaHei" w:hAnsi="Microsoft YaHei" w:eastAsia="Microsoft YaHei" w:cs="Microsoft YaHei"/>
          <w:sz w:val="21"/>
          <w:szCs w:val="21"/>
          <w:spacing w:val="1"/>
        </w:rPr>
        <w:t>从调查机组的等效利用系数看，</w:t>
      </w:r>
      <w:r>
        <w:rPr>
          <w:rFonts w:ascii="Microsoft YaHei" w:hAnsi="Microsoft YaHei" w:eastAsia="Microsoft YaHei" w:cs="Microsoft YaHei"/>
          <w:sz w:val="21"/>
          <w:szCs w:val="21"/>
          <w:spacing w:val="-39"/>
        </w:rPr>
        <w:t xml:space="preserve"> </w:t>
      </w:r>
      <w:r>
        <w:rPr>
          <w:rFonts w:ascii="Microsoft YaHei" w:hAnsi="Microsoft YaHei" w:eastAsia="Microsoft YaHei" w:cs="Microsoft YaHei"/>
          <w:sz w:val="21"/>
          <w:szCs w:val="21"/>
          <w:spacing w:val="1"/>
        </w:rPr>
        <w:t>新能源配储的等效</w:t>
      </w:r>
      <w:r>
        <w:rPr>
          <w:rFonts w:ascii="Microsoft YaHei" w:hAnsi="Microsoft YaHei" w:eastAsia="Microsoft YaHei" w:cs="Microsoft YaHei"/>
          <w:sz w:val="21"/>
          <w:szCs w:val="21"/>
        </w:rPr>
        <w:t>利用系数仅为6.1%</w:t>
      </w:r>
      <w:r>
        <w:rPr>
          <w:rFonts w:ascii="Microsoft YaHei" w:hAnsi="Microsoft YaHei" w:eastAsia="Microsoft YaHei" w:cs="Microsoft YaHei"/>
          <w:sz w:val="21"/>
          <w:szCs w:val="21"/>
          <w:spacing w:val="-32"/>
        </w:rPr>
        <w:t xml:space="preserve"> </w:t>
      </w:r>
      <w:r>
        <w:rPr>
          <w:rFonts w:ascii="Microsoft YaHei" w:hAnsi="Microsoft YaHei" w:eastAsia="Microsoft YaHei" w:cs="Microsoft YaHei"/>
          <w:sz w:val="21"/>
          <w:szCs w:val="21"/>
        </w:rPr>
        <w:t>，低于 </w:t>
      </w:r>
      <w:r>
        <w:rPr>
          <w:rFonts w:ascii="Microsoft YaHei" w:hAnsi="Microsoft YaHei" w:eastAsia="Microsoft YaHei" w:cs="Microsoft YaHei"/>
          <w:sz w:val="21"/>
          <w:szCs w:val="21"/>
          <w:spacing w:val="-2"/>
        </w:rPr>
        <w:t>或远低于火储、电网侧和用户侧。</w:t>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ind w:left="1805" w:right="1241" w:hanging="411"/>
        <w:spacing w:before="48"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F1F1F1"/>
          <w:spacing w:val="-1"/>
        </w:rPr>
        <w:t>© 2023</w:t>
      </w:r>
      <w:r>
        <w:rPr>
          <w:rFonts w:ascii="Microsoft YaHei" w:hAnsi="Microsoft YaHei" w:eastAsia="Microsoft YaHei" w:cs="Microsoft YaHei"/>
          <w:sz w:val="11"/>
          <w:szCs w:val="11"/>
          <w:color w:val="F1F1F1"/>
          <w:spacing w:val="-6"/>
        </w:rPr>
        <w:t xml:space="preserve"> </w:t>
      </w:r>
      <w:r>
        <w:rPr>
          <w:rFonts w:ascii="Microsoft YaHei" w:hAnsi="Microsoft YaHei" w:eastAsia="Microsoft YaHei" w:cs="Microsoft YaHei"/>
          <w:sz w:val="11"/>
          <w:szCs w:val="11"/>
          <w:color w:val="F1F1F1"/>
          <w:spacing w:val="-1"/>
        </w:rPr>
        <w:t>毕马威华振会计师事务所(特殊普通合伙)</w:t>
      </w:r>
      <w:r>
        <w:rPr>
          <w:rFonts w:ascii="Microsoft YaHei" w:hAnsi="Microsoft YaHei" w:eastAsia="Microsoft YaHei" w:cs="Microsoft YaHei"/>
          <w:sz w:val="11"/>
          <w:szCs w:val="11"/>
          <w:color w:val="F1F1F1"/>
          <w:spacing w:val="-12"/>
        </w:rPr>
        <w:t xml:space="preserve"> </w:t>
      </w:r>
      <w:r>
        <w:rPr>
          <w:rFonts w:ascii="Microsoft YaHei" w:hAnsi="Microsoft YaHei" w:eastAsia="Microsoft YaHei" w:cs="Microsoft YaHei"/>
          <w:sz w:val="11"/>
          <w:szCs w:val="11"/>
          <w:color w:val="F1F1F1"/>
          <w:spacing w:val="-1"/>
        </w:rPr>
        <w:t>— 中国合伙制会计师事务所，毕马威企业咨询</w:t>
      </w:r>
      <w:r>
        <w:rPr>
          <w:rFonts w:ascii="Microsoft YaHei" w:hAnsi="Microsoft YaHei" w:eastAsia="Microsoft YaHei" w:cs="Microsoft YaHei"/>
          <w:sz w:val="11"/>
          <w:szCs w:val="11"/>
          <w:color w:val="F1F1F1"/>
          <w:spacing w:val="-8"/>
        </w:rPr>
        <w:t xml:space="preserve"> </w:t>
      </w:r>
      <w:r>
        <w:rPr>
          <w:rFonts w:ascii="Microsoft YaHei" w:hAnsi="Microsoft YaHei" w:eastAsia="Microsoft YaHei" w:cs="Microsoft YaHei"/>
          <w:sz w:val="11"/>
          <w:szCs w:val="11"/>
          <w:color w:val="F1F1F1"/>
          <w:spacing w:val="-1"/>
        </w:rPr>
        <w:t>(中国)有限公司 — 中国有限责任公司，毕马威会计师事务所</w:t>
      </w:r>
      <w:r>
        <w:rPr>
          <w:rFonts w:ascii="Microsoft YaHei" w:hAnsi="Microsoft YaHei" w:eastAsia="Microsoft YaHei" w:cs="Microsoft YaHei"/>
          <w:sz w:val="11"/>
          <w:szCs w:val="11"/>
          <w:color w:val="F1F1F1"/>
          <w:spacing w:val="-8"/>
        </w:rPr>
        <w:t xml:space="preserve"> </w:t>
      </w:r>
      <w:r>
        <w:rPr>
          <w:rFonts w:ascii="Microsoft YaHei" w:hAnsi="Microsoft YaHei" w:eastAsia="Microsoft YaHei" w:cs="Microsoft YaHei"/>
          <w:sz w:val="11"/>
          <w:szCs w:val="11"/>
          <w:color w:val="F1F1F1"/>
          <w:spacing w:val="-1"/>
        </w:rPr>
        <w:t>— 澳门特别行政区合伙制事务所，</w:t>
      </w:r>
      <w:r>
        <w:rPr>
          <w:rFonts w:ascii="Microsoft YaHei" w:hAnsi="Microsoft YaHei" w:eastAsia="Microsoft YaHei" w:cs="Microsoft YaHei"/>
          <w:sz w:val="11"/>
          <w:szCs w:val="11"/>
          <w:color w:val="F1F1F1"/>
          <w:spacing w:val="-2"/>
        </w:rPr>
        <w:t>及毕马威</w:t>
      </w:r>
      <w:r>
        <w:rPr>
          <w:rFonts w:ascii="Microsoft YaHei" w:hAnsi="Microsoft YaHei" w:eastAsia="Microsoft YaHei" w:cs="Microsoft YaHei"/>
          <w:sz w:val="11"/>
          <w:szCs w:val="11"/>
          <w:color w:val="F1F1F1"/>
        </w:rPr>
        <w:t xml:space="preserve"> </w:t>
      </w:r>
      <w:r>
        <w:rPr>
          <w:rFonts w:ascii="Microsoft YaHei" w:hAnsi="Microsoft YaHei" w:eastAsia="Microsoft YaHei" w:cs="Microsoft YaHei"/>
          <w:sz w:val="11"/>
          <w:szCs w:val="11"/>
          <w:color w:val="F1F1F1"/>
        </w:rPr>
        <w:t>会计师事务所 —</w:t>
      </w:r>
      <w:r>
        <w:rPr>
          <w:rFonts w:ascii="Microsoft YaHei" w:hAnsi="Microsoft YaHei" w:eastAsia="Microsoft YaHei" w:cs="Microsoft YaHei"/>
          <w:sz w:val="11"/>
          <w:szCs w:val="11"/>
          <w:color w:val="F1F1F1"/>
          <w:spacing w:val="-6"/>
        </w:rPr>
        <w:t xml:space="preserve"> </w:t>
      </w:r>
      <w:r>
        <w:rPr>
          <w:rFonts w:ascii="Microsoft YaHei" w:hAnsi="Microsoft YaHei" w:eastAsia="Microsoft YaHei" w:cs="Microsoft YaHei"/>
          <w:sz w:val="11"/>
          <w:szCs w:val="11"/>
          <w:color w:val="F1F1F1"/>
        </w:rPr>
        <w:t>香港特别行政区合伙制事务所，</w:t>
      </w:r>
      <w:r>
        <w:rPr>
          <w:rFonts w:ascii="Microsoft YaHei" w:hAnsi="Microsoft YaHei" w:eastAsia="Microsoft YaHei" w:cs="Microsoft YaHei"/>
          <w:sz w:val="11"/>
          <w:szCs w:val="11"/>
          <w:color w:val="F1F1F1"/>
          <w:spacing w:val="-1"/>
        </w:rPr>
        <w:t>均是与英国私营担保有限公司</w:t>
      </w:r>
      <w:r>
        <w:rPr>
          <w:rFonts w:ascii="Microsoft YaHei" w:hAnsi="Microsoft YaHei" w:eastAsia="Microsoft YaHei" w:cs="Microsoft YaHei"/>
          <w:sz w:val="11"/>
          <w:szCs w:val="11"/>
          <w:color w:val="F1F1F1"/>
          <w:spacing w:val="-13"/>
        </w:rPr>
        <w:t xml:space="preserve"> </w:t>
      </w:r>
      <w:r>
        <w:rPr>
          <w:rFonts w:ascii="Microsoft YaHei" w:hAnsi="Microsoft YaHei" w:eastAsia="Microsoft YaHei" w:cs="Microsoft YaHei"/>
          <w:sz w:val="11"/>
          <w:szCs w:val="11"/>
          <w:color w:val="F1F1F1"/>
          <w:spacing w:val="-1"/>
        </w:rPr>
        <w:t>— 毕马威国际有限公司相关联的独立成员所全球性组织中的成员。版权所有，不得转载。在中国印刷。</w:t>
      </w:r>
    </w:p>
    <w:p>
      <w:pPr>
        <w:spacing w:line="172" w:lineRule="auto"/>
        <w:sectPr>
          <w:pgSz w:w="12245" w:h="17180"/>
          <w:pgMar w:top="400" w:right="0" w:bottom="0" w:left="0" w:header="0" w:footer="0" w:gutter="0"/>
        </w:sectPr>
        <w:rPr>
          <w:rFonts w:ascii="Microsoft YaHei" w:hAnsi="Microsoft YaHei" w:eastAsia="Microsoft YaHei" w:cs="Microsoft YaHei"/>
          <w:sz w:val="11"/>
          <w:szCs w:val="11"/>
        </w:rPr>
      </w:pPr>
    </w:p>
    <w:p>
      <w:pPr>
        <w:pStyle w:val="BodyText"/>
        <w:spacing w:line="243" w:lineRule="auto"/>
        <w:rPr/>
      </w:pPr>
      <w:r>
        <mc:AlternateContent xmlns:mc="http://schemas.openxmlformats.org/markup-compatibility/2006">
          <mc:Choice Requires="wps">
            <w:drawing>
              <wp:anchor distT="0" distB="0" distL="0" distR="0" simplePos="0" relativeHeight="251676672" behindDoc="1" locked="0" layoutInCell="0" allowOverlap="1">
                <wp:simplePos x="0" y="0"/>
                <wp:positionH relativeFrom="page">
                  <wp:posOffset>7772272</wp:posOffset>
                </wp:positionH>
                <wp:positionV relativeFrom="page">
                  <wp:posOffset>0</wp:posOffset>
                </wp:positionV>
                <wp:extent cx="3175" cy="10909300"/>
                <wp:effectExtent l="0" t="0" r="0" b="0"/>
                <wp:wrapNone/>
                <wp:docPr id="36" name="Rect 36"/>
                <wp:cNvGraphicFramePr/>
                <a:graphic>
                  <a:graphicData uri="http://schemas.microsoft.com/office/word/2010/wordprocessingShape">
                    <wps:wsp>
                      <wps:cNvPr id="36" name="Rect 36"/>
                      <wps:cNvSpPr/>
                      <wps:spPr>
                        <a:xfrm>
                          <a:off x="7772272" y="0"/>
                          <a:ext cx="3175" cy="109093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46" style="position:absolute;margin-left:611.99pt;margin-top:0pt;mso-position-vertical-relative:page;mso-position-horizontal-relative:page;width:0.25pt;height:859pt;z-index:-251639808;" o:allowincell="f" fillcolor="#000000" filled="true" stroked="false"/>
            </w:pict>
          </mc:Fallback>
        </mc:AlternateContent>
      </w:r>
      <w:r/>
    </w:p>
    <w:p>
      <w:pPr>
        <w:ind w:left="8975"/>
        <w:spacing w:before="77" w:line="178" w:lineRule="auto"/>
        <w:outlineLvl w:val="0"/>
        <w:rPr>
          <w:rFonts w:ascii="Microsoft YaHei" w:hAnsi="Microsoft YaHei" w:eastAsia="Microsoft YaHei" w:cs="Microsoft YaHei"/>
          <w:sz w:val="18"/>
          <w:szCs w:val="18"/>
        </w:rPr>
      </w:pPr>
      <w:r>
        <w:drawing>
          <wp:anchor distT="0" distB="0" distL="0" distR="0" simplePos="0" relativeHeight="251677696" behindDoc="1" locked="0" layoutInCell="1" allowOverlap="1">
            <wp:simplePos x="0" y="0"/>
            <wp:positionH relativeFrom="column">
              <wp:posOffset>0</wp:posOffset>
            </wp:positionH>
            <wp:positionV relativeFrom="paragraph">
              <wp:posOffset>-409446</wp:posOffset>
            </wp:positionV>
            <wp:extent cx="7775447" cy="10908789"/>
            <wp:effectExtent l="0" t="0" r="0" b="0"/>
            <wp:wrapNone/>
            <wp:docPr id="38" name="IM 38"/>
            <wp:cNvGraphicFramePr/>
            <a:graphic>
              <a:graphicData uri="http://schemas.openxmlformats.org/drawingml/2006/picture">
                <pic:pic>
                  <pic:nvPicPr>
                    <pic:cNvPr id="38" name="IM 38"/>
                    <pic:cNvPicPr/>
                  </pic:nvPicPr>
                  <pic:blipFill>
                    <a:blip r:embed="rId17"/>
                    <a:stretch>
                      <a:fillRect/>
                    </a:stretch>
                  </pic:blipFill>
                  <pic:spPr>
                    <a:xfrm rot="0">
                      <a:off x="0" y="0"/>
                      <a:ext cx="7775447" cy="10908789"/>
                    </a:xfrm>
                    <a:prstGeom prst="rect">
                      <a:avLst/>
                    </a:prstGeom>
                  </pic:spPr>
                </pic:pic>
              </a:graphicData>
            </a:graphic>
          </wp:anchor>
        </w:drawing>
      </w:r>
      <w:r>
        <w:rPr>
          <w:rFonts w:ascii="Microsoft YaHei" w:hAnsi="Microsoft YaHei" w:eastAsia="Microsoft YaHei" w:cs="Microsoft YaHei"/>
          <w:sz w:val="18"/>
          <w:szCs w:val="18"/>
          <w:color w:val="A8A8A8"/>
        </w:rPr>
        <w:t>新型储能助力能源转型</w:t>
      </w:r>
      <w:r>
        <w:rPr>
          <w:rFonts w:ascii="Microsoft YaHei" w:hAnsi="Microsoft YaHei" w:eastAsia="Microsoft YaHei" w:cs="Microsoft YaHei"/>
          <w:sz w:val="18"/>
          <w:szCs w:val="18"/>
          <w:color w:val="A8A8A8"/>
          <w:spacing w:val="6"/>
        </w:rPr>
        <w:t xml:space="preserve">      </w:t>
      </w:r>
      <w:r>
        <w:rPr>
          <w:rFonts w:ascii="Microsoft YaHei" w:hAnsi="Microsoft YaHei" w:eastAsia="Microsoft YaHei" w:cs="Microsoft YaHei"/>
          <w:sz w:val="18"/>
          <w:szCs w:val="18"/>
          <w:b/>
          <w:bCs/>
          <w:color w:val="A8A8A8"/>
        </w:rPr>
        <w:t>4</w:t>
      </w:r>
    </w:p>
    <w:p>
      <w:pPr>
        <w:pStyle w:val="BodyText"/>
        <w:spacing w:line="278" w:lineRule="auto"/>
        <w:rPr/>
      </w:pPr>
      <w:r/>
    </w:p>
    <w:p>
      <w:pPr>
        <w:pStyle w:val="BodyText"/>
        <w:spacing w:line="278" w:lineRule="auto"/>
        <w:rPr/>
      </w:pPr>
      <w:r/>
    </w:p>
    <w:p>
      <w:pPr>
        <w:pStyle w:val="BodyText"/>
        <w:spacing w:line="278" w:lineRule="auto"/>
        <w:rPr/>
      </w:pPr>
      <w:r/>
    </w:p>
    <w:p>
      <w:pPr>
        <w:pStyle w:val="BodyText"/>
        <w:spacing w:line="279" w:lineRule="auto"/>
        <w:rPr/>
      </w:pPr>
      <w:r/>
    </w:p>
    <w:p>
      <w:pPr>
        <w:pStyle w:val="BodyText"/>
        <w:spacing w:line="279" w:lineRule="auto"/>
        <w:rPr/>
      </w:pPr>
      <w:r/>
    </w:p>
    <w:p>
      <w:pPr>
        <w:pStyle w:val="BodyText"/>
        <w:spacing w:line="279" w:lineRule="auto"/>
        <w:rPr/>
      </w:pPr>
      <w:r/>
    </w:p>
    <w:p>
      <w:pPr>
        <w:pStyle w:val="BodyText"/>
        <w:ind w:left="1580" w:right="3002" w:hanging="265"/>
        <w:spacing w:before="103" w:line="212" w:lineRule="auto"/>
        <w:rPr>
          <w:rFonts w:ascii="Microsoft YaHei" w:hAnsi="Microsoft YaHei" w:eastAsia="Microsoft YaHei" w:cs="Microsoft YaHei"/>
        </w:rPr>
      </w:pPr>
      <w:r>
        <w:rPr>
          <w:sz w:val="24"/>
          <w:szCs w:val="24"/>
          <w:color w:val="00338D"/>
          <w:spacing w:val="4"/>
        </w:rPr>
        <w:t>•   </w:t>
      </w:r>
      <w:r>
        <w:rPr>
          <w:rFonts w:ascii="Microsoft YaHei" w:hAnsi="Microsoft YaHei" w:eastAsia="Microsoft YaHei" w:cs="Microsoft YaHei"/>
          <w:sz w:val="24"/>
          <w:szCs w:val="24"/>
          <w:b/>
          <w:bCs/>
          <w:color w:val="00338D"/>
          <w:spacing w:val="4"/>
        </w:rPr>
        <w:t>电网侧：</w:t>
      </w:r>
      <w:r>
        <w:rPr>
          <w:rFonts w:ascii="Microsoft YaHei" w:hAnsi="Microsoft YaHei" w:eastAsia="Microsoft YaHei" w:cs="Microsoft YaHei"/>
          <w:sz w:val="24"/>
          <w:szCs w:val="24"/>
          <w:b/>
          <w:bCs/>
          <w:color w:val="00338D"/>
          <w:spacing w:val="-40"/>
        </w:rPr>
        <w:t xml:space="preserve"> </w:t>
      </w:r>
      <w:r>
        <w:rPr>
          <w:rFonts w:ascii="Microsoft YaHei" w:hAnsi="Microsoft YaHei" w:eastAsia="Microsoft YaHei" w:cs="Microsoft YaHei"/>
          <w:spacing w:val="4"/>
        </w:rPr>
        <w:t>电网侧储能是指电力系统中能接受</w:t>
      </w:r>
      <w:r>
        <w:rPr>
          <w:rFonts w:ascii="Microsoft YaHei" w:hAnsi="Microsoft YaHei" w:eastAsia="Microsoft YaHei" w:cs="Microsoft YaHei"/>
          <w:spacing w:val="3"/>
        </w:rPr>
        <w:t>电力调度机构统一调度、响应电网灵</w:t>
      </w:r>
      <w:r>
        <w:rPr>
          <w:rFonts w:ascii="Microsoft YaHei" w:hAnsi="Microsoft YaHei" w:eastAsia="Microsoft YaHei" w:cs="Microsoft YaHei"/>
        </w:rPr>
        <w:t xml:space="preserve"> </w:t>
      </w:r>
      <w:r>
        <w:rPr>
          <w:rFonts w:ascii="Microsoft YaHei" w:hAnsi="Microsoft YaHei" w:eastAsia="Microsoft YaHei" w:cs="Microsoft YaHei"/>
          <w:spacing w:val="-1"/>
        </w:rPr>
        <w:t>活性需求、能发挥全局性、系统性作用的储能资源。</w:t>
      </w:r>
    </w:p>
    <w:p>
      <w:pPr>
        <w:pStyle w:val="BodyText"/>
        <w:spacing w:line="478" w:lineRule="auto"/>
        <w:rPr/>
      </w:pPr>
      <w:r>
        <mc:AlternateContent xmlns:mc="http://schemas.openxmlformats.org/markup-compatibility/2006">
          <mc:Choice Requires="wps">
            <w:drawing>
              <wp:anchor distT="0" distB="0" distL="0" distR="0" simplePos="0" relativeHeight="251678720" behindDoc="1" locked="0" layoutInCell="1" allowOverlap="1">
                <wp:simplePos x="0" y="0"/>
                <wp:positionH relativeFrom="column">
                  <wp:posOffset>1003047</wp:posOffset>
                </wp:positionH>
                <wp:positionV relativeFrom="paragraph">
                  <wp:posOffset>155697</wp:posOffset>
                </wp:positionV>
                <wp:extent cx="551180" cy="63500"/>
                <wp:effectExtent l="0" t="0" r="0" b="0"/>
                <wp:wrapNone/>
                <wp:docPr id="40" name="Rect 40"/>
                <wp:cNvGraphicFramePr/>
                <a:graphic>
                  <a:graphicData uri="http://schemas.microsoft.com/office/word/2010/wordprocessingShape">
                    <wps:wsp>
                      <wps:cNvPr id="40" name="Rect 40"/>
                      <wps:cNvSpPr/>
                      <wps:spPr>
                        <a:xfrm>
                          <a:off x="1003047" y="155697"/>
                          <a:ext cx="551180" cy="63500"/>
                        </a:xfrm>
                        <a:prstGeom prst="rect">
                          <a:avLst/>
                        </a:prstGeom>
                        <a:solidFill>
                          <a:srgbClr val="00B8F5"/>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48" style="position:absolute;margin-left:78.9801pt;margin-top:12.2596pt;mso-position-vertical-relative:text;mso-position-horizontal-relative:text;width:43.4pt;height:5pt;z-index:-251637760;" fillcolor="#00B8F5" filled="true" stroked="false"/>
            </w:pict>
          </mc:Fallback>
        </mc:AlternateContent>
      </w:r>
      <w:r/>
    </w:p>
    <w:p>
      <w:pPr>
        <w:ind w:left="1623" w:right="3006" w:hanging="19"/>
        <w:spacing w:before="90" w:line="215" w:lineRule="auto"/>
        <w:rPr>
          <w:rFonts w:ascii="Microsoft YaHei" w:hAnsi="Microsoft YaHei" w:eastAsia="Microsoft YaHei" w:cs="Microsoft YaHei"/>
          <w:sz w:val="21"/>
          <w:szCs w:val="21"/>
        </w:rPr>
      </w:pPr>
      <w:r>
        <w:drawing>
          <wp:anchor distT="0" distB="0" distL="0" distR="0" simplePos="0" relativeHeight="251680768" behindDoc="1" locked="0" layoutInCell="1" allowOverlap="1">
            <wp:simplePos x="0" y="0"/>
            <wp:positionH relativeFrom="column">
              <wp:posOffset>853939</wp:posOffset>
            </wp:positionH>
            <wp:positionV relativeFrom="paragraph">
              <wp:posOffset>-106802</wp:posOffset>
            </wp:positionV>
            <wp:extent cx="571096" cy="6034070"/>
            <wp:effectExtent l="0" t="0" r="0" b="0"/>
            <wp:wrapNone/>
            <wp:docPr id="42" name="IM 42"/>
            <wp:cNvGraphicFramePr/>
            <a:graphic>
              <a:graphicData uri="http://schemas.openxmlformats.org/drawingml/2006/picture">
                <pic:pic>
                  <pic:nvPicPr>
                    <pic:cNvPr id="42" name="IM 42"/>
                    <pic:cNvPicPr/>
                  </pic:nvPicPr>
                  <pic:blipFill>
                    <a:blip r:embed="rId18"/>
                    <a:stretch>
                      <a:fillRect/>
                    </a:stretch>
                  </pic:blipFill>
                  <pic:spPr>
                    <a:xfrm rot="0">
                      <a:off x="0" y="0"/>
                      <a:ext cx="571096" cy="6034070"/>
                    </a:xfrm>
                    <a:prstGeom prst="rect">
                      <a:avLst/>
                    </a:prstGeom>
                  </pic:spPr>
                </pic:pic>
              </a:graphicData>
            </a:graphic>
          </wp:anchor>
        </w:drawing>
      </w:r>
      <w:r>
        <w:rPr>
          <w:rFonts w:ascii="Microsoft YaHei" w:hAnsi="Microsoft YaHei" w:eastAsia="Microsoft YaHei" w:cs="Microsoft YaHei"/>
          <w:sz w:val="21"/>
          <w:szCs w:val="21"/>
          <w:color w:val="00B8F5"/>
          <w:spacing w:val="1"/>
        </w:rPr>
        <w:t>投资运营模式方面，</w:t>
      </w:r>
      <w:r>
        <w:rPr>
          <w:rFonts w:ascii="Microsoft YaHei" w:hAnsi="Microsoft YaHei" w:eastAsia="Microsoft YaHei" w:cs="Microsoft YaHei"/>
          <w:sz w:val="21"/>
          <w:szCs w:val="21"/>
          <w:color w:val="00B8F5"/>
          <w:spacing w:val="-20"/>
        </w:rPr>
        <w:t xml:space="preserve"> </w:t>
      </w:r>
      <w:r>
        <w:rPr>
          <w:rFonts w:ascii="Microsoft YaHei" w:hAnsi="Microsoft YaHei" w:eastAsia="Microsoft YaHei" w:cs="Microsoft YaHei"/>
          <w:sz w:val="21"/>
          <w:szCs w:val="21"/>
          <w:color w:val="00B8F5"/>
          <w:spacing w:val="1"/>
        </w:rPr>
        <w:t>电网企业投资意愿仍需进一步加强，现有非独立</w:t>
      </w:r>
      <w:r>
        <w:rPr>
          <w:rFonts w:ascii="Microsoft YaHei" w:hAnsi="Microsoft YaHei" w:eastAsia="Microsoft YaHei" w:cs="Microsoft YaHei"/>
          <w:sz w:val="21"/>
          <w:szCs w:val="21"/>
          <w:color w:val="00B8F5"/>
        </w:rPr>
        <w:t>储能项目面临 </w:t>
      </w:r>
      <w:r>
        <w:rPr>
          <w:rFonts w:ascii="Microsoft YaHei" w:hAnsi="Microsoft YaHei" w:eastAsia="Microsoft YaHei" w:cs="Microsoft YaHei"/>
          <w:sz w:val="21"/>
          <w:szCs w:val="21"/>
          <w:color w:val="00B8F5"/>
          <w:spacing w:val="-6"/>
        </w:rPr>
        <w:t>“结算难”问题。</w:t>
      </w:r>
    </w:p>
    <w:p>
      <w:pPr>
        <w:ind w:left="1603" w:right="2982" w:firstLine="1"/>
        <w:spacing w:before="149" w:line="218"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rPr>
        <w:t>2019以后新型储能的新增装机更多进入电源侧，导致现有已投运新型储能项目较少</w:t>
      </w:r>
      <w:r>
        <w:rPr>
          <w:rFonts w:ascii="Microsoft YaHei" w:hAnsi="Microsoft YaHei" w:eastAsia="Microsoft YaHei" w:cs="Microsoft YaHei"/>
          <w:sz w:val="21"/>
          <w:szCs w:val="21"/>
          <w:spacing w:val="18"/>
          <w:w w:val="101"/>
        </w:rPr>
        <w:t xml:space="preserve"> </w:t>
      </w:r>
      <w:r>
        <w:rPr>
          <w:rFonts w:ascii="Microsoft YaHei" w:hAnsi="Microsoft YaHei" w:eastAsia="Microsoft YaHei" w:cs="Microsoft YaHei"/>
          <w:sz w:val="21"/>
          <w:szCs w:val="21"/>
          <w:spacing w:val="1"/>
        </w:rPr>
        <w:t>接入电网侧。</w:t>
      </w:r>
      <w:r>
        <w:rPr>
          <w:rFonts w:ascii="Microsoft YaHei" w:hAnsi="Microsoft YaHei" w:eastAsia="Microsoft YaHei" w:cs="Microsoft YaHei"/>
          <w:sz w:val="21"/>
          <w:szCs w:val="21"/>
          <w:spacing w:val="-23"/>
        </w:rPr>
        <w:t xml:space="preserve"> </w:t>
      </w:r>
      <w:r>
        <w:rPr>
          <w:rFonts w:ascii="Microsoft YaHei" w:hAnsi="Microsoft YaHei" w:eastAsia="Microsoft YaHei" w:cs="Microsoft YaHei"/>
          <w:sz w:val="21"/>
          <w:szCs w:val="21"/>
          <w:spacing w:val="1"/>
        </w:rPr>
        <w:t>其中，具备电网直调条件，或选择和电网结算的储能项目，</w:t>
      </w:r>
      <w:r>
        <w:rPr>
          <w:rFonts w:ascii="Microsoft YaHei" w:hAnsi="Microsoft YaHei" w:eastAsia="Microsoft YaHei" w:cs="Microsoft YaHei"/>
          <w:sz w:val="21"/>
          <w:szCs w:val="21"/>
          <w:spacing w:val="-40"/>
        </w:rPr>
        <w:t xml:space="preserve"> </w:t>
      </w:r>
      <w:r>
        <w:rPr>
          <w:rFonts w:ascii="Microsoft YaHei" w:hAnsi="Microsoft YaHei" w:eastAsia="Microsoft YaHei" w:cs="Microsoft YaHei"/>
          <w:sz w:val="21"/>
          <w:szCs w:val="21"/>
          <w:spacing w:val="1"/>
        </w:rPr>
        <w:t>一般会采</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取合同能源管理模式。然而这一模式下，非独立储能电站</w:t>
      </w:r>
      <w:r>
        <w:rPr>
          <w:rFonts w:ascii="Microsoft YaHei" w:hAnsi="Microsoft YaHei" w:eastAsia="Microsoft YaHei" w:cs="Microsoft YaHei"/>
          <w:sz w:val="21"/>
          <w:szCs w:val="21"/>
          <w:spacing w:val="2"/>
        </w:rPr>
        <w:t>常会面临业主方推迟或拖</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欠收益的情况，根本原因在于此类项目不具备独立计量、</w:t>
      </w:r>
      <w:r>
        <w:rPr>
          <w:rFonts w:ascii="Microsoft YaHei" w:hAnsi="Microsoft YaHei" w:eastAsia="Microsoft YaHei" w:cs="Microsoft YaHei"/>
          <w:sz w:val="21"/>
          <w:szCs w:val="21"/>
          <w:spacing w:val="2"/>
        </w:rPr>
        <w:t>调度、结算等独立市场主</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体身份，只能通过电网企业间接参与电力市场。</w:t>
      </w:r>
    </w:p>
    <w:p>
      <w:pPr>
        <w:pStyle w:val="BodyText"/>
        <w:spacing w:line="314" w:lineRule="auto"/>
        <w:rPr/>
      </w:pPr>
      <w:r/>
    </w:p>
    <w:p>
      <w:pPr>
        <w:pStyle w:val="BodyText"/>
        <w:spacing w:line="315" w:lineRule="auto"/>
        <w:rPr/>
      </w:pPr>
      <w:r>
        <mc:AlternateContent xmlns:mc="http://schemas.openxmlformats.org/markup-compatibility/2006">
          <mc:Choice Requires="wps">
            <w:drawing>
              <wp:anchor distT="0" distB="0" distL="0" distR="0" simplePos="0" relativeHeight="251679744" behindDoc="1" locked="0" layoutInCell="1" allowOverlap="1">
                <wp:simplePos x="0" y="0"/>
                <wp:positionH relativeFrom="column">
                  <wp:posOffset>1003047</wp:posOffset>
                </wp:positionH>
                <wp:positionV relativeFrom="paragraph">
                  <wp:posOffset>5470</wp:posOffset>
                </wp:positionV>
                <wp:extent cx="551180" cy="63500"/>
                <wp:effectExtent l="0" t="0" r="0" b="0"/>
                <wp:wrapNone/>
                <wp:docPr id="44" name="Rect 44"/>
                <wp:cNvGraphicFramePr/>
                <a:graphic>
                  <a:graphicData uri="http://schemas.microsoft.com/office/word/2010/wordprocessingShape">
                    <wps:wsp>
                      <wps:cNvPr id="44" name="Rect 44"/>
                      <wps:cNvSpPr/>
                      <wps:spPr>
                        <a:xfrm>
                          <a:off x="1003047" y="5470"/>
                          <a:ext cx="551180" cy="63500"/>
                        </a:xfrm>
                        <a:prstGeom prst="rect">
                          <a:avLst/>
                        </a:prstGeom>
                        <a:solidFill>
                          <a:srgbClr val="00B8F5"/>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50" style="position:absolute;margin-left:78.9801pt;margin-top:0.430786pt;mso-position-vertical-relative:text;mso-position-horizontal-relative:text;width:43.4pt;height:5pt;z-index:-251636736;" fillcolor="#00B8F5" filled="true" stroked="false"/>
            </w:pict>
          </mc:Fallback>
        </mc:AlternateContent>
      </w:r>
      <w:r/>
    </w:p>
    <w:p>
      <w:pPr>
        <w:ind w:left="1603" w:right="2981" w:firstLine="7"/>
        <w:spacing w:before="90" w:line="21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B8F5"/>
          <w:spacing w:val="1"/>
        </w:rPr>
        <w:t>收益定价模式方面，</w:t>
      </w:r>
      <w:r>
        <w:rPr>
          <w:rFonts w:ascii="Microsoft YaHei" w:hAnsi="Microsoft YaHei" w:eastAsia="Microsoft YaHei" w:cs="Microsoft YaHei"/>
          <w:sz w:val="21"/>
          <w:szCs w:val="21"/>
          <w:color w:val="00B8F5"/>
          <w:spacing w:val="-34"/>
        </w:rPr>
        <w:t xml:space="preserve"> </w:t>
      </w:r>
      <w:r>
        <w:rPr>
          <w:rFonts w:ascii="Microsoft YaHei" w:hAnsi="Microsoft YaHei" w:eastAsia="Microsoft YaHei" w:cs="Microsoft YaHei"/>
          <w:sz w:val="21"/>
          <w:szCs w:val="21"/>
          <w:color w:val="00B8F5"/>
          <w:spacing w:val="1"/>
        </w:rPr>
        <w:t>堵点在于成本无法传输到用户侧，</w:t>
      </w:r>
      <w:r>
        <w:rPr>
          <w:rFonts w:ascii="Microsoft YaHei" w:hAnsi="Microsoft YaHei" w:eastAsia="Microsoft YaHei" w:cs="Microsoft YaHei"/>
          <w:sz w:val="21"/>
          <w:szCs w:val="21"/>
          <w:color w:val="00B8F5"/>
          <w:spacing w:val="-36"/>
        </w:rPr>
        <w:t xml:space="preserve"> </w:t>
      </w:r>
      <w:r>
        <w:rPr>
          <w:rFonts w:ascii="Microsoft YaHei" w:hAnsi="Microsoft YaHei" w:eastAsia="Microsoft YaHei" w:cs="Microsoft YaHei"/>
          <w:sz w:val="21"/>
          <w:szCs w:val="21"/>
          <w:color w:val="00B8F5"/>
          <w:spacing w:val="1"/>
        </w:rPr>
        <w:t>亟需开拓容量成本回收机制</w:t>
      </w:r>
      <w:r>
        <w:rPr>
          <w:rFonts w:ascii="Microsoft YaHei" w:hAnsi="Microsoft YaHei" w:eastAsia="Microsoft YaHei" w:cs="Microsoft YaHei"/>
          <w:sz w:val="21"/>
          <w:szCs w:val="21"/>
          <w:color w:val="00B8F5"/>
        </w:rPr>
        <w:t xml:space="preserve"> </w:t>
      </w:r>
      <w:r>
        <w:rPr>
          <w:rFonts w:ascii="Microsoft YaHei" w:hAnsi="Microsoft YaHei" w:eastAsia="Microsoft YaHei" w:cs="Microsoft YaHei"/>
          <w:sz w:val="21"/>
          <w:szCs w:val="21"/>
          <w:color w:val="00B8F5"/>
          <w:spacing w:val="-4"/>
        </w:rPr>
        <w:t>和电力现货市场。</w:t>
      </w:r>
    </w:p>
    <w:p>
      <w:pPr>
        <w:ind w:left="1604" w:right="2814" w:firstLine="19"/>
        <w:spacing w:before="115" w:line="218"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电网侧储能收益主要来自于调峰、调频等辅助服务补偿，据不完全统计，</w:t>
      </w:r>
      <w:r>
        <w:rPr>
          <w:rFonts w:ascii="Microsoft YaHei" w:hAnsi="Microsoft YaHei" w:eastAsia="Microsoft YaHei" w:cs="Microsoft YaHei"/>
          <w:sz w:val="21"/>
          <w:szCs w:val="21"/>
          <w:spacing w:val="-22"/>
        </w:rPr>
        <w:t xml:space="preserve"> </w:t>
      </w:r>
      <w:r>
        <w:rPr>
          <w:rFonts w:ascii="Microsoft YaHei" w:hAnsi="Microsoft YaHei" w:eastAsia="Microsoft YaHei" w:cs="Microsoft YaHei"/>
          <w:sz w:val="21"/>
          <w:szCs w:val="21"/>
          <w:spacing w:val="1"/>
        </w:rPr>
        <w:t>当前至少</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有19个省级以上地区明确了调峰调频补偿标准。问题在于，根据“谁提供、谁获利；</w:t>
      </w:r>
      <w:r>
        <w:rPr>
          <w:rFonts w:ascii="Microsoft YaHei" w:hAnsi="Microsoft YaHei" w:eastAsia="Microsoft YaHei" w:cs="Microsoft YaHei"/>
          <w:sz w:val="21"/>
          <w:szCs w:val="21"/>
          <w:spacing w:val="18"/>
        </w:rPr>
        <w:t xml:space="preserve"> </w:t>
      </w:r>
      <w:r>
        <w:rPr>
          <w:rFonts w:ascii="Microsoft YaHei" w:hAnsi="Microsoft YaHei" w:eastAsia="Microsoft YaHei" w:cs="Microsoft YaHei"/>
          <w:sz w:val="21"/>
          <w:szCs w:val="21"/>
          <w:spacing w:val="3"/>
        </w:rPr>
        <w:t>谁受益、谁承担”原则，辅助服务补偿应当由发电侧和</w:t>
      </w:r>
      <w:r>
        <w:rPr>
          <w:rFonts w:ascii="Microsoft YaHei" w:hAnsi="Microsoft YaHei" w:eastAsia="Microsoft YaHei" w:cs="Microsoft YaHei"/>
          <w:sz w:val="21"/>
          <w:szCs w:val="21"/>
          <w:spacing w:val="2"/>
        </w:rPr>
        <w:t>用户侧共同承担，但是国内</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电网侧辅助服务成本目前还难以传输到用户侧，在一定</w:t>
      </w:r>
      <w:r>
        <w:rPr>
          <w:rFonts w:ascii="Microsoft YaHei" w:hAnsi="Microsoft YaHei" w:eastAsia="Microsoft YaHei" w:cs="Microsoft YaHei"/>
          <w:sz w:val="21"/>
          <w:szCs w:val="21"/>
          <w:spacing w:val="2"/>
        </w:rPr>
        <w:t>程度可能会限制辅助服务市</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场的发展。结合国外市场经验来看，中国电网侧储能亟</w:t>
      </w:r>
      <w:r>
        <w:rPr>
          <w:rFonts w:ascii="Microsoft YaHei" w:hAnsi="Microsoft YaHei" w:eastAsia="Microsoft YaHei" w:cs="Microsoft YaHei"/>
          <w:sz w:val="21"/>
          <w:szCs w:val="21"/>
          <w:spacing w:val="2"/>
        </w:rPr>
        <w:t>需开拓容量成本回收机制和</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电力现货市场，以完善成本疏导机制和扩大收益来源。</w:t>
      </w:r>
    </w:p>
    <w:p>
      <w:pPr>
        <w:ind w:left="1871" w:right="2812" w:hanging="257"/>
        <w:spacing w:before="256" w:line="219" w:lineRule="auto"/>
        <w:rPr>
          <w:rFonts w:ascii="Microsoft YaHei" w:hAnsi="Microsoft YaHei" w:eastAsia="Microsoft YaHei" w:cs="Microsoft YaHei"/>
          <w:sz w:val="21"/>
          <w:szCs w:val="21"/>
        </w:rPr>
      </w:pPr>
      <w:r>
        <w:drawing>
          <wp:anchor distT="0" distB="0" distL="0" distR="0" simplePos="0" relativeHeight="251681792" behindDoc="0" locked="0" layoutInCell="1" allowOverlap="1">
            <wp:simplePos x="0" y="0"/>
            <wp:positionH relativeFrom="column">
              <wp:posOffset>5588296</wp:posOffset>
            </wp:positionH>
            <wp:positionV relativeFrom="paragraph">
              <wp:posOffset>-193988</wp:posOffset>
            </wp:positionV>
            <wp:extent cx="2174508" cy="2623263"/>
            <wp:effectExtent l="0" t="0" r="0" b="0"/>
            <wp:wrapNone/>
            <wp:docPr id="46" name="IM 46"/>
            <wp:cNvGraphicFramePr/>
            <a:graphic>
              <a:graphicData uri="http://schemas.openxmlformats.org/drawingml/2006/picture">
                <pic:pic>
                  <pic:nvPicPr>
                    <pic:cNvPr id="46" name="IM 46"/>
                    <pic:cNvPicPr/>
                  </pic:nvPicPr>
                  <pic:blipFill>
                    <a:blip r:embed="rId19"/>
                    <a:stretch>
                      <a:fillRect/>
                    </a:stretch>
                  </pic:blipFill>
                  <pic:spPr>
                    <a:xfrm rot="0">
                      <a:off x="0" y="0"/>
                      <a:ext cx="2174508" cy="2623263"/>
                    </a:xfrm>
                    <a:prstGeom prst="rect">
                      <a:avLst/>
                    </a:prstGeom>
                  </pic:spPr>
                </pic:pic>
              </a:graphicData>
            </a:graphic>
          </wp:anchor>
        </w:drawing>
      </w:r>
      <w:r>
        <w:rPr>
          <w:rFonts w:ascii="Wingdings" w:hAnsi="Wingdings" w:eastAsia="Wingdings" w:cs="Wingdings"/>
          <w:sz w:val="21"/>
          <w:szCs w:val="21"/>
          <w:b/>
          <w:bCs/>
          <w:color w:val="00B8F5"/>
          <w:spacing w:val="-1"/>
        </w:rPr>
        <w:t>l</w:t>
      </w:r>
      <w:r>
        <w:rPr>
          <w:rFonts w:ascii="Wingdings" w:hAnsi="Wingdings" w:eastAsia="Wingdings" w:cs="Wingdings"/>
          <w:sz w:val="21"/>
          <w:szCs w:val="21"/>
          <w:color w:val="00B8F5"/>
          <w:spacing w:val="-76"/>
        </w:rPr>
        <w:t xml:space="preserve"> </w:t>
      </w:r>
      <w:r>
        <w:rPr>
          <w:rFonts w:ascii="Microsoft YaHei" w:hAnsi="Microsoft YaHei" w:eastAsia="Microsoft YaHei" w:cs="Microsoft YaHei"/>
          <w:sz w:val="21"/>
          <w:szCs w:val="21"/>
          <w:spacing w:val="-1"/>
        </w:rPr>
        <w:t>独立储能电站是源网侧发展的趋势。独立储能指具备独立计量、控制等技术条件，</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接入调度自动化系统可被电网监控和调度，符合相关标准规范和电力市场运营机</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构等有关方面要求，具有法人资格的新型储能项目。共享储能电站，即电站资源</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不专属于某一新能源站或电网，而是以电网为纽带，将独立分散的电网侧、电源</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侧、用户侧储能电站资源整合，并统一协调服务于网内所有新能源站，推动源网</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荷各端储能能力全面释放。独立储能电站暨行业内通常理解的共享储能电站。独</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立储能电站除了能够满足发电侧的储能需求外，还能够满足电网侧调峰调频需求， </w:t>
      </w:r>
      <w:r>
        <w:rPr>
          <w:rFonts w:ascii="Microsoft YaHei" w:hAnsi="Microsoft YaHei" w:eastAsia="Microsoft YaHei" w:cs="Microsoft YaHei"/>
          <w:sz w:val="21"/>
          <w:szCs w:val="21"/>
          <w:spacing w:val="-1"/>
        </w:rPr>
        <w:t>拓宽了收益渠道，经济性提升，是未来储能电站发展方向。</w:t>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1805" w:right="1241" w:hanging="411"/>
        <w:spacing w:before="48"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F1F1F1"/>
          <w:spacing w:val="-1"/>
        </w:rPr>
        <w:t>© 2023</w:t>
      </w:r>
      <w:r>
        <w:rPr>
          <w:rFonts w:ascii="Microsoft YaHei" w:hAnsi="Microsoft YaHei" w:eastAsia="Microsoft YaHei" w:cs="Microsoft YaHei"/>
          <w:sz w:val="11"/>
          <w:szCs w:val="11"/>
          <w:color w:val="F1F1F1"/>
          <w:spacing w:val="-6"/>
        </w:rPr>
        <w:t xml:space="preserve"> </w:t>
      </w:r>
      <w:r>
        <w:rPr>
          <w:rFonts w:ascii="Microsoft YaHei" w:hAnsi="Microsoft YaHei" w:eastAsia="Microsoft YaHei" w:cs="Microsoft YaHei"/>
          <w:sz w:val="11"/>
          <w:szCs w:val="11"/>
          <w:color w:val="F1F1F1"/>
          <w:spacing w:val="-1"/>
        </w:rPr>
        <w:t>毕马威华振会计师事务所(特殊普通合伙)</w:t>
      </w:r>
      <w:r>
        <w:rPr>
          <w:rFonts w:ascii="Microsoft YaHei" w:hAnsi="Microsoft YaHei" w:eastAsia="Microsoft YaHei" w:cs="Microsoft YaHei"/>
          <w:sz w:val="11"/>
          <w:szCs w:val="11"/>
          <w:color w:val="F1F1F1"/>
          <w:spacing w:val="-12"/>
        </w:rPr>
        <w:t xml:space="preserve"> </w:t>
      </w:r>
      <w:r>
        <w:rPr>
          <w:rFonts w:ascii="Microsoft YaHei" w:hAnsi="Microsoft YaHei" w:eastAsia="Microsoft YaHei" w:cs="Microsoft YaHei"/>
          <w:sz w:val="11"/>
          <w:szCs w:val="11"/>
          <w:color w:val="F1F1F1"/>
          <w:spacing w:val="-1"/>
        </w:rPr>
        <w:t>— 中国合伙制会计师事务所，毕马威企业咨询</w:t>
      </w:r>
      <w:r>
        <w:rPr>
          <w:rFonts w:ascii="Microsoft YaHei" w:hAnsi="Microsoft YaHei" w:eastAsia="Microsoft YaHei" w:cs="Microsoft YaHei"/>
          <w:sz w:val="11"/>
          <w:szCs w:val="11"/>
          <w:color w:val="F1F1F1"/>
          <w:spacing w:val="-8"/>
        </w:rPr>
        <w:t xml:space="preserve"> </w:t>
      </w:r>
      <w:r>
        <w:rPr>
          <w:rFonts w:ascii="Microsoft YaHei" w:hAnsi="Microsoft YaHei" w:eastAsia="Microsoft YaHei" w:cs="Microsoft YaHei"/>
          <w:sz w:val="11"/>
          <w:szCs w:val="11"/>
          <w:color w:val="F1F1F1"/>
          <w:spacing w:val="-1"/>
        </w:rPr>
        <w:t>(中国)有限公司 — 中国有限责任公司，毕马威会计师事务所</w:t>
      </w:r>
      <w:r>
        <w:rPr>
          <w:rFonts w:ascii="Microsoft YaHei" w:hAnsi="Microsoft YaHei" w:eastAsia="Microsoft YaHei" w:cs="Microsoft YaHei"/>
          <w:sz w:val="11"/>
          <w:szCs w:val="11"/>
          <w:color w:val="F1F1F1"/>
          <w:spacing w:val="-8"/>
        </w:rPr>
        <w:t xml:space="preserve"> </w:t>
      </w:r>
      <w:r>
        <w:rPr>
          <w:rFonts w:ascii="Microsoft YaHei" w:hAnsi="Microsoft YaHei" w:eastAsia="Microsoft YaHei" w:cs="Microsoft YaHei"/>
          <w:sz w:val="11"/>
          <w:szCs w:val="11"/>
          <w:color w:val="F1F1F1"/>
          <w:spacing w:val="-1"/>
        </w:rPr>
        <w:t>— 澳门特别行政区合伙制事务所，</w:t>
      </w:r>
      <w:r>
        <w:rPr>
          <w:rFonts w:ascii="Microsoft YaHei" w:hAnsi="Microsoft YaHei" w:eastAsia="Microsoft YaHei" w:cs="Microsoft YaHei"/>
          <w:sz w:val="11"/>
          <w:szCs w:val="11"/>
          <w:color w:val="F1F1F1"/>
          <w:spacing w:val="-2"/>
        </w:rPr>
        <w:t>及毕马威</w:t>
      </w:r>
      <w:r>
        <w:rPr>
          <w:rFonts w:ascii="Microsoft YaHei" w:hAnsi="Microsoft YaHei" w:eastAsia="Microsoft YaHei" w:cs="Microsoft YaHei"/>
          <w:sz w:val="11"/>
          <w:szCs w:val="11"/>
          <w:color w:val="F1F1F1"/>
        </w:rPr>
        <w:t xml:space="preserve"> </w:t>
      </w:r>
      <w:r>
        <w:rPr>
          <w:rFonts w:ascii="Microsoft YaHei" w:hAnsi="Microsoft YaHei" w:eastAsia="Microsoft YaHei" w:cs="Microsoft YaHei"/>
          <w:sz w:val="11"/>
          <w:szCs w:val="11"/>
          <w:color w:val="F1F1F1"/>
        </w:rPr>
        <w:t>会计师事务所 —</w:t>
      </w:r>
      <w:r>
        <w:rPr>
          <w:rFonts w:ascii="Microsoft YaHei" w:hAnsi="Microsoft YaHei" w:eastAsia="Microsoft YaHei" w:cs="Microsoft YaHei"/>
          <w:sz w:val="11"/>
          <w:szCs w:val="11"/>
          <w:color w:val="F1F1F1"/>
          <w:spacing w:val="-6"/>
        </w:rPr>
        <w:t xml:space="preserve"> </w:t>
      </w:r>
      <w:r>
        <w:rPr>
          <w:rFonts w:ascii="Microsoft YaHei" w:hAnsi="Microsoft YaHei" w:eastAsia="Microsoft YaHei" w:cs="Microsoft YaHei"/>
          <w:sz w:val="11"/>
          <w:szCs w:val="11"/>
          <w:color w:val="F1F1F1"/>
        </w:rPr>
        <w:t>香港特别行政区合伙制事务所，</w:t>
      </w:r>
      <w:r>
        <w:rPr>
          <w:rFonts w:ascii="Microsoft YaHei" w:hAnsi="Microsoft YaHei" w:eastAsia="Microsoft YaHei" w:cs="Microsoft YaHei"/>
          <w:sz w:val="11"/>
          <w:szCs w:val="11"/>
          <w:color w:val="F1F1F1"/>
          <w:spacing w:val="-1"/>
        </w:rPr>
        <w:t>均是与英国私营担保有限公司</w:t>
      </w:r>
      <w:r>
        <w:rPr>
          <w:rFonts w:ascii="Microsoft YaHei" w:hAnsi="Microsoft YaHei" w:eastAsia="Microsoft YaHei" w:cs="Microsoft YaHei"/>
          <w:sz w:val="11"/>
          <w:szCs w:val="11"/>
          <w:color w:val="F1F1F1"/>
          <w:spacing w:val="-13"/>
        </w:rPr>
        <w:t xml:space="preserve"> </w:t>
      </w:r>
      <w:r>
        <w:rPr>
          <w:rFonts w:ascii="Microsoft YaHei" w:hAnsi="Microsoft YaHei" w:eastAsia="Microsoft YaHei" w:cs="Microsoft YaHei"/>
          <w:sz w:val="11"/>
          <w:szCs w:val="11"/>
          <w:color w:val="F1F1F1"/>
          <w:spacing w:val="-1"/>
        </w:rPr>
        <w:t>— 毕马威国际有限公司相关联的独立成员所全球性组织中的成员。版权所有，不得转载。在中国印刷。</w:t>
      </w:r>
    </w:p>
    <w:p>
      <w:pPr>
        <w:spacing w:line="172" w:lineRule="auto"/>
        <w:sectPr>
          <w:pgSz w:w="12245" w:h="17180"/>
          <w:pgMar w:top="400" w:right="0" w:bottom="0" w:left="0" w:header="0" w:footer="0" w:gutter="0"/>
        </w:sectPr>
        <w:rPr>
          <w:rFonts w:ascii="Microsoft YaHei" w:hAnsi="Microsoft YaHei" w:eastAsia="Microsoft YaHei" w:cs="Microsoft YaHei"/>
          <w:sz w:val="11"/>
          <w:szCs w:val="11"/>
        </w:rPr>
      </w:pPr>
    </w:p>
    <w:p>
      <w:pPr>
        <w:ind w:firstLine="480"/>
        <w:spacing w:line="1697" w:lineRule="exact"/>
        <w:rPr/>
      </w:pPr>
      <w:r>
        <mc:AlternateContent xmlns:mc="http://schemas.openxmlformats.org/markup-compatibility/2006">
          <mc:Choice Requires="wps">
            <w:drawing>
              <wp:anchor distT="0" distB="0" distL="0" distR="0" simplePos="0" relativeHeight="251684864" behindDoc="1" locked="0" layoutInCell="0" allowOverlap="1">
                <wp:simplePos x="0" y="0"/>
                <wp:positionH relativeFrom="page">
                  <wp:posOffset>7772272</wp:posOffset>
                </wp:positionH>
                <wp:positionV relativeFrom="page">
                  <wp:posOffset>0</wp:posOffset>
                </wp:positionV>
                <wp:extent cx="3175" cy="10909300"/>
                <wp:effectExtent l="0" t="0" r="0" b="0"/>
                <wp:wrapNone/>
                <wp:docPr id="48" name="Rect 48"/>
                <wp:cNvGraphicFramePr/>
                <a:graphic>
                  <a:graphicData uri="http://schemas.microsoft.com/office/word/2010/wordprocessingShape">
                    <wps:wsp>
                      <wps:cNvPr id="48" name="Rect 48"/>
                      <wps:cNvSpPr/>
                      <wps:spPr>
                        <a:xfrm>
                          <a:off x="7772272" y="0"/>
                          <a:ext cx="3175" cy="109093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52" style="position:absolute;margin-left:611.99pt;margin-top:0pt;mso-position-vertical-relative:page;mso-position-horizontal-relative:page;width:0.25pt;height:859pt;z-index:-251631616;" o:allowincell="f" fillcolor="#000000" filled="true" stroked="false"/>
            </w:pict>
          </mc:Fallback>
        </mc:AlternateContent>
      </w:r>
      <w:r>
        <w:pict>
          <v:shape id="_x0000_s54" style="position:absolute;margin-left:49.8019pt;margin-top:35.0389pt;mso-position-vertical-relative:text;mso-position-horizontal-relative:text;width:115.3pt;height:13.45pt;z-index:-251629568;" filled="false" stroked="false" type="#_x0000_t202">
            <v:fill on="false"/>
            <v:stroke on="false"/>
            <v:path/>
            <v:imagedata o:title=""/>
            <o:lock v:ext="edit" aspectratio="false"/>
            <v:textbox inset="0mm,0mm,0mm,0mm">
              <w:txbxContent>
                <w:p>
                  <w:pPr>
                    <w:ind w:left="20"/>
                    <w:spacing w:before="19" w:line="178" w:lineRule="auto"/>
                    <w:outlineLvl w:val="0"/>
                    <w:rPr>
                      <w:rFonts w:ascii="Microsoft YaHei" w:hAnsi="Microsoft YaHei" w:eastAsia="Microsoft YaHei" w:cs="Microsoft YaHei"/>
                      <w:sz w:val="18"/>
                      <w:szCs w:val="18"/>
                    </w:rPr>
                  </w:pPr>
                  <w:r>
                    <w:rPr>
                      <w:rFonts w:ascii="Microsoft YaHei" w:hAnsi="Microsoft YaHei" w:eastAsia="Microsoft YaHei" w:cs="Microsoft YaHei"/>
                      <w:sz w:val="18"/>
                      <w:szCs w:val="18"/>
                      <w:b/>
                      <w:bCs/>
                      <w:color w:val="A8A8A8"/>
                      <w:spacing w:val="-1"/>
                    </w:rPr>
                    <w:t>5</w:t>
                  </w:r>
                  <w:r>
                    <w:rPr>
                      <w:rFonts w:ascii="Microsoft YaHei" w:hAnsi="Microsoft YaHei" w:eastAsia="Microsoft YaHei" w:cs="Microsoft YaHei"/>
                      <w:sz w:val="18"/>
                      <w:szCs w:val="18"/>
                      <w:b/>
                      <w:bCs/>
                      <w:color w:val="A8A8A8"/>
                      <w:spacing w:val="7"/>
                    </w:rPr>
                    <w:t xml:space="preserve">      </w:t>
                  </w:r>
                  <w:r>
                    <w:rPr>
                      <w:rFonts w:ascii="Microsoft YaHei" w:hAnsi="Microsoft YaHei" w:eastAsia="Microsoft YaHei" w:cs="Microsoft YaHei"/>
                      <w:sz w:val="18"/>
                      <w:szCs w:val="18"/>
                      <w:color w:val="A8A8A8"/>
                      <w:spacing w:val="-1"/>
                    </w:rPr>
                    <w:t>新型储能助力能源转型</w:t>
                  </w:r>
                </w:p>
              </w:txbxContent>
            </v:textbox>
          </v:shape>
        </w:pict>
      </w:r>
      <w:r>
        <w:rPr>
          <w:position w:val="-33"/>
        </w:rPr>
        <w:drawing>
          <wp:inline distT="0" distB="0" distL="0" distR="0">
            <wp:extent cx="2897288" cy="1077865"/>
            <wp:effectExtent l="0" t="0" r="0" b="0"/>
            <wp:docPr id="50" name="IM 50"/>
            <wp:cNvGraphicFramePr/>
            <a:graphic>
              <a:graphicData uri="http://schemas.openxmlformats.org/drawingml/2006/picture">
                <pic:pic>
                  <pic:nvPicPr>
                    <pic:cNvPr id="50" name="IM 50"/>
                    <pic:cNvPicPr/>
                  </pic:nvPicPr>
                  <pic:blipFill>
                    <a:blip r:embed="rId20"/>
                    <a:stretch>
                      <a:fillRect/>
                    </a:stretch>
                  </pic:blipFill>
                  <pic:spPr>
                    <a:xfrm rot="0">
                      <a:off x="0" y="0"/>
                      <a:ext cx="2897288" cy="1077865"/>
                    </a:xfrm>
                    <a:prstGeom prst="rect">
                      <a:avLst/>
                    </a:prstGeom>
                  </pic:spPr>
                </pic:pic>
              </a:graphicData>
            </a:graphic>
          </wp:inline>
        </w:drawing>
      </w:r>
    </w:p>
    <w:p>
      <w:pPr>
        <w:pStyle w:val="BodyText"/>
        <w:spacing w:line="304" w:lineRule="auto"/>
        <w:rPr/>
      </w:pPr>
      <w:r/>
    </w:p>
    <w:p>
      <w:pPr>
        <w:pStyle w:val="BodyText"/>
        <w:spacing w:line="305" w:lineRule="auto"/>
        <w:rPr/>
      </w:pPr>
      <w:r/>
    </w:p>
    <w:p>
      <w:pPr>
        <w:pStyle w:val="BodyText"/>
        <w:spacing w:line="305" w:lineRule="auto"/>
        <w:rPr/>
      </w:pPr>
      <w:r/>
    </w:p>
    <w:p>
      <w:pPr>
        <w:ind w:left="1855" w:right="3003" w:hanging="261"/>
        <w:spacing w:before="90" w:line="208" w:lineRule="auto"/>
        <w:rPr>
          <w:rFonts w:ascii="Microsoft YaHei" w:hAnsi="Microsoft YaHei" w:eastAsia="Microsoft YaHei" w:cs="Microsoft YaHei"/>
          <w:sz w:val="21"/>
          <w:szCs w:val="21"/>
        </w:rPr>
      </w:pPr>
      <w:r>
        <w:rPr>
          <w:rFonts w:ascii="Courier New" w:hAnsi="Courier New" w:eastAsia="Courier New" w:cs="Courier New"/>
          <w:sz w:val="21"/>
          <w:szCs w:val="21"/>
          <w:spacing w:val="1"/>
        </w:rPr>
        <w:t>o</w:t>
      </w:r>
      <w:r>
        <w:rPr>
          <w:rFonts w:ascii="Courier New" w:hAnsi="Courier New" w:eastAsia="Courier New" w:cs="Courier New"/>
          <w:sz w:val="21"/>
          <w:szCs w:val="21"/>
          <w:spacing w:val="1"/>
        </w:rPr>
        <w:t xml:space="preserve"> </w:t>
      </w:r>
      <w:r>
        <w:rPr>
          <w:rFonts w:ascii="Microsoft YaHei" w:hAnsi="Microsoft YaHei" w:eastAsia="Microsoft YaHei" w:cs="Microsoft YaHei"/>
          <w:sz w:val="21"/>
          <w:szCs w:val="21"/>
          <w:spacing w:val="1"/>
        </w:rPr>
        <w:t>独立储能电站市场主体身份明确，商业模式显现。发改委、能源局多次提出探索</w:t>
      </w:r>
      <w:r>
        <w:rPr>
          <w:rFonts w:ascii="Microsoft YaHei" w:hAnsi="Microsoft YaHei" w:eastAsia="Microsoft YaHei" w:cs="Microsoft YaHei"/>
          <w:sz w:val="21"/>
          <w:szCs w:val="21"/>
          <w:spacing w:val="5"/>
        </w:rPr>
        <w:t xml:space="preserve"> </w:t>
      </w:r>
      <w:r>
        <w:rPr>
          <w:rFonts w:ascii="Microsoft YaHei" w:hAnsi="Microsoft YaHei" w:eastAsia="Microsoft YaHei" w:cs="Microsoft YaHei"/>
          <w:sz w:val="21"/>
          <w:szCs w:val="21"/>
          <w:spacing w:val="1"/>
        </w:rPr>
        <w:t>推广独立储能模式，明确独立储能电站市场主体地位，以及持续推进电力辅</w:t>
      </w:r>
      <w:r>
        <w:rPr>
          <w:rFonts w:ascii="Microsoft YaHei" w:hAnsi="Microsoft YaHei" w:eastAsia="Microsoft YaHei" w:cs="Microsoft YaHei"/>
          <w:sz w:val="21"/>
          <w:szCs w:val="21"/>
        </w:rPr>
        <w:t>助服 </w:t>
      </w:r>
      <w:r>
        <w:rPr>
          <w:rFonts w:ascii="Microsoft YaHei" w:hAnsi="Microsoft YaHei" w:eastAsia="Microsoft YaHei" w:cs="Microsoft YaHei"/>
          <w:sz w:val="21"/>
          <w:szCs w:val="21"/>
          <w:spacing w:val="1"/>
        </w:rPr>
        <w:t>务和市场化改革。在国家确定了独立储能发展方向后，南方区域、华东区域</w:t>
      </w:r>
      <w:r>
        <w:rPr>
          <w:rFonts w:ascii="Microsoft YaHei" w:hAnsi="Microsoft YaHei" w:eastAsia="Microsoft YaHei" w:cs="Microsoft YaHei"/>
          <w:sz w:val="21"/>
          <w:szCs w:val="21"/>
        </w:rPr>
        <w:t>、华 </w:t>
      </w:r>
      <w:r>
        <w:rPr>
          <w:rFonts w:ascii="Microsoft YaHei" w:hAnsi="Microsoft YaHei" w:eastAsia="Microsoft YaHei" w:cs="Microsoft YaHei"/>
          <w:sz w:val="21"/>
          <w:szCs w:val="21"/>
          <w:spacing w:val="-1"/>
        </w:rPr>
        <w:t>北区域等出台了新型储能参与电力辅助服务市场的相关细则。</w:t>
      </w:r>
    </w:p>
    <w:p>
      <w:pPr>
        <w:ind w:left="1857" w:right="2830" w:hanging="263"/>
        <w:spacing w:before="181" w:line="219" w:lineRule="auto"/>
        <w:jc w:val="right"/>
        <w:rPr>
          <w:rFonts w:ascii="Microsoft YaHei" w:hAnsi="Microsoft YaHei" w:eastAsia="Microsoft YaHei" w:cs="Microsoft YaHei"/>
          <w:sz w:val="21"/>
          <w:szCs w:val="21"/>
        </w:rPr>
      </w:pPr>
      <w:r>
        <w:drawing>
          <wp:anchor distT="0" distB="0" distL="0" distR="0" simplePos="0" relativeHeight="251685888" behindDoc="1" locked="0" layoutInCell="1" allowOverlap="1">
            <wp:simplePos x="0" y="0"/>
            <wp:positionH relativeFrom="column">
              <wp:posOffset>0</wp:posOffset>
            </wp:positionH>
            <wp:positionV relativeFrom="paragraph">
              <wp:posOffset>-2513566</wp:posOffset>
            </wp:positionV>
            <wp:extent cx="7775447" cy="10908789"/>
            <wp:effectExtent l="0" t="0" r="0" b="0"/>
            <wp:wrapNone/>
            <wp:docPr id="52" name="IM 52"/>
            <wp:cNvGraphicFramePr/>
            <a:graphic>
              <a:graphicData uri="http://schemas.openxmlformats.org/drawingml/2006/picture">
                <pic:pic>
                  <pic:nvPicPr>
                    <pic:cNvPr id="52" name="IM 52"/>
                    <pic:cNvPicPr/>
                  </pic:nvPicPr>
                  <pic:blipFill>
                    <a:blip r:embed="rId21"/>
                    <a:stretch>
                      <a:fillRect/>
                    </a:stretch>
                  </pic:blipFill>
                  <pic:spPr>
                    <a:xfrm rot="0">
                      <a:off x="0" y="0"/>
                      <a:ext cx="7775447" cy="10908789"/>
                    </a:xfrm>
                    <a:prstGeom prst="rect">
                      <a:avLst/>
                    </a:prstGeom>
                  </pic:spPr>
                </pic:pic>
              </a:graphicData>
            </a:graphic>
          </wp:anchor>
        </w:drawing>
      </w:r>
      <w:r>
        <w:rPr>
          <w:rFonts w:ascii="Courier New" w:hAnsi="Courier New" w:eastAsia="Courier New" w:cs="Courier New"/>
          <w:sz w:val="21"/>
          <w:szCs w:val="21"/>
          <w:spacing w:val="1"/>
        </w:rPr>
        <w:t>o</w:t>
      </w:r>
      <w:r>
        <w:rPr>
          <w:rFonts w:ascii="Courier New" w:hAnsi="Courier New" w:eastAsia="Courier New" w:cs="Courier New"/>
          <w:sz w:val="21"/>
          <w:szCs w:val="21"/>
          <w:spacing w:val="1"/>
        </w:rPr>
        <w:t xml:space="preserve"> </w:t>
      </w:r>
      <w:r>
        <w:rPr>
          <w:rFonts w:ascii="Microsoft YaHei" w:hAnsi="Microsoft YaHei" w:eastAsia="Microsoft YaHei" w:cs="Microsoft YaHei"/>
          <w:sz w:val="21"/>
          <w:szCs w:val="21"/>
          <w:spacing w:val="1"/>
        </w:rPr>
        <w:t>独立储能的收益模式还在探索中，细则有待进一步落实。总体来说，独立储能电    </w:t>
      </w:r>
      <w:r>
        <w:rPr>
          <w:rFonts w:ascii="Microsoft YaHei" w:hAnsi="Microsoft YaHei" w:eastAsia="Microsoft YaHei" w:cs="Microsoft YaHei"/>
          <w:sz w:val="21"/>
          <w:szCs w:val="21"/>
          <w:spacing w:val="1"/>
        </w:rPr>
        <w:t>站的收益渠道包括参与电力市场现货交易获取价差套利收入、稳定的容</w:t>
      </w:r>
      <w:r>
        <w:rPr>
          <w:rFonts w:ascii="Microsoft YaHei" w:hAnsi="Microsoft YaHei" w:eastAsia="Microsoft YaHei" w:cs="Microsoft YaHei"/>
          <w:sz w:val="21"/>
          <w:szCs w:val="21"/>
        </w:rPr>
        <w:t>量市场收    </w:t>
      </w:r>
      <w:r>
        <w:rPr>
          <w:rFonts w:ascii="Microsoft YaHei" w:hAnsi="Microsoft YaHei" w:eastAsia="Microsoft YaHei" w:cs="Microsoft YaHei"/>
          <w:sz w:val="21"/>
          <w:szCs w:val="21"/>
          <w:spacing w:val="1"/>
        </w:rPr>
        <w:t>入、容量租赁收入和辅助服务收入。由于各地市场规则不同和储能本身</w:t>
      </w:r>
      <w:r>
        <w:rPr>
          <w:rFonts w:ascii="Microsoft YaHei" w:hAnsi="Microsoft YaHei" w:eastAsia="Microsoft YaHei" w:cs="Microsoft YaHei"/>
          <w:sz w:val="21"/>
          <w:szCs w:val="21"/>
        </w:rPr>
        <w:t>的运行特    </w:t>
      </w:r>
      <w:r>
        <w:rPr>
          <w:rFonts w:ascii="Microsoft YaHei" w:hAnsi="Microsoft YaHei" w:eastAsia="Microsoft YaHei" w:cs="Microsoft YaHei"/>
          <w:sz w:val="21"/>
          <w:szCs w:val="21"/>
        </w:rPr>
        <w:t>点，多数情况下储能不能得到全部渠道的收益，只能同时获得其中一</w:t>
      </w:r>
      <w:r>
        <w:rPr>
          <w:rFonts w:ascii="Microsoft YaHei" w:hAnsi="Microsoft YaHei" w:eastAsia="Microsoft YaHei" w:cs="Microsoft YaHei"/>
          <w:sz w:val="21"/>
          <w:szCs w:val="21"/>
          <w:spacing w:val="-1"/>
        </w:rPr>
        <w:t>到两种收益。</w:t>
      </w:r>
    </w:p>
    <w:p>
      <w:pPr>
        <w:ind w:left="1856" w:right="2829" w:hanging="262"/>
        <w:spacing w:before="112" w:line="211" w:lineRule="auto"/>
        <w:rPr>
          <w:rFonts w:ascii="Microsoft YaHei" w:hAnsi="Microsoft YaHei" w:eastAsia="Microsoft YaHei" w:cs="Microsoft YaHei"/>
          <w:sz w:val="21"/>
          <w:szCs w:val="21"/>
        </w:rPr>
      </w:pPr>
      <w:r>
        <w:rPr>
          <w:rFonts w:ascii="Courier New" w:hAnsi="Courier New" w:eastAsia="Courier New" w:cs="Courier New"/>
          <w:sz w:val="21"/>
          <w:szCs w:val="21"/>
          <w:spacing w:val="1"/>
        </w:rPr>
        <w:t>o</w:t>
      </w:r>
      <w:r>
        <w:rPr>
          <w:rFonts w:ascii="Courier New" w:hAnsi="Courier New" w:eastAsia="Courier New" w:cs="Courier New"/>
          <w:sz w:val="21"/>
          <w:szCs w:val="21"/>
          <w:spacing w:val="1"/>
        </w:rPr>
        <w:t xml:space="preserve"> </w:t>
      </w:r>
      <w:r>
        <w:rPr>
          <w:rFonts w:ascii="Microsoft YaHei" w:hAnsi="Microsoft YaHei" w:eastAsia="Microsoft YaHei" w:cs="Microsoft YaHei"/>
          <w:sz w:val="21"/>
          <w:szCs w:val="21"/>
          <w:spacing w:val="1"/>
        </w:rPr>
        <w:t>我国电力市场化改革正在逐步推进，独立储能电站参与电力现货市场交易可能性    </w:t>
      </w:r>
      <w:r>
        <w:rPr>
          <w:rFonts w:ascii="Microsoft YaHei" w:hAnsi="Microsoft YaHei" w:eastAsia="Microsoft YaHei" w:cs="Microsoft YaHei"/>
          <w:sz w:val="21"/>
          <w:szCs w:val="21"/>
          <w:spacing w:val="1"/>
        </w:rPr>
        <w:t>增强，叠加辅助服务市场逐渐向独立储能开放，独立储能电站通过参与调</w:t>
      </w:r>
      <w:r>
        <w:rPr>
          <w:rFonts w:ascii="Microsoft YaHei" w:hAnsi="Microsoft YaHei" w:eastAsia="Microsoft YaHei" w:cs="Microsoft YaHei"/>
          <w:sz w:val="21"/>
          <w:szCs w:val="21"/>
        </w:rPr>
        <w:t>峰、调    </w:t>
      </w:r>
      <w:r>
        <w:rPr>
          <w:rFonts w:ascii="Microsoft YaHei" w:hAnsi="Microsoft YaHei" w:eastAsia="Microsoft YaHei" w:cs="Microsoft YaHei"/>
          <w:sz w:val="21"/>
          <w:szCs w:val="21"/>
        </w:rPr>
        <w:t>频等电力辅助服务及容量租赁来扩宽收益渠道。未来随着新能源发电占比的</w:t>
      </w:r>
      <w:r>
        <w:rPr>
          <w:rFonts w:ascii="Microsoft YaHei" w:hAnsi="Microsoft YaHei" w:eastAsia="Microsoft YaHei" w:cs="Microsoft YaHei"/>
          <w:sz w:val="21"/>
          <w:szCs w:val="21"/>
          <w:spacing w:val="-1"/>
        </w:rPr>
        <w:t>提升，</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部分省份电力现货市场的峰谷价差有望继续拉大，从而进一步提升储能项</w:t>
      </w:r>
      <w:r>
        <w:rPr>
          <w:rFonts w:ascii="Microsoft YaHei" w:hAnsi="Microsoft YaHei" w:eastAsia="Microsoft YaHei" w:cs="Microsoft YaHei"/>
          <w:sz w:val="21"/>
          <w:szCs w:val="21"/>
        </w:rPr>
        <w:t>目盈利    </w:t>
      </w:r>
      <w:r>
        <w:rPr>
          <w:rFonts w:ascii="Microsoft YaHei" w:hAnsi="Microsoft YaHei" w:eastAsia="Microsoft YaHei" w:cs="Microsoft YaHei"/>
          <w:sz w:val="21"/>
          <w:szCs w:val="21"/>
          <w:spacing w:val="-2"/>
        </w:rPr>
        <w:t>空间，促进独立储能的发展。</w:t>
      </w:r>
    </w:p>
    <w:p>
      <w:pPr>
        <w:pStyle w:val="BodyText"/>
        <w:spacing w:line="308" w:lineRule="auto"/>
        <w:rPr/>
      </w:pPr>
      <w:r/>
    </w:p>
    <w:p>
      <w:pPr>
        <w:pStyle w:val="BodyText"/>
        <w:spacing w:line="308" w:lineRule="auto"/>
        <w:rPr/>
      </w:pPr>
      <w:r/>
    </w:p>
    <w:p>
      <w:pPr>
        <w:pStyle w:val="BodyText"/>
        <w:ind w:left="1577" w:right="3002" w:hanging="262"/>
        <w:spacing w:before="103" w:line="195" w:lineRule="auto"/>
        <w:rPr>
          <w:rFonts w:ascii="Microsoft YaHei" w:hAnsi="Microsoft YaHei" w:eastAsia="Microsoft YaHei" w:cs="Microsoft YaHei"/>
        </w:rPr>
      </w:pPr>
      <w:r>
        <w:rPr>
          <w:sz w:val="24"/>
          <w:szCs w:val="24"/>
          <w:color w:val="00338D"/>
          <w:spacing w:val="4"/>
        </w:rPr>
        <w:t>•</w:t>
      </w:r>
      <w:r>
        <w:rPr>
          <w:sz w:val="24"/>
          <w:szCs w:val="24"/>
          <w:color w:val="00338D"/>
          <w:spacing w:val="30"/>
        </w:rPr>
        <w:t xml:space="preserve">  </w:t>
      </w:r>
      <w:r>
        <w:rPr>
          <w:rFonts w:ascii="Microsoft YaHei" w:hAnsi="Microsoft YaHei" w:eastAsia="Microsoft YaHei" w:cs="Microsoft YaHei"/>
          <w:sz w:val="24"/>
          <w:szCs w:val="24"/>
          <w:b/>
          <w:bCs/>
          <w:color w:val="00338D"/>
          <w:spacing w:val="4"/>
        </w:rPr>
        <w:t>用户端：</w:t>
      </w:r>
      <w:r>
        <w:rPr>
          <w:rFonts w:ascii="Microsoft YaHei" w:hAnsi="Microsoft YaHei" w:eastAsia="Microsoft YaHei" w:cs="Microsoft YaHei"/>
          <w:spacing w:val="4"/>
        </w:rPr>
        <w:t>储能的主体为电力用户</w:t>
      </w:r>
      <w:r>
        <w:rPr>
          <w:rFonts w:ascii="Microsoft YaHei" w:hAnsi="Microsoft YaHei" w:eastAsia="Microsoft YaHei" w:cs="Microsoft YaHei"/>
          <w:spacing w:val="-28"/>
        </w:rPr>
        <w:t xml:space="preserve"> </w:t>
      </w:r>
      <w:r>
        <w:rPr>
          <w:rFonts w:ascii="Microsoft YaHei" w:hAnsi="Microsoft YaHei" w:eastAsia="Microsoft YaHei" w:cs="Microsoft YaHei"/>
          <w:spacing w:val="4"/>
        </w:rPr>
        <w:t>，主要包括工商业用户及家庭用户。发展用户端</w:t>
      </w:r>
      <w:r>
        <w:rPr>
          <w:rFonts w:ascii="Microsoft YaHei" w:hAnsi="Microsoft YaHei" w:eastAsia="Microsoft YaHei" w:cs="Microsoft YaHei"/>
        </w:rPr>
        <w:t xml:space="preserve"> </w:t>
      </w:r>
      <w:r>
        <w:rPr>
          <w:rFonts w:ascii="Microsoft YaHei" w:hAnsi="Microsoft YaHei" w:eastAsia="Microsoft YaHei" w:cs="Microsoft YaHei"/>
        </w:rPr>
        <w:t>储能有助于节约电力成本并保障用电稳定性。</w:t>
      </w:r>
    </w:p>
    <w:p>
      <w:pPr>
        <w:pStyle w:val="BodyText"/>
        <w:spacing w:line="282" w:lineRule="auto"/>
        <w:rPr/>
      </w:pPr>
      <w:r/>
    </w:p>
    <w:p>
      <w:pPr>
        <w:pStyle w:val="BodyText"/>
        <w:spacing w:line="283" w:lineRule="auto"/>
        <w:rPr/>
      </w:pPr>
      <w:r>
        <w:pict>
          <v:rect id="_x0000_s56" style="position:absolute;margin-left:78.9801pt;margin-top:0.132355pt;mso-position-vertical-relative:text;mso-position-horizontal-relative:text;width:43.4pt;height:5pt;z-index:251689984;" fillcolor="#00B8F5" filled="true" stroked="false"/>
        </w:pict>
      </w:r>
      <w:r>
        <w:pict>
          <v:shape id="_x0000_s58" style="position:absolute;margin-left:78.6005pt;margin-top:18.8474pt;mso-position-vertical-relative:text;mso-position-horizontal-relative:text;width:37.75pt;height:33.75pt;z-index:251688960;" filled="false" strokecolor="#00B8F5" strokeweight="0.75pt" coordsize="755,675" coordorigin="0,0" path="m631,124c631,153,607,177,578,177c549,177,525,153,525,124c525,95,549,71,578,71c607,71,631,95,631,124m578,33l578,0m578,240l578,215m669,124l693,124m463,124l487,124m641,62l660,43m497,206l516,187m641,187l660,206m497,43l516,62m124,350l33,350c18,348,7,332,7,317c7,298,23,282,42,282c46,282,49,283,52,284c54,267,69,254,87,254c105,254,119,267,122,283c124,283,127,282,130,282c150,282,165,298,165,317m722,316l650,316c639,315,631,303,631,291c631,277,643,265,657,265c659,265,662,266,664,267c665,254,676,244,689,244c702,244,713,254,714,266c716,266,718,266,720,266c735,266,746,277,746,291c746,303,738,315,727,316l722,316l722,316xm156,388l156,667l593,667m372,208l592,393l665,393l665,392l372,148l79,392l79,393l151,393l372,208xm79,667l665,667m381,460l497,460l497,566l381,566l381,460xm348,566l525,566m314,667l209,667l209,460l314,460l314,667xm242,261l242,211l199,211l199,297m641,436c618,439,597,448,579,462c566,474,555,488,551,505c547,522,550,541,562,554c574,566,595,570,609,561c617,555,622,547,625,538c628,530,627,514,627,505c625,474,631,463,641,437l641,436xm588,657l588,581c588,581,588,537,593,508e">
            <v:stroke joinstyle="miter"/>
          </v:shape>
        </w:pict>
      </w:r>
      <w:r/>
    </w:p>
    <w:p>
      <w:pPr>
        <w:ind w:left="2617" w:right="3236" w:firstLine="1"/>
        <w:spacing w:before="103" w:line="217" w:lineRule="auto"/>
        <w:jc w:val="both"/>
        <w:rPr>
          <w:rFonts w:ascii="Microsoft YaHei" w:hAnsi="Microsoft YaHei" w:eastAsia="Microsoft YaHei" w:cs="Microsoft YaHei"/>
          <w:sz w:val="21"/>
          <w:szCs w:val="21"/>
        </w:rPr>
      </w:pPr>
      <w:r>
        <w:drawing>
          <wp:anchor distT="0" distB="0" distL="0" distR="0" simplePos="0" relativeHeight="251687936" behindDoc="1" locked="0" layoutInCell="1" allowOverlap="1">
            <wp:simplePos x="0" y="0"/>
            <wp:positionH relativeFrom="column">
              <wp:posOffset>3975935</wp:posOffset>
            </wp:positionH>
            <wp:positionV relativeFrom="paragraph">
              <wp:posOffset>-136318</wp:posOffset>
            </wp:positionV>
            <wp:extent cx="1903656" cy="1535795"/>
            <wp:effectExtent l="0" t="0" r="0" b="0"/>
            <wp:wrapNone/>
            <wp:docPr id="54" name="IM 54"/>
            <wp:cNvGraphicFramePr/>
            <a:graphic>
              <a:graphicData uri="http://schemas.openxmlformats.org/drawingml/2006/picture">
                <pic:pic>
                  <pic:nvPicPr>
                    <pic:cNvPr id="54" name="IM 54"/>
                    <pic:cNvPicPr/>
                  </pic:nvPicPr>
                  <pic:blipFill>
                    <a:blip r:embed="rId22"/>
                    <a:stretch>
                      <a:fillRect/>
                    </a:stretch>
                  </pic:blipFill>
                  <pic:spPr>
                    <a:xfrm rot="0">
                      <a:off x="0" y="0"/>
                      <a:ext cx="1903656" cy="1535795"/>
                    </a:xfrm>
                    <a:prstGeom prst="rect">
                      <a:avLst/>
                    </a:prstGeom>
                  </pic:spPr>
                </pic:pic>
              </a:graphicData>
            </a:graphic>
          </wp:anchor>
        </w:drawing>
      </w:r>
      <w:r>
        <w:rPr>
          <w:rFonts w:ascii="Microsoft YaHei" w:hAnsi="Microsoft YaHei" w:eastAsia="Microsoft YaHei" w:cs="Microsoft YaHei"/>
          <w:sz w:val="24"/>
          <w:szCs w:val="24"/>
          <w:color w:val="00B8F5"/>
          <w:spacing w:val="1"/>
        </w:rPr>
        <w:t>户用储能（户储）</w:t>
      </w:r>
      <w:r>
        <w:rPr>
          <w:rFonts w:ascii="Microsoft YaHei" w:hAnsi="Microsoft YaHei" w:eastAsia="Microsoft YaHei" w:cs="Microsoft YaHei"/>
          <w:sz w:val="21"/>
          <w:szCs w:val="21"/>
          <w:spacing w:val="1"/>
        </w:rPr>
        <w:t>是指用于家庭用户的储能系统。</w:t>
      </w:r>
      <w:r>
        <w:rPr>
          <w:rFonts w:ascii="Microsoft YaHei" w:hAnsi="Microsoft YaHei" w:eastAsia="Microsoft YaHei" w:cs="Microsoft YaHei"/>
          <w:sz w:val="21"/>
          <w:szCs w:val="21"/>
          <w:spacing w:val="-41"/>
        </w:rPr>
        <w:t xml:space="preserve"> </w:t>
      </w:r>
      <w:r>
        <w:rPr>
          <w:rFonts w:ascii="Microsoft YaHei" w:hAnsi="Microsoft YaHei" w:eastAsia="Microsoft YaHei" w:cs="Microsoft YaHei"/>
          <w:sz w:val="21"/>
          <w:szCs w:val="21"/>
          <w:spacing w:val="1"/>
        </w:rPr>
        <w:t>户用储能系</w:t>
      </w:r>
      <w:r>
        <w:rPr>
          <w:rFonts w:ascii="Microsoft YaHei" w:hAnsi="Microsoft YaHei" w:eastAsia="Microsoft YaHei" w:cs="Microsoft YaHei"/>
          <w:sz w:val="21"/>
          <w:szCs w:val="21"/>
        </w:rPr>
        <w:t>统通 </w:t>
      </w:r>
      <w:r>
        <w:rPr>
          <w:rFonts w:ascii="Microsoft YaHei" w:hAnsi="Microsoft YaHei" w:eastAsia="Microsoft YaHei" w:cs="Microsoft YaHei"/>
          <w:sz w:val="21"/>
          <w:szCs w:val="21"/>
          <w:spacing w:val="3"/>
        </w:rPr>
        <w:t>常与户用光伏系统组合安装，为家庭用户提供电能。户用储能系统可</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以提高户用光伏自发自用程度，</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1"/>
        </w:rPr>
        <w:t>减少用户的电费支出，</w:t>
      </w:r>
      <w:r>
        <w:rPr>
          <w:rFonts w:ascii="Microsoft YaHei" w:hAnsi="Microsoft YaHei" w:eastAsia="Microsoft YaHei" w:cs="Microsoft YaHei"/>
          <w:sz w:val="21"/>
          <w:szCs w:val="21"/>
          <w:spacing w:val="-37"/>
        </w:rPr>
        <w:t xml:space="preserve"> </w:t>
      </w:r>
      <w:r>
        <w:rPr>
          <w:rFonts w:ascii="Microsoft YaHei" w:hAnsi="Microsoft YaHei" w:eastAsia="Microsoft YaHei" w:cs="Microsoft YaHei"/>
          <w:sz w:val="21"/>
          <w:szCs w:val="21"/>
          <w:spacing w:val="1"/>
        </w:rPr>
        <w:t>并在极端天气</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等情况下保障用户用电的稳定性。对于高电价、</w:t>
      </w:r>
      <w:r>
        <w:rPr>
          <w:rFonts w:ascii="Microsoft YaHei" w:hAnsi="Microsoft YaHei" w:eastAsia="Microsoft YaHei" w:cs="Microsoft YaHei"/>
          <w:sz w:val="21"/>
          <w:szCs w:val="21"/>
          <w:spacing w:val="-33"/>
        </w:rPr>
        <w:t xml:space="preserve"> </w:t>
      </w:r>
      <w:r>
        <w:rPr>
          <w:rFonts w:ascii="Microsoft YaHei" w:hAnsi="Microsoft YaHei" w:eastAsia="Microsoft YaHei" w:cs="Microsoft YaHei"/>
          <w:sz w:val="21"/>
          <w:szCs w:val="21"/>
          <w:spacing w:val="2"/>
        </w:rPr>
        <w:t>高峰谷价差或电网老</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旧地区的用户</w:t>
      </w:r>
      <w:r>
        <w:rPr>
          <w:rFonts w:ascii="Microsoft YaHei" w:hAnsi="Microsoft YaHei" w:eastAsia="Microsoft YaHei" w:cs="Microsoft YaHei"/>
          <w:sz w:val="21"/>
          <w:szCs w:val="21"/>
          <w:spacing w:val="-33"/>
        </w:rPr>
        <w:t xml:space="preserve"> </w:t>
      </w:r>
      <w:r>
        <w:rPr>
          <w:rFonts w:ascii="Microsoft YaHei" w:hAnsi="Microsoft YaHei" w:eastAsia="Microsoft YaHei" w:cs="Microsoft YaHei"/>
          <w:sz w:val="21"/>
          <w:szCs w:val="21"/>
          <w:spacing w:val="2"/>
        </w:rPr>
        <w:t>，购置户储系统具备较好的经济性，家庭用户有购置户</w:t>
      </w:r>
    </w:p>
    <w:p>
      <w:pPr>
        <w:ind w:left="2615"/>
        <w:spacing w:before="1" w:line="17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储系统的动力。</w:t>
      </w:r>
    </w:p>
    <w:p>
      <w:pPr>
        <w:pStyle w:val="BodyText"/>
        <w:spacing w:line="321" w:lineRule="auto"/>
        <w:rPr/>
      </w:pPr>
      <w:r/>
    </w:p>
    <w:p>
      <w:pPr>
        <w:ind w:left="1855" w:right="3003" w:hanging="261"/>
        <w:spacing w:before="91" w:line="217" w:lineRule="auto"/>
        <w:rPr>
          <w:rFonts w:ascii="Microsoft YaHei" w:hAnsi="Microsoft YaHei" w:eastAsia="Microsoft YaHei" w:cs="Microsoft YaHei"/>
          <w:sz w:val="21"/>
          <w:szCs w:val="21"/>
        </w:rPr>
      </w:pPr>
      <w:r>
        <w:rPr>
          <w:rFonts w:ascii="Courier New" w:hAnsi="Courier New" w:eastAsia="Courier New" w:cs="Courier New"/>
          <w:sz w:val="21"/>
          <w:szCs w:val="21"/>
          <w:spacing w:val="4"/>
        </w:rPr>
        <w:t>o</w:t>
      </w:r>
      <w:r>
        <w:rPr>
          <w:rFonts w:ascii="Courier New" w:hAnsi="Courier New" w:eastAsia="Courier New" w:cs="Courier New"/>
          <w:sz w:val="21"/>
          <w:szCs w:val="21"/>
          <w:spacing w:val="4"/>
        </w:rPr>
        <w:t xml:space="preserve"> </w:t>
      </w:r>
      <w:r>
        <w:rPr>
          <w:rFonts w:ascii="Microsoft YaHei" w:hAnsi="Microsoft YaHei" w:eastAsia="Microsoft YaHei" w:cs="Microsoft YaHei"/>
          <w:sz w:val="21"/>
          <w:szCs w:val="21"/>
          <w:spacing w:val="4"/>
        </w:rPr>
        <w:t>高电价、成本下降和政策支持推高海外户储市场景气度。从2021年主要国家和</w:t>
      </w:r>
      <w:r>
        <w:rPr>
          <w:rFonts w:ascii="Microsoft YaHei" w:hAnsi="Microsoft YaHei" w:eastAsia="Microsoft YaHei" w:cs="Microsoft YaHei"/>
          <w:sz w:val="21"/>
          <w:szCs w:val="21"/>
          <w:spacing w:val="18"/>
          <w:w w:val="101"/>
        </w:rPr>
        <w:t xml:space="preserve"> </w:t>
      </w:r>
      <w:r>
        <w:rPr>
          <w:rFonts w:ascii="Microsoft YaHei" w:hAnsi="Microsoft YaHei" w:eastAsia="Microsoft YaHei" w:cs="Microsoft YaHei"/>
          <w:sz w:val="21"/>
          <w:szCs w:val="21"/>
          <w:spacing w:val="6"/>
        </w:rPr>
        <w:t>地区的家庭电价来看</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6"/>
        </w:rPr>
        <w:t>，</w:t>
      </w:r>
      <w:r>
        <w:rPr>
          <w:rFonts w:ascii="Microsoft YaHei" w:hAnsi="Microsoft YaHei" w:eastAsia="Microsoft YaHei" w:cs="Microsoft YaHei"/>
          <w:sz w:val="21"/>
          <w:szCs w:val="21"/>
          <w:spacing w:val="-41"/>
        </w:rPr>
        <w:t xml:space="preserve"> </w:t>
      </w:r>
      <w:r>
        <w:rPr>
          <w:rFonts w:ascii="Microsoft YaHei" w:hAnsi="Microsoft YaHei" w:eastAsia="Microsoft YaHei" w:cs="Microsoft YaHei"/>
          <w:sz w:val="21"/>
          <w:szCs w:val="21"/>
          <w:spacing w:val="6"/>
        </w:rPr>
        <w:t>以丹麦、德国、英国</w:t>
      </w:r>
      <w:r>
        <w:rPr>
          <w:rFonts w:ascii="Microsoft YaHei" w:hAnsi="Microsoft YaHei" w:eastAsia="Microsoft YaHei" w:cs="Microsoft YaHei"/>
          <w:sz w:val="21"/>
          <w:szCs w:val="21"/>
          <w:spacing w:val="5"/>
        </w:rPr>
        <w:t>等为代表的欧洲国家家庭电价均在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0.3美元/KWh以上，为美国的一倍，中国的近三倍。进入2022年，随着夏季欧洲</w:t>
      </w:r>
      <w:r>
        <w:rPr>
          <w:rFonts w:ascii="Microsoft YaHei" w:hAnsi="Microsoft YaHei" w:eastAsia="Microsoft YaHei" w:cs="Microsoft YaHei"/>
          <w:sz w:val="21"/>
          <w:szCs w:val="21"/>
          <w:spacing w:val="17"/>
          <w:w w:val="101"/>
        </w:rPr>
        <w:t xml:space="preserve"> </w:t>
      </w:r>
      <w:r>
        <w:rPr>
          <w:rFonts w:ascii="Microsoft YaHei" w:hAnsi="Microsoft YaHei" w:eastAsia="Microsoft YaHei" w:cs="Microsoft YaHei"/>
          <w:sz w:val="21"/>
          <w:szCs w:val="21"/>
        </w:rPr>
        <w:t>多国极端干旱天气叠加俄乌冲突所带来的天然气价格上涨，欧洲电价再创新高。 </w:t>
      </w:r>
      <w:r>
        <w:rPr>
          <w:rFonts w:ascii="Microsoft YaHei" w:hAnsi="Microsoft YaHei" w:eastAsia="Microsoft YaHei" w:cs="Microsoft YaHei"/>
          <w:sz w:val="21"/>
          <w:szCs w:val="21"/>
          <w:spacing w:val="1"/>
        </w:rPr>
        <w:t>家用光伏+储能系统的应用可以提高电力自发自用水平</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spacing w:val="-41"/>
        </w:rPr>
        <w:t xml:space="preserve"> </w:t>
      </w:r>
      <w:r>
        <w:rPr>
          <w:rFonts w:ascii="Microsoft YaHei" w:hAnsi="Microsoft YaHei" w:eastAsia="Microsoft YaHei" w:cs="Microsoft YaHei"/>
          <w:sz w:val="21"/>
          <w:szCs w:val="21"/>
          <w:spacing w:val="1"/>
        </w:rPr>
        <w:t>以延缓和降低电</w:t>
      </w:r>
      <w:r>
        <w:rPr>
          <w:rFonts w:ascii="Microsoft YaHei" w:hAnsi="Microsoft YaHei" w:eastAsia="Microsoft YaHei" w:cs="Microsoft YaHei"/>
          <w:sz w:val="21"/>
          <w:szCs w:val="21"/>
        </w:rPr>
        <w:t>价上涨 </w:t>
      </w:r>
      <w:r>
        <w:rPr>
          <w:rFonts w:ascii="Microsoft YaHei" w:hAnsi="Microsoft YaHei" w:eastAsia="Microsoft YaHei" w:cs="Microsoft YaHei"/>
          <w:sz w:val="21"/>
          <w:szCs w:val="21"/>
          <w:spacing w:val="-5"/>
        </w:rPr>
        <w:t>带来的风险。</w:t>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1805" w:right="1241" w:hanging="411"/>
        <w:spacing w:before="48"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F1F1F1"/>
          <w:spacing w:val="-1"/>
        </w:rPr>
        <w:t>© 2023</w:t>
      </w:r>
      <w:r>
        <w:rPr>
          <w:rFonts w:ascii="Microsoft YaHei" w:hAnsi="Microsoft YaHei" w:eastAsia="Microsoft YaHei" w:cs="Microsoft YaHei"/>
          <w:sz w:val="11"/>
          <w:szCs w:val="11"/>
          <w:color w:val="F1F1F1"/>
          <w:spacing w:val="-6"/>
        </w:rPr>
        <w:t xml:space="preserve"> </w:t>
      </w:r>
      <w:r>
        <w:rPr>
          <w:rFonts w:ascii="Microsoft YaHei" w:hAnsi="Microsoft YaHei" w:eastAsia="Microsoft YaHei" w:cs="Microsoft YaHei"/>
          <w:sz w:val="11"/>
          <w:szCs w:val="11"/>
          <w:color w:val="F1F1F1"/>
          <w:spacing w:val="-1"/>
        </w:rPr>
        <w:t>毕马威华振会计师事务所(特殊普通合伙)</w:t>
      </w:r>
      <w:r>
        <w:rPr>
          <w:rFonts w:ascii="Microsoft YaHei" w:hAnsi="Microsoft YaHei" w:eastAsia="Microsoft YaHei" w:cs="Microsoft YaHei"/>
          <w:sz w:val="11"/>
          <w:szCs w:val="11"/>
          <w:color w:val="F1F1F1"/>
          <w:spacing w:val="-12"/>
        </w:rPr>
        <w:t xml:space="preserve"> </w:t>
      </w:r>
      <w:r>
        <w:rPr>
          <w:rFonts w:ascii="Microsoft YaHei" w:hAnsi="Microsoft YaHei" w:eastAsia="Microsoft YaHei" w:cs="Microsoft YaHei"/>
          <w:sz w:val="11"/>
          <w:szCs w:val="11"/>
          <w:color w:val="F1F1F1"/>
          <w:spacing w:val="-1"/>
        </w:rPr>
        <w:t>— 中国合伙制会计师事务所，毕马威企业咨询</w:t>
      </w:r>
      <w:r>
        <w:rPr>
          <w:rFonts w:ascii="Microsoft YaHei" w:hAnsi="Microsoft YaHei" w:eastAsia="Microsoft YaHei" w:cs="Microsoft YaHei"/>
          <w:sz w:val="11"/>
          <w:szCs w:val="11"/>
          <w:color w:val="F1F1F1"/>
          <w:spacing w:val="-8"/>
        </w:rPr>
        <w:t xml:space="preserve"> </w:t>
      </w:r>
      <w:r>
        <w:rPr>
          <w:rFonts w:ascii="Microsoft YaHei" w:hAnsi="Microsoft YaHei" w:eastAsia="Microsoft YaHei" w:cs="Microsoft YaHei"/>
          <w:sz w:val="11"/>
          <w:szCs w:val="11"/>
          <w:color w:val="F1F1F1"/>
          <w:spacing w:val="-1"/>
        </w:rPr>
        <w:t>(中国)有限公司 — 中国有限责任公司，毕马威会计师事务所</w:t>
      </w:r>
      <w:r>
        <w:rPr>
          <w:rFonts w:ascii="Microsoft YaHei" w:hAnsi="Microsoft YaHei" w:eastAsia="Microsoft YaHei" w:cs="Microsoft YaHei"/>
          <w:sz w:val="11"/>
          <w:szCs w:val="11"/>
          <w:color w:val="F1F1F1"/>
          <w:spacing w:val="-8"/>
        </w:rPr>
        <w:t xml:space="preserve"> </w:t>
      </w:r>
      <w:r>
        <w:rPr>
          <w:rFonts w:ascii="Microsoft YaHei" w:hAnsi="Microsoft YaHei" w:eastAsia="Microsoft YaHei" w:cs="Microsoft YaHei"/>
          <w:sz w:val="11"/>
          <w:szCs w:val="11"/>
          <w:color w:val="F1F1F1"/>
          <w:spacing w:val="-1"/>
        </w:rPr>
        <w:t>— 澳门特别行政区合伙制事务所，</w:t>
      </w:r>
      <w:r>
        <w:rPr>
          <w:rFonts w:ascii="Microsoft YaHei" w:hAnsi="Microsoft YaHei" w:eastAsia="Microsoft YaHei" w:cs="Microsoft YaHei"/>
          <w:sz w:val="11"/>
          <w:szCs w:val="11"/>
          <w:color w:val="F1F1F1"/>
          <w:spacing w:val="-2"/>
        </w:rPr>
        <w:t>及毕马威</w:t>
      </w:r>
      <w:r>
        <w:rPr>
          <w:rFonts w:ascii="Microsoft YaHei" w:hAnsi="Microsoft YaHei" w:eastAsia="Microsoft YaHei" w:cs="Microsoft YaHei"/>
          <w:sz w:val="11"/>
          <w:szCs w:val="11"/>
          <w:color w:val="F1F1F1"/>
        </w:rPr>
        <w:t xml:space="preserve"> </w:t>
      </w:r>
      <w:r>
        <w:rPr>
          <w:rFonts w:ascii="Microsoft YaHei" w:hAnsi="Microsoft YaHei" w:eastAsia="Microsoft YaHei" w:cs="Microsoft YaHei"/>
          <w:sz w:val="11"/>
          <w:szCs w:val="11"/>
          <w:color w:val="F1F1F1"/>
        </w:rPr>
        <w:t>会计师事务所 —</w:t>
      </w:r>
      <w:r>
        <w:rPr>
          <w:rFonts w:ascii="Microsoft YaHei" w:hAnsi="Microsoft YaHei" w:eastAsia="Microsoft YaHei" w:cs="Microsoft YaHei"/>
          <w:sz w:val="11"/>
          <w:szCs w:val="11"/>
          <w:color w:val="F1F1F1"/>
          <w:spacing w:val="-6"/>
        </w:rPr>
        <w:t xml:space="preserve"> </w:t>
      </w:r>
      <w:r>
        <w:rPr>
          <w:rFonts w:ascii="Microsoft YaHei" w:hAnsi="Microsoft YaHei" w:eastAsia="Microsoft YaHei" w:cs="Microsoft YaHei"/>
          <w:sz w:val="11"/>
          <w:szCs w:val="11"/>
          <w:color w:val="F1F1F1"/>
        </w:rPr>
        <w:t>香港特别行政区合伙制事务所，</w:t>
      </w:r>
      <w:r>
        <w:rPr>
          <w:rFonts w:ascii="Microsoft YaHei" w:hAnsi="Microsoft YaHei" w:eastAsia="Microsoft YaHei" w:cs="Microsoft YaHei"/>
          <w:sz w:val="11"/>
          <w:szCs w:val="11"/>
          <w:color w:val="F1F1F1"/>
          <w:spacing w:val="-1"/>
        </w:rPr>
        <w:t>均是与英国私营担保有限公司</w:t>
      </w:r>
      <w:r>
        <w:rPr>
          <w:rFonts w:ascii="Microsoft YaHei" w:hAnsi="Microsoft YaHei" w:eastAsia="Microsoft YaHei" w:cs="Microsoft YaHei"/>
          <w:sz w:val="11"/>
          <w:szCs w:val="11"/>
          <w:color w:val="F1F1F1"/>
          <w:spacing w:val="-13"/>
        </w:rPr>
        <w:t xml:space="preserve"> </w:t>
      </w:r>
      <w:r>
        <w:rPr>
          <w:rFonts w:ascii="Microsoft YaHei" w:hAnsi="Microsoft YaHei" w:eastAsia="Microsoft YaHei" w:cs="Microsoft YaHei"/>
          <w:sz w:val="11"/>
          <w:szCs w:val="11"/>
          <w:color w:val="F1F1F1"/>
          <w:spacing w:val="-1"/>
        </w:rPr>
        <w:t>— 毕马威国际有限公司相关联的独立成员所全球性组织中的成员。版权所有，不得转载。在中国印刷。</w:t>
      </w:r>
    </w:p>
    <w:p>
      <w:pPr>
        <w:spacing w:line="172" w:lineRule="auto"/>
        <w:sectPr>
          <w:pgSz w:w="12245" w:h="17180"/>
          <w:pgMar w:top="1" w:right="0" w:bottom="0" w:left="0" w:header="0" w:footer="0" w:gutter="0"/>
        </w:sectPr>
        <w:rPr>
          <w:rFonts w:ascii="Microsoft YaHei" w:hAnsi="Microsoft YaHei" w:eastAsia="Microsoft YaHei" w:cs="Microsoft YaHei"/>
          <w:sz w:val="11"/>
          <w:szCs w:val="11"/>
        </w:rPr>
      </w:pPr>
    </w:p>
    <w:p>
      <w:pPr>
        <w:pStyle w:val="BodyText"/>
        <w:spacing w:line="243" w:lineRule="auto"/>
        <w:rPr/>
      </w:pPr>
      <w:r>
        <mc:AlternateContent xmlns:mc="http://schemas.openxmlformats.org/markup-compatibility/2006">
          <mc:Choice Requires="wps">
            <w:drawing>
              <wp:anchor distT="0" distB="0" distL="0" distR="0" simplePos="0" relativeHeight="251692032" behindDoc="1" locked="0" layoutInCell="0" allowOverlap="1">
                <wp:simplePos x="0" y="0"/>
                <wp:positionH relativeFrom="page">
                  <wp:posOffset>7772272</wp:posOffset>
                </wp:positionH>
                <wp:positionV relativeFrom="page">
                  <wp:posOffset>0</wp:posOffset>
                </wp:positionV>
                <wp:extent cx="3175" cy="10909300"/>
                <wp:effectExtent l="0" t="0" r="0" b="0"/>
                <wp:wrapNone/>
                <wp:docPr id="56" name="Rect 56"/>
                <wp:cNvGraphicFramePr/>
                <a:graphic>
                  <a:graphicData uri="http://schemas.microsoft.com/office/word/2010/wordprocessingShape">
                    <wps:wsp>
                      <wps:cNvPr id="56" name="Rect 56"/>
                      <wps:cNvSpPr/>
                      <wps:spPr>
                        <a:xfrm>
                          <a:off x="7772272" y="0"/>
                          <a:ext cx="3175" cy="109093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60" style="position:absolute;margin-left:611.99pt;margin-top:0pt;mso-position-vertical-relative:page;mso-position-horizontal-relative:page;width:0.25pt;height:859pt;z-index:-251624448;" o:allowincell="f" fillcolor="#000000" filled="true" stroked="false"/>
            </w:pict>
          </mc:Fallback>
        </mc:AlternateContent>
      </w:r>
      <w:r/>
    </w:p>
    <w:p>
      <w:pPr>
        <w:ind w:left="8975"/>
        <w:spacing w:before="77" w:line="178" w:lineRule="auto"/>
        <w:outlineLvl w:val="0"/>
        <w:rPr>
          <w:rFonts w:ascii="Microsoft YaHei" w:hAnsi="Microsoft YaHei" w:eastAsia="Microsoft YaHei" w:cs="Microsoft YaHei"/>
          <w:sz w:val="18"/>
          <w:szCs w:val="18"/>
        </w:rPr>
      </w:pPr>
      <w:r>
        <w:drawing>
          <wp:anchor distT="0" distB="0" distL="0" distR="0" simplePos="0" relativeHeight="251693056" behindDoc="1" locked="0" layoutInCell="1" allowOverlap="1">
            <wp:simplePos x="0" y="0"/>
            <wp:positionH relativeFrom="column">
              <wp:posOffset>0</wp:posOffset>
            </wp:positionH>
            <wp:positionV relativeFrom="paragraph">
              <wp:posOffset>-409446</wp:posOffset>
            </wp:positionV>
            <wp:extent cx="7775447" cy="10908789"/>
            <wp:effectExtent l="0" t="0" r="0" b="0"/>
            <wp:wrapNone/>
            <wp:docPr id="58" name="IM 58"/>
            <wp:cNvGraphicFramePr/>
            <a:graphic>
              <a:graphicData uri="http://schemas.openxmlformats.org/drawingml/2006/picture">
                <pic:pic>
                  <pic:nvPicPr>
                    <pic:cNvPr id="58" name="IM 58"/>
                    <pic:cNvPicPr/>
                  </pic:nvPicPr>
                  <pic:blipFill>
                    <a:blip r:embed="rId23"/>
                    <a:stretch>
                      <a:fillRect/>
                    </a:stretch>
                  </pic:blipFill>
                  <pic:spPr>
                    <a:xfrm rot="0">
                      <a:off x="0" y="0"/>
                      <a:ext cx="7775447" cy="10908789"/>
                    </a:xfrm>
                    <a:prstGeom prst="rect">
                      <a:avLst/>
                    </a:prstGeom>
                  </pic:spPr>
                </pic:pic>
              </a:graphicData>
            </a:graphic>
          </wp:anchor>
        </w:drawing>
      </w:r>
      <w:r>
        <w:rPr>
          <w:rFonts w:ascii="Microsoft YaHei" w:hAnsi="Microsoft YaHei" w:eastAsia="Microsoft YaHei" w:cs="Microsoft YaHei"/>
          <w:sz w:val="18"/>
          <w:szCs w:val="18"/>
          <w:color w:val="A8A8A8"/>
        </w:rPr>
        <w:t>新型储能助力能源转型</w:t>
      </w:r>
      <w:r>
        <w:rPr>
          <w:rFonts w:ascii="Microsoft YaHei" w:hAnsi="Microsoft YaHei" w:eastAsia="Microsoft YaHei" w:cs="Microsoft YaHei"/>
          <w:sz w:val="18"/>
          <w:szCs w:val="18"/>
          <w:color w:val="A8A8A8"/>
          <w:spacing w:val="7"/>
        </w:rPr>
        <w:t xml:space="preserve">      </w:t>
      </w:r>
      <w:r>
        <w:rPr>
          <w:rFonts w:ascii="Microsoft YaHei" w:hAnsi="Microsoft YaHei" w:eastAsia="Microsoft YaHei" w:cs="Microsoft YaHei"/>
          <w:sz w:val="18"/>
          <w:szCs w:val="18"/>
          <w:b/>
          <w:bCs/>
          <w:color w:val="A8A8A8"/>
        </w:rPr>
        <w:t>6</w:t>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8" w:lineRule="auto"/>
        <w:rPr/>
      </w:pPr>
      <w:r/>
    </w:p>
    <w:p>
      <w:pPr>
        <w:pStyle w:val="BodyText"/>
        <w:spacing w:line="278" w:lineRule="auto"/>
        <w:rPr/>
      </w:pPr>
      <w:r/>
    </w:p>
    <w:p>
      <w:pPr>
        <w:ind w:left="1854" w:right="2998" w:hanging="260"/>
        <w:spacing w:before="90" w:line="215" w:lineRule="auto"/>
        <w:rPr>
          <w:rFonts w:ascii="Microsoft YaHei" w:hAnsi="Microsoft YaHei" w:eastAsia="Microsoft YaHei" w:cs="Microsoft YaHei"/>
          <w:sz w:val="21"/>
          <w:szCs w:val="21"/>
        </w:rPr>
      </w:pPr>
      <w:r>
        <w:rPr>
          <w:rFonts w:ascii="Courier New" w:hAnsi="Courier New" w:eastAsia="Courier New" w:cs="Courier New"/>
          <w:sz w:val="21"/>
          <w:szCs w:val="21"/>
          <w:spacing w:val="1"/>
        </w:rPr>
        <w:t>o</w:t>
      </w:r>
      <w:r>
        <w:rPr>
          <w:rFonts w:ascii="Courier New" w:hAnsi="Courier New" w:eastAsia="Courier New" w:cs="Courier New"/>
          <w:sz w:val="21"/>
          <w:szCs w:val="21"/>
          <w:spacing w:val="1"/>
        </w:rPr>
        <w:t xml:space="preserve"> </w:t>
      </w:r>
      <w:r>
        <w:rPr>
          <w:rFonts w:ascii="Microsoft YaHei" w:hAnsi="Microsoft YaHei" w:eastAsia="Microsoft YaHei" w:cs="Microsoft YaHei"/>
          <w:sz w:val="21"/>
          <w:szCs w:val="21"/>
          <w:spacing w:val="1"/>
        </w:rPr>
        <w:t>持续增长的光伏渗透率和装机成本的下降催生未来市场规模。欧美国家由于城市</w:t>
      </w:r>
      <w:r>
        <w:rPr>
          <w:rFonts w:ascii="Microsoft YaHei" w:hAnsi="Microsoft YaHei" w:eastAsia="Microsoft YaHei" w:cs="Microsoft YaHei"/>
          <w:sz w:val="21"/>
          <w:szCs w:val="21"/>
          <w:spacing w:val="5"/>
        </w:rPr>
        <w:t xml:space="preserve"> </w:t>
      </w:r>
      <w:r>
        <w:rPr>
          <w:rFonts w:ascii="Microsoft YaHei" w:hAnsi="Microsoft YaHei" w:eastAsia="Microsoft YaHei" w:cs="Microsoft YaHei"/>
          <w:sz w:val="21"/>
          <w:szCs w:val="21"/>
          <w:spacing w:val="1"/>
        </w:rPr>
        <w:t>化程度较高，住房以独立或半独立住宅为主，适合发展户用光伏。与此同时，由</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于能源转型步伐加快</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4"/>
        </w:rPr>
        <w:t>，各国也纷纷出台政策鼓励户用光伏</w:t>
      </w:r>
      <w:r>
        <w:rPr>
          <w:rFonts w:ascii="Microsoft YaHei" w:hAnsi="Microsoft YaHei" w:eastAsia="Microsoft YaHei" w:cs="Microsoft YaHei"/>
          <w:sz w:val="21"/>
          <w:szCs w:val="21"/>
          <w:spacing w:val="3"/>
        </w:rPr>
        <w:t>自发自用。2021年欧</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盟27国人均家庭光伏装机量为355.3瓦/户</w:t>
      </w:r>
      <w:r>
        <w:rPr>
          <w:rFonts w:ascii="Microsoft YaHei" w:hAnsi="Microsoft YaHei" w:eastAsia="Microsoft YaHei" w:cs="Microsoft YaHei"/>
          <w:sz w:val="21"/>
          <w:szCs w:val="21"/>
          <w:spacing w:val="-11"/>
        </w:rPr>
        <w:t xml:space="preserve"> </w:t>
      </w:r>
      <w:r>
        <w:rPr>
          <w:rFonts w:ascii="Microsoft YaHei" w:hAnsi="Microsoft YaHei" w:eastAsia="Microsoft YaHei" w:cs="Microsoft YaHei"/>
          <w:sz w:val="21"/>
          <w:szCs w:val="21"/>
          <w:spacing w:val="1"/>
        </w:rPr>
        <w:t>，与2019年相比激增40%。</w:t>
      </w:r>
      <w:r>
        <w:rPr>
          <w:rFonts w:ascii="Microsoft YaHei" w:hAnsi="Microsoft YaHei" w:eastAsia="Microsoft YaHei" w:cs="Microsoft YaHei"/>
          <w:sz w:val="21"/>
          <w:szCs w:val="21"/>
          <w:spacing w:val="-40"/>
        </w:rPr>
        <w:t xml:space="preserve"> </w:t>
      </w:r>
      <w:r>
        <w:rPr>
          <w:rFonts w:ascii="Microsoft YaHei" w:hAnsi="Microsoft YaHei" w:eastAsia="Microsoft YaHei" w:cs="Microsoft YaHei"/>
          <w:sz w:val="21"/>
          <w:szCs w:val="21"/>
          <w:spacing w:val="1"/>
        </w:rPr>
        <w:t>从渗透率</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来看，目前澳大利亚、美国、德国、日本的户用光伏装机容量占总光伏装机的比</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例分别为</w:t>
      </w:r>
      <w:r>
        <w:rPr>
          <w:rFonts w:ascii="Microsoft YaHei" w:hAnsi="Microsoft YaHei" w:eastAsia="Microsoft YaHei" w:cs="Microsoft YaHei"/>
          <w:sz w:val="21"/>
          <w:szCs w:val="21"/>
          <w:spacing w:val="43"/>
          <w:w w:val="101"/>
        </w:rPr>
        <w:t xml:space="preserve"> </w:t>
      </w:r>
      <w:r>
        <w:rPr>
          <w:rFonts w:ascii="Microsoft YaHei" w:hAnsi="Microsoft YaHei" w:eastAsia="Microsoft YaHei" w:cs="Microsoft YaHei"/>
          <w:sz w:val="21"/>
          <w:szCs w:val="21"/>
          <w:spacing w:val="-2"/>
        </w:rPr>
        <w:t>66.5%、25.3%、</w:t>
      </w:r>
      <w:r>
        <w:rPr>
          <w:rFonts w:ascii="Microsoft YaHei" w:hAnsi="Microsoft YaHei" w:eastAsia="Microsoft YaHei" w:cs="Microsoft YaHei"/>
          <w:sz w:val="21"/>
          <w:szCs w:val="21"/>
          <w:spacing w:val="24"/>
        </w:rPr>
        <w:t xml:space="preserve"> </w:t>
      </w:r>
      <w:r>
        <w:rPr>
          <w:rFonts w:ascii="Microsoft YaHei" w:hAnsi="Microsoft YaHei" w:eastAsia="Microsoft YaHei" w:cs="Microsoft YaHei"/>
          <w:sz w:val="21"/>
          <w:szCs w:val="21"/>
          <w:spacing w:val="-2"/>
        </w:rPr>
        <w:t>34.4%、29.5%，为中国的十倍以上，</w:t>
      </w:r>
      <w:r>
        <w:rPr>
          <w:rFonts w:ascii="Microsoft YaHei" w:hAnsi="Microsoft YaHei" w:eastAsia="Microsoft YaHei" w:cs="Microsoft YaHei"/>
          <w:sz w:val="21"/>
          <w:szCs w:val="21"/>
          <w:spacing w:val="-36"/>
        </w:rPr>
        <w:t xml:space="preserve"> </w:t>
      </w:r>
      <w:r>
        <w:rPr>
          <w:rFonts w:ascii="Microsoft YaHei" w:hAnsi="Microsoft YaHei" w:eastAsia="Microsoft YaHei" w:cs="Microsoft YaHei"/>
          <w:sz w:val="21"/>
          <w:szCs w:val="21"/>
          <w:spacing w:val="-2"/>
        </w:rPr>
        <w:t>具备良好的户</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储基础。此外，户储设备成本中占比最高,  目前运用最广的锂电池包的价格已由</w:t>
      </w:r>
      <w:r>
        <w:rPr>
          <w:rFonts w:ascii="Microsoft YaHei" w:hAnsi="Microsoft YaHei" w:eastAsia="Microsoft YaHei" w:cs="Microsoft YaHei"/>
          <w:sz w:val="21"/>
          <w:szCs w:val="21"/>
          <w:spacing w:val="1"/>
        </w:rPr>
        <w:t xml:space="preserve"> </w:t>
      </w:r>
      <w:r>
        <w:rPr>
          <w:rFonts w:ascii="Microsoft YaHei" w:hAnsi="Microsoft YaHei" w:eastAsia="Microsoft YaHei" w:cs="Microsoft YaHei"/>
          <w:sz w:val="21"/>
          <w:szCs w:val="21"/>
          <w:spacing w:val="-1"/>
        </w:rPr>
        <w:t>2013年的684美元/kWh逐年下降到了2021年的132美元</w:t>
      </w:r>
      <w:r>
        <w:rPr>
          <w:rFonts w:ascii="Microsoft YaHei" w:hAnsi="Microsoft YaHei" w:eastAsia="Microsoft YaHei" w:cs="Microsoft YaHei"/>
          <w:sz w:val="21"/>
          <w:szCs w:val="21"/>
          <w:spacing w:val="-2"/>
        </w:rPr>
        <w:t>/kWh,  降幅为81%</w:t>
      </w:r>
      <w:r>
        <w:rPr>
          <w:rFonts w:ascii="Microsoft YaHei" w:hAnsi="Microsoft YaHei" w:eastAsia="Microsoft YaHei" w:cs="Microsoft YaHei"/>
          <w:sz w:val="21"/>
          <w:szCs w:val="21"/>
          <w:spacing w:val="-27"/>
        </w:rPr>
        <w:t xml:space="preserve"> </w:t>
      </w:r>
      <w:r>
        <w:rPr>
          <w:rFonts w:ascii="Microsoft YaHei" w:hAnsi="Microsoft YaHei" w:eastAsia="Microsoft YaHei" w:cs="Microsoft YaHei"/>
          <w:sz w:val="21"/>
          <w:szCs w:val="21"/>
          <w:spacing w:val="-2"/>
        </w:rPr>
        <w:t>，与</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2020年相比也有6%的降幅。</w:t>
      </w:r>
      <w:r>
        <w:rPr>
          <w:rFonts w:ascii="Microsoft YaHei" w:hAnsi="Microsoft YaHei" w:eastAsia="Microsoft YaHei" w:cs="Microsoft YaHei"/>
          <w:sz w:val="21"/>
          <w:szCs w:val="21"/>
          <w:spacing w:val="-16"/>
        </w:rPr>
        <w:t xml:space="preserve"> </w:t>
      </w:r>
      <w:r>
        <w:rPr>
          <w:rFonts w:ascii="Microsoft YaHei" w:hAnsi="Microsoft YaHei" w:eastAsia="Microsoft YaHei" w:cs="Microsoft YaHei"/>
          <w:sz w:val="21"/>
          <w:szCs w:val="21"/>
          <w:spacing w:val="2"/>
        </w:rPr>
        <w:t>由于上游原材料锂的价格上涨</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42"/>
        </w:rPr>
        <w:t xml:space="preserve"> </w:t>
      </w:r>
      <w:r>
        <w:rPr>
          <w:rFonts w:ascii="Microsoft YaHei" w:hAnsi="Microsoft YaHei" w:eastAsia="Microsoft YaHei" w:cs="Microsoft YaHei"/>
          <w:sz w:val="21"/>
          <w:szCs w:val="21"/>
        </w:rPr>
        <w:t>BNEF</w:t>
      </w:r>
      <w:r>
        <w:rPr>
          <w:rFonts w:ascii="Microsoft YaHei" w:hAnsi="Microsoft YaHei" w:eastAsia="Microsoft YaHei" w:cs="Microsoft YaHei"/>
          <w:sz w:val="21"/>
          <w:szCs w:val="21"/>
          <w:spacing w:val="2"/>
        </w:rPr>
        <w:t>将原本预测</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的2024年电池包价格跌落100美元/kWh的节点往后调了两年到202</w:t>
      </w:r>
      <w:r>
        <w:rPr>
          <w:rFonts w:ascii="Microsoft YaHei" w:hAnsi="Microsoft YaHei" w:eastAsia="Microsoft YaHei" w:cs="Microsoft YaHei"/>
          <w:sz w:val="21"/>
          <w:szCs w:val="21"/>
          <w:spacing w:val="-4"/>
        </w:rPr>
        <w:t>6年。</w:t>
      </w:r>
    </w:p>
    <w:p>
      <w:pPr>
        <w:ind w:left="1853" w:right="2823" w:hanging="259"/>
        <w:spacing w:before="162" w:line="211" w:lineRule="auto"/>
        <w:rPr>
          <w:rFonts w:ascii="Microsoft YaHei" w:hAnsi="Microsoft YaHei" w:eastAsia="Microsoft YaHei" w:cs="Microsoft YaHei"/>
          <w:sz w:val="21"/>
          <w:szCs w:val="21"/>
        </w:rPr>
      </w:pPr>
      <w:r>
        <w:rPr>
          <w:rFonts w:ascii="Courier New" w:hAnsi="Courier New" w:eastAsia="Courier New" w:cs="Courier New"/>
          <w:sz w:val="21"/>
          <w:szCs w:val="21"/>
          <w:spacing w:val="13"/>
        </w:rPr>
        <w:t>o</w:t>
      </w:r>
      <w:r>
        <w:rPr>
          <w:rFonts w:ascii="Courier New" w:hAnsi="Courier New" w:eastAsia="Courier New" w:cs="Courier New"/>
          <w:sz w:val="21"/>
          <w:szCs w:val="21"/>
          <w:spacing w:val="13"/>
        </w:rPr>
        <w:t xml:space="preserve"> </w:t>
      </w:r>
      <w:r>
        <w:rPr>
          <w:rFonts w:ascii="Microsoft YaHei" w:hAnsi="Microsoft YaHei" w:eastAsia="Microsoft YaHei" w:cs="Microsoft YaHei"/>
          <w:sz w:val="21"/>
          <w:szCs w:val="21"/>
          <w:spacing w:val="13"/>
        </w:rPr>
        <w:t>以悉尼的一户父母均为工薪阶层的四口之家为例</w:t>
      </w:r>
      <w:r>
        <w:rPr>
          <w:rFonts w:ascii="Microsoft YaHei" w:hAnsi="Microsoft YaHei" w:eastAsia="Microsoft YaHei" w:cs="Microsoft YaHei"/>
          <w:sz w:val="21"/>
          <w:szCs w:val="21"/>
          <w:spacing w:val="-37"/>
        </w:rPr>
        <w:t xml:space="preserve"> </w:t>
      </w:r>
      <w:r>
        <w:rPr>
          <w:rFonts w:ascii="Microsoft YaHei" w:hAnsi="Microsoft YaHei" w:eastAsia="Microsoft YaHei" w:cs="Microsoft YaHei"/>
          <w:sz w:val="21"/>
          <w:szCs w:val="21"/>
          <w:spacing w:val="12"/>
        </w:rPr>
        <w:t>,  假设家庭每日电量消耗为</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22kWh, 所安装的家庭储能系统为7kW光伏组件+13.</w:t>
      </w:r>
      <w:r>
        <w:rPr>
          <w:rFonts w:ascii="Microsoft YaHei" w:hAnsi="Microsoft YaHei" w:eastAsia="Microsoft YaHei" w:cs="Microsoft YaHei"/>
          <w:sz w:val="21"/>
          <w:szCs w:val="21"/>
          <w:spacing w:val="-5"/>
        </w:rPr>
        <w:t>3kWh储能电池。据测算，由</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于光伏系统近年来成本下降较快，家庭仅安装光伏系统的投资回报周期最快，约</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5.5年；安装光伏+储能电池的回报周期约为7.4年。预计未来如电价进一步上涨，</w:t>
      </w:r>
      <w:r>
        <w:rPr>
          <w:rFonts w:ascii="Microsoft YaHei" w:hAnsi="Microsoft YaHei" w:eastAsia="Microsoft YaHei" w:cs="Microsoft YaHei"/>
          <w:sz w:val="21"/>
          <w:szCs w:val="21"/>
          <w:spacing w:val="17"/>
          <w:w w:val="101"/>
        </w:rPr>
        <w:t xml:space="preserve"> </w:t>
      </w:r>
      <w:r>
        <w:rPr>
          <w:rFonts w:ascii="Microsoft YaHei" w:hAnsi="Microsoft YaHei" w:eastAsia="Microsoft YaHei" w:cs="Microsoft YaHei"/>
          <w:sz w:val="21"/>
          <w:szCs w:val="21"/>
          <w:spacing w:val="-1"/>
        </w:rPr>
        <w:t>且伴随储能电池的成本下降和寿命的增长，其回报周期将进一步缩短。</w:t>
      </w:r>
    </w:p>
    <w:p>
      <w:pPr>
        <w:pStyle w:val="BodyText"/>
        <w:spacing w:line="334" w:lineRule="auto"/>
        <w:rPr/>
      </w:pPr>
      <w:r/>
    </w:p>
    <w:p>
      <w:pPr>
        <w:pStyle w:val="BodyText"/>
        <w:spacing w:line="334" w:lineRule="auto"/>
        <w:rPr/>
      </w:pPr>
      <w:r>
        <w:drawing>
          <wp:anchor distT="0" distB="0" distL="0" distR="0" simplePos="0" relativeHeight="251694080" behindDoc="0" locked="0" layoutInCell="1" allowOverlap="1">
            <wp:simplePos x="0" y="0"/>
            <wp:positionH relativeFrom="column">
              <wp:posOffset>853940</wp:posOffset>
            </wp:positionH>
            <wp:positionV relativeFrom="paragraph">
              <wp:posOffset>29452</wp:posOffset>
            </wp:positionV>
            <wp:extent cx="699740" cy="1386220"/>
            <wp:effectExtent l="0" t="0" r="0" b="0"/>
            <wp:wrapNone/>
            <wp:docPr id="60" name="IM 60"/>
            <wp:cNvGraphicFramePr/>
            <a:graphic>
              <a:graphicData uri="http://schemas.openxmlformats.org/drawingml/2006/picture">
                <pic:pic>
                  <pic:nvPicPr>
                    <pic:cNvPr id="60" name="IM 60"/>
                    <pic:cNvPicPr/>
                  </pic:nvPicPr>
                  <pic:blipFill>
                    <a:blip r:embed="rId24"/>
                    <a:stretch>
                      <a:fillRect/>
                    </a:stretch>
                  </pic:blipFill>
                  <pic:spPr>
                    <a:xfrm rot="0">
                      <a:off x="0" y="0"/>
                      <a:ext cx="699740" cy="1386220"/>
                    </a:xfrm>
                    <a:prstGeom prst="rect">
                      <a:avLst/>
                    </a:prstGeom>
                  </pic:spPr>
                </pic:pic>
              </a:graphicData>
            </a:graphic>
          </wp:anchor>
        </w:drawing>
      </w:r>
      <w:r/>
    </w:p>
    <w:p>
      <w:pPr>
        <w:ind w:left="2617" w:right="3393" w:firstLine="5"/>
        <w:spacing w:before="103" w:line="215" w:lineRule="auto"/>
        <w:jc w:val="both"/>
        <w:rPr>
          <w:rFonts w:ascii="Microsoft YaHei" w:hAnsi="Microsoft YaHei" w:eastAsia="Microsoft YaHei" w:cs="Microsoft YaHei"/>
          <w:sz w:val="21"/>
          <w:szCs w:val="21"/>
        </w:rPr>
      </w:pPr>
      <w:r>
        <w:rPr>
          <w:rFonts w:ascii="Microsoft YaHei" w:hAnsi="Microsoft YaHei" w:eastAsia="Microsoft YaHei" w:cs="Microsoft YaHei"/>
          <w:sz w:val="24"/>
          <w:szCs w:val="24"/>
          <w:color w:val="00B8F5"/>
          <w:spacing w:val="2"/>
        </w:rPr>
        <w:t>工商业储能</w:t>
      </w:r>
      <w:r>
        <w:rPr>
          <w:rFonts w:ascii="Microsoft YaHei" w:hAnsi="Microsoft YaHei" w:eastAsia="Microsoft YaHei" w:cs="Microsoft YaHei"/>
          <w:sz w:val="24"/>
          <w:szCs w:val="24"/>
          <w:color w:val="00B8F5"/>
          <w:spacing w:val="68"/>
          <w:w w:val="101"/>
        </w:rPr>
        <w:t xml:space="preserve"> </w:t>
      </w:r>
      <w:r>
        <w:rPr>
          <w:rFonts w:ascii="Microsoft YaHei" w:hAnsi="Microsoft YaHei" w:eastAsia="Microsoft YaHei" w:cs="Microsoft YaHei"/>
          <w:sz w:val="21"/>
          <w:szCs w:val="21"/>
          <w:spacing w:val="2"/>
        </w:rPr>
        <w:t>是用户储能的另一重要组成部分，对于未使用光伏用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户</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4"/>
        </w:rPr>
        <w:t>，其经济性主要体现在利用储能进行峰谷套利</w:t>
      </w:r>
      <w:r>
        <w:rPr>
          <w:rFonts w:ascii="Microsoft YaHei" w:hAnsi="Microsoft YaHei" w:eastAsia="Microsoft YaHei" w:cs="Microsoft YaHei"/>
          <w:sz w:val="21"/>
          <w:szCs w:val="21"/>
          <w:spacing w:val="3"/>
        </w:rPr>
        <w:t>；对于光伏用户而</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言</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，则可以通过自发自用节省购电成本</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，助力企业节</w:t>
      </w:r>
      <w:r>
        <w:rPr>
          <w:rFonts w:ascii="Microsoft YaHei" w:hAnsi="Microsoft YaHei" w:eastAsia="Microsoft YaHei" w:cs="Microsoft YaHei"/>
          <w:sz w:val="21"/>
          <w:szCs w:val="21"/>
          <w:spacing w:val="1"/>
        </w:rPr>
        <w:t>能减排。</w:t>
      </w:r>
      <w:r>
        <w:rPr>
          <w:rFonts w:ascii="Microsoft YaHei" w:hAnsi="Microsoft YaHei" w:eastAsia="Microsoft YaHei" w:cs="Microsoft YaHei"/>
          <w:sz w:val="21"/>
          <w:szCs w:val="21"/>
          <w:spacing w:val="-40"/>
        </w:rPr>
        <w:t xml:space="preserve"> </w:t>
      </w:r>
      <w:r>
        <w:rPr>
          <w:rFonts w:ascii="Microsoft YaHei" w:hAnsi="Microsoft YaHei" w:eastAsia="Microsoft YaHei" w:cs="Microsoft YaHei"/>
          <w:sz w:val="21"/>
          <w:szCs w:val="21"/>
          <w:spacing w:val="1"/>
        </w:rPr>
        <w:t>工商</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5"/>
        </w:rPr>
        <w:t>业储能主要通过能量时移、峰谷价差套利、容量电费削减</w:t>
      </w:r>
      <w:r>
        <w:rPr>
          <w:rFonts w:ascii="Microsoft YaHei" w:hAnsi="Microsoft YaHei" w:eastAsia="Microsoft YaHei" w:cs="Microsoft YaHei"/>
          <w:sz w:val="21"/>
          <w:szCs w:val="21"/>
          <w:spacing w:val="4"/>
        </w:rPr>
        <w:t>和需求响</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应等渠道盈利。</w:t>
      </w:r>
    </w:p>
    <w:p>
      <w:pPr>
        <w:pStyle w:val="BodyText"/>
        <w:spacing w:line="296" w:lineRule="auto"/>
        <w:rPr/>
      </w:pPr>
      <w:r/>
    </w:p>
    <w:p>
      <w:pPr>
        <w:ind w:left="1858" w:right="3008" w:hanging="264"/>
        <w:spacing w:before="90" w:line="209" w:lineRule="auto"/>
        <w:rPr>
          <w:rFonts w:ascii="Microsoft YaHei" w:hAnsi="Microsoft YaHei" w:eastAsia="Microsoft YaHei" w:cs="Microsoft YaHei"/>
          <w:sz w:val="21"/>
          <w:szCs w:val="21"/>
        </w:rPr>
      </w:pPr>
      <w:r>
        <w:rPr>
          <w:rFonts w:ascii="Courier New" w:hAnsi="Courier New" w:eastAsia="Courier New" w:cs="Courier New"/>
          <w:sz w:val="21"/>
          <w:szCs w:val="21"/>
          <w:spacing w:val="-3"/>
        </w:rPr>
        <w:t>o</w:t>
      </w:r>
      <w:r>
        <w:rPr>
          <w:rFonts w:ascii="Courier New" w:hAnsi="Courier New" w:eastAsia="Courier New" w:cs="Courier New"/>
          <w:sz w:val="21"/>
          <w:szCs w:val="21"/>
          <w:spacing w:val="-3"/>
        </w:rPr>
        <w:t xml:space="preserve"> </w:t>
      </w:r>
      <w:r>
        <w:rPr>
          <w:rFonts w:ascii="Microsoft YaHei" w:hAnsi="Microsoft YaHei" w:eastAsia="Microsoft YaHei" w:cs="Microsoft YaHei"/>
          <w:sz w:val="21"/>
          <w:szCs w:val="21"/>
          <w:spacing w:val="-3"/>
        </w:rPr>
        <w:t>工商业储能是未来中国储能市场的主要增量。据Wood</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Mackenzie预测，</w:t>
      </w:r>
      <w:r>
        <w:rPr>
          <w:rFonts w:ascii="Microsoft YaHei" w:hAnsi="Microsoft YaHei" w:eastAsia="Microsoft YaHei" w:cs="Microsoft YaHei"/>
          <w:sz w:val="21"/>
          <w:szCs w:val="21"/>
          <w:spacing w:val="-4"/>
        </w:rPr>
        <w:t>到2031</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年，工商业储能将占据中国储能市场的10%，装机总量达442GWh,</w:t>
      </w:r>
      <w:r>
        <w:rPr>
          <w:rFonts w:ascii="Microsoft YaHei" w:hAnsi="Microsoft YaHei" w:eastAsia="Microsoft YaHei" w:cs="Microsoft YaHei"/>
          <w:sz w:val="21"/>
          <w:szCs w:val="21"/>
          <w:spacing w:val="51"/>
        </w:rPr>
        <w:t xml:space="preserve"> </w:t>
      </w:r>
      <w:r>
        <w:rPr>
          <w:rFonts w:ascii="Microsoft YaHei" w:hAnsi="Microsoft YaHei" w:eastAsia="Microsoft YaHei" w:cs="Microsoft YaHei"/>
          <w:sz w:val="21"/>
          <w:szCs w:val="21"/>
          <w:spacing w:val="-1"/>
        </w:rPr>
        <w:t>较202</w:t>
      </w:r>
      <w:r>
        <w:rPr>
          <w:rFonts w:ascii="Microsoft YaHei" w:hAnsi="Microsoft YaHei" w:eastAsia="Microsoft YaHei" w:cs="Microsoft YaHei"/>
          <w:sz w:val="21"/>
          <w:szCs w:val="21"/>
          <w:spacing w:val="-2"/>
        </w:rPr>
        <w:t>1年占</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比上升4个百分点，是主要增量市场。而发电/电</w:t>
      </w:r>
      <w:r>
        <w:rPr>
          <w:rFonts w:ascii="Microsoft YaHei" w:hAnsi="Microsoft YaHei" w:eastAsia="Microsoft YaHei" w:cs="Microsoft YaHei"/>
          <w:sz w:val="21"/>
          <w:szCs w:val="21"/>
        </w:rPr>
        <w:t>网端占比保持不变，而家庭储能 </w:t>
      </w:r>
      <w:r>
        <w:rPr>
          <w:rFonts w:ascii="Microsoft YaHei" w:hAnsi="Microsoft YaHei" w:eastAsia="Microsoft YaHei" w:cs="Microsoft YaHei"/>
          <w:sz w:val="21"/>
          <w:szCs w:val="21"/>
          <w:spacing w:val="-3"/>
        </w:rPr>
        <w:t>占比到2031年则仅为4%，比2021年下降3</w:t>
      </w:r>
      <w:r>
        <w:rPr>
          <w:rFonts w:ascii="Microsoft YaHei" w:hAnsi="Microsoft YaHei" w:eastAsia="Microsoft YaHei" w:cs="Microsoft YaHei"/>
          <w:sz w:val="21"/>
          <w:szCs w:val="21"/>
          <w:spacing w:val="-4"/>
        </w:rPr>
        <w:t>个百分点。</w:t>
      </w:r>
    </w:p>
    <w:p>
      <w:pPr>
        <w:ind w:left="1855" w:right="2829" w:hanging="261"/>
        <w:spacing w:before="177" w:line="208" w:lineRule="auto"/>
        <w:rPr>
          <w:rFonts w:ascii="Microsoft YaHei" w:hAnsi="Microsoft YaHei" w:eastAsia="Microsoft YaHei" w:cs="Microsoft YaHei"/>
          <w:sz w:val="21"/>
          <w:szCs w:val="21"/>
        </w:rPr>
      </w:pPr>
      <w:r>
        <w:rPr>
          <w:rFonts w:ascii="Courier New" w:hAnsi="Courier New" w:eastAsia="Courier New" w:cs="Courier New"/>
          <w:sz w:val="21"/>
          <w:szCs w:val="21"/>
        </w:rPr>
        <w:t>o</w:t>
      </w:r>
      <w:r>
        <w:rPr>
          <w:rFonts w:ascii="Courier New" w:hAnsi="Courier New" w:eastAsia="Courier New" w:cs="Courier New"/>
          <w:sz w:val="21"/>
          <w:szCs w:val="21"/>
          <w:spacing w:val="42"/>
        </w:rPr>
        <w:t xml:space="preserve"> </w:t>
      </w:r>
      <w:r>
        <w:rPr>
          <w:rFonts w:ascii="Microsoft YaHei" w:hAnsi="Microsoft YaHei" w:eastAsia="Microsoft YaHei" w:cs="Microsoft YaHei"/>
          <w:sz w:val="21"/>
          <w:szCs w:val="21"/>
        </w:rPr>
        <w:t>随着分时电价的进一步完善和高耗能企业电价的进一步上涨，工商业用户储能的    </w:t>
      </w:r>
      <w:r>
        <w:rPr>
          <w:rFonts w:ascii="Microsoft YaHei" w:hAnsi="Microsoft YaHei" w:eastAsia="Microsoft YaHei" w:cs="Microsoft YaHei"/>
          <w:sz w:val="21"/>
          <w:szCs w:val="21"/>
          <w:spacing w:val="2"/>
        </w:rPr>
        <w:t>经济性显著增强。</w:t>
      </w:r>
      <w:r>
        <w:rPr>
          <w:rFonts w:ascii="Microsoft YaHei" w:hAnsi="Microsoft YaHei" w:eastAsia="Microsoft YaHei" w:cs="Microsoft YaHei"/>
          <w:sz w:val="21"/>
          <w:szCs w:val="21"/>
          <w:spacing w:val="-39"/>
        </w:rPr>
        <w:t xml:space="preserve"> </w:t>
      </w:r>
      <w:r>
        <w:rPr>
          <w:rFonts w:ascii="Microsoft YaHei" w:hAnsi="Microsoft YaHei" w:eastAsia="Microsoft YaHei" w:cs="Microsoft YaHei"/>
          <w:sz w:val="21"/>
          <w:szCs w:val="21"/>
          <w:spacing w:val="2"/>
        </w:rPr>
        <w:t>与此同时</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，2021年我</w:t>
      </w:r>
      <w:r>
        <w:rPr>
          <w:rFonts w:ascii="Microsoft YaHei" w:hAnsi="Microsoft YaHei" w:eastAsia="Microsoft YaHei" w:cs="Microsoft YaHei"/>
          <w:sz w:val="21"/>
          <w:szCs w:val="21"/>
          <w:spacing w:val="1"/>
        </w:rPr>
        <w:t>国部分省市出现的拉闸限电</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spacing w:val="-41"/>
        </w:rPr>
        <w:t xml:space="preserve"> </w:t>
      </w:r>
      <w:r>
        <w:rPr>
          <w:rFonts w:ascii="Microsoft YaHei" w:hAnsi="Microsoft YaHei" w:eastAsia="Microsoft YaHei" w:cs="Microsoft YaHei"/>
          <w:sz w:val="21"/>
          <w:szCs w:val="21"/>
          <w:spacing w:val="1"/>
        </w:rPr>
        <w:t>以及由于</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干旱等极端天气造成的电力供应紧张等问题，对工商业的生产和经营带来了干</w:t>
      </w:r>
      <w:r>
        <w:rPr>
          <w:rFonts w:ascii="Microsoft YaHei" w:hAnsi="Microsoft YaHei" w:eastAsia="Microsoft YaHei" w:cs="Microsoft YaHei"/>
          <w:sz w:val="21"/>
          <w:szCs w:val="21"/>
          <w:spacing w:val="-1"/>
        </w:rPr>
        <w:t>扰，</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也助推了储能需求。</w:t>
      </w:r>
    </w:p>
    <w:p>
      <w:pPr>
        <w:ind w:left="1859" w:right="3003" w:hanging="265"/>
        <w:spacing w:before="180" w:line="210" w:lineRule="auto"/>
        <w:rPr>
          <w:rFonts w:ascii="Microsoft YaHei" w:hAnsi="Microsoft YaHei" w:eastAsia="Microsoft YaHei" w:cs="Microsoft YaHei"/>
          <w:sz w:val="21"/>
          <w:szCs w:val="21"/>
        </w:rPr>
      </w:pPr>
      <w:r>
        <w:rPr>
          <w:rFonts w:ascii="Courier New" w:hAnsi="Courier New" w:eastAsia="Courier New" w:cs="Courier New"/>
          <w:sz w:val="21"/>
          <w:szCs w:val="21"/>
        </w:rPr>
        <w:t>o</w:t>
      </w:r>
      <w:r>
        <w:rPr>
          <w:rFonts w:ascii="Courier New" w:hAnsi="Courier New" w:eastAsia="Courier New" w:cs="Courier New"/>
          <w:sz w:val="21"/>
          <w:szCs w:val="21"/>
        </w:rPr>
        <w:t xml:space="preserve"> </w:t>
      </w:r>
      <w:r>
        <w:rPr>
          <w:rFonts w:ascii="Microsoft YaHei" w:hAnsi="Microsoft YaHei" w:eastAsia="Microsoft YaHei" w:cs="Microsoft YaHei"/>
          <w:sz w:val="21"/>
          <w:szCs w:val="21"/>
        </w:rPr>
        <w:t>工商业储能的应用场景广泛，包括工业园区、数据中心、通信基站、政务楼宇、</w:t>
      </w:r>
      <w:r>
        <w:rPr>
          <w:rFonts w:ascii="Microsoft YaHei" w:hAnsi="Microsoft YaHei" w:eastAsia="Microsoft YaHei" w:cs="Microsoft YaHei"/>
          <w:sz w:val="21"/>
          <w:szCs w:val="21"/>
          <w:spacing w:val="8"/>
        </w:rPr>
        <w:t xml:space="preserve"> </w:t>
      </w:r>
      <w:r>
        <w:rPr>
          <w:rFonts w:ascii="Microsoft YaHei" w:hAnsi="Microsoft YaHei" w:eastAsia="Microsoft YaHei" w:cs="Microsoft YaHei"/>
          <w:sz w:val="21"/>
          <w:szCs w:val="21"/>
          <w:spacing w:val="1"/>
        </w:rPr>
        <w:t>商场、医院等各行各业。其中工业园区具有厂房屋面面积大，光伏</w:t>
      </w:r>
      <w:r>
        <w:rPr>
          <w:rFonts w:ascii="Microsoft YaHei" w:hAnsi="Microsoft YaHei" w:eastAsia="Microsoft YaHei" w:cs="Microsoft YaHei"/>
          <w:sz w:val="21"/>
          <w:szCs w:val="21"/>
        </w:rPr>
        <w:t>发电时间与用 </w:t>
      </w:r>
      <w:r>
        <w:rPr>
          <w:rFonts w:ascii="Microsoft YaHei" w:hAnsi="Microsoft YaHei" w:eastAsia="Microsoft YaHei" w:cs="Microsoft YaHei"/>
          <w:sz w:val="21"/>
          <w:szCs w:val="21"/>
          <w:spacing w:val="1"/>
        </w:rPr>
        <w:t>电高峰重合的特点，配置光储联合系统后能有效降低购电成本，减</w:t>
      </w:r>
      <w:r>
        <w:rPr>
          <w:rFonts w:ascii="Microsoft YaHei" w:hAnsi="Microsoft YaHei" w:eastAsia="Microsoft YaHei" w:cs="Microsoft YaHei"/>
          <w:sz w:val="21"/>
          <w:szCs w:val="21"/>
        </w:rPr>
        <w:t>小光伏对系统 </w:t>
      </w:r>
      <w:r>
        <w:rPr>
          <w:rFonts w:ascii="Microsoft YaHei" w:hAnsi="Microsoft YaHei" w:eastAsia="Microsoft YaHei" w:cs="Microsoft YaHei"/>
          <w:sz w:val="21"/>
          <w:szCs w:val="21"/>
          <w:spacing w:val="1"/>
        </w:rPr>
        <w:t>的冲击，并在电力市场环境下降低功率偏差带来的经济损失，是较</w:t>
      </w:r>
      <w:r>
        <w:rPr>
          <w:rFonts w:ascii="Microsoft YaHei" w:hAnsi="Microsoft YaHei" w:eastAsia="Microsoft YaHei" w:cs="Microsoft YaHei"/>
          <w:sz w:val="21"/>
          <w:szCs w:val="21"/>
        </w:rPr>
        <w:t>具有代表性的 </w:t>
      </w:r>
      <w:r>
        <w:rPr>
          <w:rFonts w:ascii="Microsoft YaHei" w:hAnsi="Microsoft YaHei" w:eastAsia="Microsoft YaHei" w:cs="Microsoft YaHei"/>
          <w:sz w:val="21"/>
          <w:szCs w:val="21"/>
          <w:spacing w:val="-3"/>
        </w:rPr>
        <w:t>工商业储能场景应用。</w:t>
      </w:r>
    </w:p>
    <w:p>
      <w:pPr>
        <w:pStyle w:val="BodyText"/>
        <w:rPr/>
      </w:pPr>
      <w:r/>
    </w:p>
    <w:p>
      <w:pPr>
        <w:pStyle w:val="BodyText"/>
        <w:rPr/>
      </w:pPr>
      <w:r/>
    </w:p>
    <w:p>
      <w:pPr>
        <w:pStyle w:val="BodyText"/>
        <w:rPr/>
      </w:pPr>
      <w:r/>
    </w:p>
    <w:p>
      <w:pPr>
        <w:pStyle w:val="BodyText"/>
        <w:rPr/>
      </w:pPr>
      <w:r/>
    </w:p>
    <w:p>
      <w:pPr>
        <w:pStyle w:val="BodyText"/>
        <w:rPr/>
      </w:pPr>
      <w:r/>
    </w:p>
    <w:p>
      <w:pPr>
        <w:pStyle w:val="BodyText"/>
        <w:spacing w:line="241" w:lineRule="auto"/>
        <w:rPr/>
      </w:pPr>
      <w:r/>
    </w:p>
    <w:p>
      <w:pPr>
        <w:pStyle w:val="BodyText"/>
        <w:spacing w:line="241" w:lineRule="auto"/>
        <w:rPr/>
      </w:pPr>
      <w:r/>
    </w:p>
    <w:p>
      <w:pPr>
        <w:ind w:left="1805" w:right="1241" w:hanging="411"/>
        <w:spacing w:before="48"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F1F1F1"/>
          <w:spacing w:val="-1"/>
        </w:rPr>
        <w:t>© 2023</w:t>
      </w:r>
      <w:r>
        <w:rPr>
          <w:rFonts w:ascii="Microsoft YaHei" w:hAnsi="Microsoft YaHei" w:eastAsia="Microsoft YaHei" w:cs="Microsoft YaHei"/>
          <w:sz w:val="11"/>
          <w:szCs w:val="11"/>
          <w:color w:val="F1F1F1"/>
          <w:spacing w:val="-6"/>
        </w:rPr>
        <w:t xml:space="preserve"> </w:t>
      </w:r>
      <w:r>
        <w:rPr>
          <w:rFonts w:ascii="Microsoft YaHei" w:hAnsi="Microsoft YaHei" w:eastAsia="Microsoft YaHei" w:cs="Microsoft YaHei"/>
          <w:sz w:val="11"/>
          <w:szCs w:val="11"/>
          <w:color w:val="F1F1F1"/>
          <w:spacing w:val="-1"/>
        </w:rPr>
        <w:t>毕马威华振会计师事务所(特殊普通合伙)</w:t>
      </w:r>
      <w:r>
        <w:rPr>
          <w:rFonts w:ascii="Microsoft YaHei" w:hAnsi="Microsoft YaHei" w:eastAsia="Microsoft YaHei" w:cs="Microsoft YaHei"/>
          <w:sz w:val="11"/>
          <w:szCs w:val="11"/>
          <w:color w:val="F1F1F1"/>
          <w:spacing w:val="-12"/>
        </w:rPr>
        <w:t xml:space="preserve"> </w:t>
      </w:r>
      <w:r>
        <w:rPr>
          <w:rFonts w:ascii="Microsoft YaHei" w:hAnsi="Microsoft YaHei" w:eastAsia="Microsoft YaHei" w:cs="Microsoft YaHei"/>
          <w:sz w:val="11"/>
          <w:szCs w:val="11"/>
          <w:color w:val="F1F1F1"/>
          <w:spacing w:val="-1"/>
        </w:rPr>
        <w:t>— 中国合伙制会计师事务所，毕马威企业咨询</w:t>
      </w:r>
      <w:r>
        <w:rPr>
          <w:rFonts w:ascii="Microsoft YaHei" w:hAnsi="Microsoft YaHei" w:eastAsia="Microsoft YaHei" w:cs="Microsoft YaHei"/>
          <w:sz w:val="11"/>
          <w:szCs w:val="11"/>
          <w:color w:val="F1F1F1"/>
          <w:spacing w:val="-8"/>
        </w:rPr>
        <w:t xml:space="preserve"> </w:t>
      </w:r>
      <w:r>
        <w:rPr>
          <w:rFonts w:ascii="Microsoft YaHei" w:hAnsi="Microsoft YaHei" w:eastAsia="Microsoft YaHei" w:cs="Microsoft YaHei"/>
          <w:sz w:val="11"/>
          <w:szCs w:val="11"/>
          <w:color w:val="F1F1F1"/>
          <w:spacing w:val="-1"/>
        </w:rPr>
        <w:t>(中国)有限公司 — 中国有限责任公司，毕马威会计师事务所</w:t>
      </w:r>
      <w:r>
        <w:rPr>
          <w:rFonts w:ascii="Microsoft YaHei" w:hAnsi="Microsoft YaHei" w:eastAsia="Microsoft YaHei" w:cs="Microsoft YaHei"/>
          <w:sz w:val="11"/>
          <w:szCs w:val="11"/>
          <w:color w:val="F1F1F1"/>
          <w:spacing w:val="-8"/>
        </w:rPr>
        <w:t xml:space="preserve"> </w:t>
      </w:r>
      <w:r>
        <w:rPr>
          <w:rFonts w:ascii="Microsoft YaHei" w:hAnsi="Microsoft YaHei" w:eastAsia="Microsoft YaHei" w:cs="Microsoft YaHei"/>
          <w:sz w:val="11"/>
          <w:szCs w:val="11"/>
          <w:color w:val="F1F1F1"/>
          <w:spacing w:val="-1"/>
        </w:rPr>
        <w:t>— 澳门特别行政区合伙制事务所，</w:t>
      </w:r>
      <w:r>
        <w:rPr>
          <w:rFonts w:ascii="Microsoft YaHei" w:hAnsi="Microsoft YaHei" w:eastAsia="Microsoft YaHei" w:cs="Microsoft YaHei"/>
          <w:sz w:val="11"/>
          <w:szCs w:val="11"/>
          <w:color w:val="F1F1F1"/>
          <w:spacing w:val="-2"/>
        </w:rPr>
        <w:t>及毕马威</w:t>
      </w:r>
      <w:r>
        <w:rPr>
          <w:rFonts w:ascii="Microsoft YaHei" w:hAnsi="Microsoft YaHei" w:eastAsia="Microsoft YaHei" w:cs="Microsoft YaHei"/>
          <w:sz w:val="11"/>
          <w:szCs w:val="11"/>
          <w:color w:val="F1F1F1"/>
        </w:rPr>
        <w:t xml:space="preserve"> </w:t>
      </w:r>
      <w:r>
        <w:rPr>
          <w:rFonts w:ascii="Microsoft YaHei" w:hAnsi="Microsoft YaHei" w:eastAsia="Microsoft YaHei" w:cs="Microsoft YaHei"/>
          <w:sz w:val="11"/>
          <w:szCs w:val="11"/>
          <w:color w:val="F1F1F1"/>
        </w:rPr>
        <w:t>会计师事务所 —</w:t>
      </w:r>
      <w:r>
        <w:rPr>
          <w:rFonts w:ascii="Microsoft YaHei" w:hAnsi="Microsoft YaHei" w:eastAsia="Microsoft YaHei" w:cs="Microsoft YaHei"/>
          <w:sz w:val="11"/>
          <w:szCs w:val="11"/>
          <w:color w:val="F1F1F1"/>
          <w:spacing w:val="-6"/>
        </w:rPr>
        <w:t xml:space="preserve"> </w:t>
      </w:r>
      <w:r>
        <w:rPr>
          <w:rFonts w:ascii="Microsoft YaHei" w:hAnsi="Microsoft YaHei" w:eastAsia="Microsoft YaHei" w:cs="Microsoft YaHei"/>
          <w:sz w:val="11"/>
          <w:szCs w:val="11"/>
          <w:color w:val="F1F1F1"/>
        </w:rPr>
        <w:t>香港特别行政区合伙制事务所，</w:t>
      </w:r>
      <w:r>
        <w:rPr>
          <w:rFonts w:ascii="Microsoft YaHei" w:hAnsi="Microsoft YaHei" w:eastAsia="Microsoft YaHei" w:cs="Microsoft YaHei"/>
          <w:sz w:val="11"/>
          <w:szCs w:val="11"/>
          <w:color w:val="F1F1F1"/>
          <w:spacing w:val="-1"/>
        </w:rPr>
        <w:t>均是与英国私营担保有限公司</w:t>
      </w:r>
      <w:r>
        <w:rPr>
          <w:rFonts w:ascii="Microsoft YaHei" w:hAnsi="Microsoft YaHei" w:eastAsia="Microsoft YaHei" w:cs="Microsoft YaHei"/>
          <w:sz w:val="11"/>
          <w:szCs w:val="11"/>
          <w:color w:val="F1F1F1"/>
          <w:spacing w:val="-13"/>
        </w:rPr>
        <w:t xml:space="preserve"> </w:t>
      </w:r>
      <w:r>
        <w:rPr>
          <w:rFonts w:ascii="Microsoft YaHei" w:hAnsi="Microsoft YaHei" w:eastAsia="Microsoft YaHei" w:cs="Microsoft YaHei"/>
          <w:sz w:val="11"/>
          <w:szCs w:val="11"/>
          <w:color w:val="F1F1F1"/>
          <w:spacing w:val="-1"/>
        </w:rPr>
        <w:t>— 毕马威国际有限公司相关联的独立成员所全球性组织中的成员。版权所有，不得转载。在中国印刷。</w:t>
      </w:r>
    </w:p>
    <w:p>
      <w:pPr>
        <w:spacing w:line="172" w:lineRule="auto"/>
        <w:sectPr>
          <w:pgSz w:w="12245" w:h="17180"/>
          <w:pgMar w:top="400" w:right="0" w:bottom="0" w:left="0" w:header="0" w:footer="0" w:gutter="0"/>
        </w:sectPr>
        <w:rPr>
          <w:rFonts w:ascii="Microsoft YaHei" w:hAnsi="Microsoft YaHei" w:eastAsia="Microsoft YaHei" w:cs="Microsoft YaHei"/>
          <w:sz w:val="11"/>
          <w:szCs w:val="11"/>
        </w:rPr>
      </w:pPr>
    </w:p>
    <w:p>
      <w:pPr>
        <w:pStyle w:val="BodyText"/>
        <w:spacing w:line="243" w:lineRule="auto"/>
        <w:rPr/>
      </w:pPr>
      <w:r>
        <mc:AlternateContent xmlns:mc="http://schemas.openxmlformats.org/markup-compatibility/2006">
          <mc:Choice Requires="wps">
            <w:drawing>
              <wp:anchor distT="0" distB="0" distL="0" distR="0" simplePos="0" relativeHeight="251697152" behindDoc="1" locked="0" layoutInCell="0" allowOverlap="1">
                <wp:simplePos x="0" y="0"/>
                <wp:positionH relativeFrom="page">
                  <wp:posOffset>7772272</wp:posOffset>
                </wp:positionH>
                <wp:positionV relativeFrom="page">
                  <wp:posOffset>0</wp:posOffset>
                </wp:positionV>
                <wp:extent cx="3175" cy="10909300"/>
                <wp:effectExtent l="0" t="0" r="0" b="0"/>
                <wp:wrapNone/>
                <wp:docPr id="62" name="Rect 62"/>
                <wp:cNvGraphicFramePr/>
                <a:graphic>
                  <a:graphicData uri="http://schemas.microsoft.com/office/word/2010/wordprocessingShape">
                    <wps:wsp>
                      <wps:cNvPr id="62" name="Rect 62"/>
                      <wps:cNvSpPr/>
                      <wps:spPr>
                        <a:xfrm>
                          <a:off x="7772272" y="0"/>
                          <a:ext cx="3175" cy="109093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62" style="position:absolute;margin-left:611.99pt;margin-top:0pt;mso-position-vertical-relative:page;mso-position-horizontal-relative:page;width:0.25pt;height:859pt;z-index:-251619328;" o:allowincell="f" fillcolor="#000000" filled="true" stroked="false"/>
            </w:pict>
          </mc:Fallback>
        </mc:AlternateContent>
      </w:r>
      <w:r/>
    </w:p>
    <w:p>
      <w:pPr>
        <w:ind w:left="1019"/>
        <w:spacing w:before="77" w:line="178" w:lineRule="auto"/>
        <w:rPr>
          <w:rFonts w:ascii="Microsoft YaHei" w:hAnsi="Microsoft YaHei" w:eastAsia="Microsoft YaHei" w:cs="Microsoft YaHei"/>
          <w:sz w:val="18"/>
          <w:szCs w:val="18"/>
        </w:rPr>
      </w:pPr>
      <w:r>
        <w:drawing>
          <wp:anchor distT="0" distB="0" distL="0" distR="0" simplePos="0" relativeHeight="251698176" behindDoc="1" locked="0" layoutInCell="1" allowOverlap="1">
            <wp:simplePos x="0" y="0"/>
            <wp:positionH relativeFrom="column">
              <wp:posOffset>0</wp:posOffset>
            </wp:positionH>
            <wp:positionV relativeFrom="paragraph">
              <wp:posOffset>-409446</wp:posOffset>
            </wp:positionV>
            <wp:extent cx="7775447" cy="10908789"/>
            <wp:effectExtent l="0" t="0" r="0" b="0"/>
            <wp:wrapNone/>
            <wp:docPr id="64" name="IM 64"/>
            <wp:cNvGraphicFramePr/>
            <a:graphic>
              <a:graphicData uri="http://schemas.openxmlformats.org/drawingml/2006/picture">
                <pic:pic>
                  <pic:nvPicPr>
                    <pic:cNvPr id="64" name="IM 64"/>
                    <pic:cNvPicPr/>
                  </pic:nvPicPr>
                  <pic:blipFill>
                    <a:blip r:embed="rId25"/>
                    <a:stretch>
                      <a:fillRect/>
                    </a:stretch>
                  </pic:blipFill>
                  <pic:spPr>
                    <a:xfrm rot="0">
                      <a:off x="0" y="0"/>
                      <a:ext cx="7775447" cy="10908789"/>
                    </a:xfrm>
                    <a:prstGeom prst="rect">
                      <a:avLst/>
                    </a:prstGeom>
                  </pic:spPr>
                </pic:pic>
              </a:graphicData>
            </a:graphic>
          </wp:anchor>
        </w:drawing>
      </w:r>
      <w:r>
        <w:rPr>
          <w:rFonts w:ascii="Microsoft YaHei" w:hAnsi="Microsoft YaHei" w:eastAsia="Microsoft YaHei" w:cs="Microsoft YaHei"/>
          <w:sz w:val="18"/>
          <w:szCs w:val="18"/>
          <w:b/>
          <w:bCs/>
          <w:color w:val="A8A8A8"/>
          <w:spacing w:val="-1"/>
        </w:rPr>
        <w:t>7</w:t>
      </w:r>
      <w:r>
        <w:rPr>
          <w:rFonts w:ascii="Microsoft YaHei" w:hAnsi="Microsoft YaHei" w:eastAsia="Microsoft YaHei" w:cs="Microsoft YaHei"/>
          <w:sz w:val="18"/>
          <w:szCs w:val="18"/>
          <w:b/>
          <w:bCs/>
          <w:color w:val="A8A8A8"/>
          <w:spacing w:val="6"/>
        </w:rPr>
        <w:t xml:space="preserve">      </w:t>
      </w:r>
      <w:r>
        <w:rPr>
          <w:rFonts w:ascii="Microsoft YaHei" w:hAnsi="Microsoft YaHei" w:eastAsia="Microsoft YaHei" w:cs="Microsoft YaHei"/>
          <w:sz w:val="18"/>
          <w:szCs w:val="18"/>
          <w:color w:val="A8A8A8"/>
          <w:spacing w:val="-1"/>
        </w:rPr>
        <w:t>新型储能助力能源转型</w:t>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drawing>
          <wp:anchor distT="0" distB="0" distL="0" distR="0" simplePos="0" relativeHeight="251700224" behindDoc="0" locked="0" layoutInCell="1" allowOverlap="1">
            <wp:simplePos x="0" y="0"/>
            <wp:positionH relativeFrom="column">
              <wp:posOffset>885701</wp:posOffset>
            </wp:positionH>
            <wp:positionV relativeFrom="paragraph">
              <wp:posOffset>220491</wp:posOffset>
            </wp:positionV>
            <wp:extent cx="840733" cy="836435"/>
            <wp:effectExtent l="0" t="0" r="0" b="0"/>
            <wp:wrapNone/>
            <wp:docPr id="66" name="IM 66"/>
            <wp:cNvGraphicFramePr/>
            <a:graphic>
              <a:graphicData uri="http://schemas.openxmlformats.org/drawingml/2006/picture">
                <pic:pic>
                  <pic:nvPicPr>
                    <pic:cNvPr id="66" name="IM 66"/>
                    <pic:cNvPicPr/>
                  </pic:nvPicPr>
                  <pic:blipFill>
                    <a:blip r:embed="rId26"/>
                    <a:stretch>
                      <a:fillRect/>
                    </a:stretch>
                  </pic:blipFill>
                  <pic:spPr>
                    <a:xfrm rot="0">
                      <a:off x="0" y="0"/>
                      <a:ext cx="840733" cy="836435"/>
                    </a:xfrm>
                    <a:prstGeom prst="rect">
                      <a:avLst/>
                    </a:prstGeom>
                  </pic:spPr>
                </pic:pic>
              </a:graphicData>
            </a:graphic>
          </wp:anchor>
        </w:drawing>
      </w:r>
      <w:r/>
    </w:p>
    <w:p>
      <w:pPr>
        <w:ind w:left="2833"/>
        <w:spacing w:before="206" w:line="179" w:lineRule="auto"/>
        <w:outlineLvl w:val="0"/>
        <w:rPr>
          <w:rFonts w:ascii="Microsoft YaHei" w:hAnsi="Microsoft YaHei" w:eastAsia="Microsoft YaHei" w:cs="Microsoft YaHei"/>
          <w:sz w:val="48"/>
          <w:szCs w:val="48"/>
        </w:rPr>
      </w:pPr>
      <w:r>
        <mc:AlternateContent xmlns:mc="http://schemas.openxmlformats.org/markup-compatibility/2006">
          <mc:Choice Requires="wps">
            <w:drawing>
              <wp:anchor distT="0" distB="0" distL="0" distR="0" simplePos="0" relativeHeight="251699200" behindDoc="1" locked="0" layoutInCell="1" allowOverlap="1">
                <wp:simplePos x="0" y="0"/>
                <wp:positionH relativeFrom="column">
                  <wp:posOffset>826008</wp:posOffset>
                </wp:positionH>
                <wp:positionV relativeFrom="paragraph">
                  <wp:posOffset>-43796</wp:posOffset>
                </wp:positionV>
                <wp:extent cx="5041900" cy="1311275"/>
                <wp:effectExtent l="0" t="0" r="0" b="0"/>
                <wp:wrapNone/>
                <wp:docPr id="68" name="Rect 68"/>
                <wp:cNvGraphicFramePr/>
                <a:graphic>
                  <a:graphicData uri="http://schemas.microsoft.com/office/word/2010/wordprocessingShape">
                    <wps:wsp>
                      <wps:cNvPr id="68" name="Rect 68"/>
                      <wps:cNvSpPr/>
                      <wps:spPr>
                        <a:xfrm>
                          <a:off x="826008" y="-43796"/>
                          <a:ext cx="5041900" cy="1311275"/>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64" style="position:absolute;margin-left:65.04pt;margin-top:-3.44852pt;mso-position-vertical-relative:text;mso-position-horizontal-relative:text;width:397pt;height:103.25pt;z-index:-251617280;" fillcolor="#F1F1F1" filled="true" stroked="false"/>
            </w:pict>
          </mc:Fallback>
        </mc:AlternateContent>
      </w:r>
      <w:r>
        <w:rPr>
          <w:rFonts w:ascii="Microsoft YaHei" w:hAnsi="Microsoft YaHei" w:eastAsia="Microsoft YaHei" w:cs="Microsoft YaHei"/>
          <w:sz w:val="48"/>
          <w:szCs w:val="48"/>
          <w:b/>
          <w:bCs/>
          <w:color w:val="00338D"/>
          <w:spacing w:val="-1"/>
        </w:rPr>
        <w:t>储能企业布局和融资</w:t>
      </w:r>
    </w:p>
    <w:p>
      <w:pPr>
        <w:ind w:left="2847" w:right="3336" w:firstLine="13"/>
        <w:spacing w:before="76" w:line="21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国家“双碳</w:t>
      </w:r>
      <w:r>
        <w:rPr>
          <w:rFonts w:ascii="Microsoft YaHei" w:hAnsi="Microsoft YaHei" w:eastAsia="Microsoft YaHei" w:cs="Microsoft YaHei"/>
          <w:sz w:val="21"/>
          <w:szCs w:val="21"/>
          <w:spacing w:val="-45"/>
        </w:rPr>
        <w:t xml:space="preserve"> </w:t>
      </w:r>
      <w:r>
        <w:rPr>
          <w:rFonts w:ascii="Microsoft YaHei" w:hAnsi="Microsoft YaHei" w:eastAsia="Microsoft YaHei" w:cs="Microsoft YaHei"/>
          <w:sz w:val="21"/>
          <w:szCs w:val="21"/>
          <w:spacing w:val="3"/>
        </w:rPr>
        <w:t>”战略的实施</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，大幅促进了储能技术和产业的发展</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5"/>
        </w:rPr>
        <w:t>储能实现了从商业化发展初期到规模化发展的转变</w:t>
      </w:r>
      <w:r>
        <w:rPr>
          <w:rFonts w:ascii="Microsoft YaHei" w:hAnsi="Microsoft YaHei" w:eastAsia="Microsoft YaHei" w:cs="Microsoft YaHei"/>
          <w:sz w:val="21"/>
          <w:szCs w:val="21"/>
          <w:spacing w:val="-22"/>
        </w:rPr>
        <w:t xml:space="preserve"> </w:t>
      </w:r>
      <w:r>
        <w:rPr>
          <w:rFonts w:ascii="Microsoft YaHei" w:hAnsi="Microsoft YaHei" w:eastAsia="Microsoft YaHei" w:cs="Microsoft YaHei"/>
          <w:sz w:val="21"/>
          <w:szCs w:val="21"/>
          <w:spacing w:val="5"/>
        </w:rPr>
        <w:t>，储能的发展</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5"/>
        </w:rPr>
        <w:t>进入快车道。</w:t>
      </w:r>
    </w:p>
    <w:p>
      <w:pPr>
        <w:pStyle w:val="BodyText"/>
        <w:spacing w:line="305" w:lineRule="auto"/>
        <w:rPr/>
      </w:pPr>
      <w:r/>
    </w:p>
    <w:p>
      <w:pPr>
        <w:ind w:firstLine="1324"/>
        <w:spacing w:line="552" w:lineRule="exact"/>
        <w:rPr/>
      </w:pPr>
      <w:r>
        <w:rPr>
          <w:position w:val="-11"/>
        </w:rPr>
        <w:pict>
          <v:group id="_x0000_s66" style="mso-position-vertical-relative:line;mso-position-horizontal-relative:char;width:150.95pt;height:27.6pt;" filled="false" stroked="false" coordsize="3018,552" coordorigin="0,0">
            <v:shape id="_x0000_s68" style="position:absolute;left:0;top:0;width:3018;height:552;" filled="false" stroked="false" type="#_x0000_t75">
              <v:imagedata o:title="" r:id="rId27"/>
            </v:shape>
            <v:shape id="_x0000_s70" style="position:absolute;left:-20;top:-20;width:3058;height:592;" filled="false" stroked="false" type="#_x0000_t202">
              <v:fill on="false"/>
              <v:stroke on="false"/>
              <v:path/>
              <v:imagedata o:title=""/>
              <o:lock v:ext="edit" aspectratio="false"/>
              <v:textbox inset="0mm,0mm,0mm,0mm">
                <w:txbxContent>
                  <w:p>
                    <w:pPr>
                      <w:ind w:left="188"/>
                      <w:spacing w:before="144" w:line="211"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00338D"/>
                        <w:position w:val="-3"/>
                      </w:rPr>
                      <w:drawing>
                        <wp:inline distT="0" distB="0" distL="0" distR="0">
                          <wp:extent cx="207263" cy="179831"/>
                          <wp:effectExtent l="0" t="0" r="0" b="0"/>
                          <wp:docPr id="70" name="IM 70"/>
                          <wp:cNvGraphicFramePr/>
                          <a:graphic>
                            <a:graphicData uri="http://schemas.openxmlformats.org/drawingml/2006/picture">
                              <pic:pic>
                                <pic:nvPicPr>
                                  <pic:cNvPr id="70" name="IM 70"/>
                                  <pic:cNvPicPr/>
                                </pic:nvPicPr>
                                <pic:blipFill>
                                  <a:blip r:embed="rId28"/>
                                  <a:stretch>
                                    <a:fillRect/>
                                  </a:stretch>
                                </pic:blipFill>
                                <pic:spPr>
                                  <a:xfrm rot="0">
                                    <a:off x="0" y="0"/>
                                    <a:ext cx="207263" cy="179831"/>
                                  </a:xfrm>
                                  <a:prstGeom prst="rect">
                                    <a:avLst/>
                                  </a:prstGeom>
                                </pic:spPr>
                              </pic:pic>
                            </a:graphicData>
                          </a:graphic>
                        </wp:inline>
                      </w:drawing>
                    </w:r>
                    <w:r>
                      <w:rPr>
                        <w:rFonts w:ascii="Microsoft YaHei" w:hAnsi="Microsoft YaHei" w:eastAsia="Microsoft YaHei" w:cs="Microsoft YaHei"/>
                        <w:sz w:val="24"/>
                        <w:szCs w:val="24"/>
                        <w:b/>
                        <w:bCs/>
                        <w:color w:val="00338D"/>
                        <w:spacing w:val="35"/>
                        <w:w w:val="101"/>
                      </w:rPr>
                      <w:t xml:space="preserve"> </w:t>
                    </w:r>
                    <w:r>
                      <w:rPr>
                        <w:rFonts w:ascii="Microsoft YaHei" w:hAnsi="Microsoft YaHei" w:eastAsia="Microsoft YaHei" w:cs="Microsoft YaHei"/>
                        <w:sz w:val="24"/>
                        <w:szCs w:val="24"/>
                        <w:b/>
                        <w:bCs/>
                        <w:color w:val="00338D"/>
                        <w:spacing w:val="-1"/>
                      </w:rPr>
                      <w:t>储能企业布局</w:t>
                    </w:r>
                  </w:p>
                </w:txbxContent>
              </v:textbox>
            </v:shape>
          </v:group>
        </w:pict>
      </w:r>
    </w:p>
    <w:p>
      <w:pPr>
        <w:ind w:left="1853" w:right="2837" w:hanging="262"/>
        <w:spacing w:before="293" w:line="216" w:lineRule="auto"/>
        <w:rPr>
          <w:rFonts w:ascii="Microsoft YaHei" w:hAnsi="Microsoft YaHei" w:eastAsia="Microsoft YaHei" w:cs="Microsoft YaHei"/>
          <w:sz w:val="21"/>
          <w:szCs w:val="21"/>
        </w:rPr>
      </w:pPr>
      <w:r>
        <w:rPr>
          <w:rFonts w:ascii="Courier New" w:hAnsi="Courier New" w:eastAsia="Courier New" w:cs="Courier New"/>
          <w:sz w:val="21"/>
          <w:szCs w:val="21"/>
          <w:color w:val="00B8F5"/>
          <w:spacing w:val="4"/>
        </w:rPr>
        <w:t>o</w:t>
      </w:r>
      <w:r>
        <w:rPr>
          <w:rFonts w:ascii="Courier New" w:hAnsi="Courier New" w:eastAsia="Courier New" w:cs="Courier New"/>
          <w:sz w:val="21"/>
          <w:szCs w:val="21"/>
          <w:color w:val="00B8F5"/>
          <w:spacing w:val="4"/>
        </w:rPr>
        <w:t xml:space="preserve"> </w:t>
      </w:r>
      <w:r>
        <w:rPr>
          <w:rFonts w:ascii="Microsoft YaHei" w:hAnsi="Microsoft YaHei" w:eastAsia="Microsoft YaHei" w:cs="Microsoft YaHei"/>
          <w:sz w:val="21"/>
          <w:szCs w:val="21"/>
          <w:color w:val="00B8F5"/>
          <w:spacing w:val="4"/>
        </w:rPr>
        <w:t>新成立储能企业增长迅速。</w:t>
      </w:r>
      <w:r>
        <w:rPr>
          <w:rFonts w:ascii="Microsoft YaHei" w:hAnsi="Microsoft YaHei" w:eastAsia="Microsoft YaHei" w:cs="Microsoft YaHei"/>
          <w:sz w:val="21"/>
          <w:szCs w:val="21"/>
          <w:spacing w:val="4"/>
        </w:rPr>
        <w:t>2021年之前</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4"/>
        </w:rPr>
        <w:t>，我国每年新成立的储能相</w:t>
      </w:r>
      <w:r>
        <w:rPr>
          <w:rFonts w:ascii="Microsoft YaHei" w:hAnsi="Microsoft YaHei" w:eastAsia="Microsoft YaHei" w:cs="Microsoft YaHei"/>
          <w:sz w:val="21"/>
          <w:szCs w:val="21"/>
          <w:spacing w:val="3"/>
        </w:rPr>
        <w:t>关企业大约</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三四千家。但随着储能行业的迅速升温</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，20</w:t>
      </w:r>
      <w:r>
        <w:rPr>
          <w:rFonts w:ascii="Microsoft YaHei" w:hAnsi="Microsoft YaHei" w:eastAsia="Microsoft YaHei" w:cs="Microsoft YaHei"/>
          <w:sz w:val="21"/>
          <w:szCs w:val="21"/>
          <w:spacing w:val="1"/>
        </w:rPr>
        <w:t>22年成立了38,294家储能相关企业，</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是2021年的5.8倍。地域分布看，</w:t>
      </w:r>
      <w:r>
        <w:rPr>
          <w:rFonts w:ascii="Microsoft YaHei" w:hAnsi="Microsoft YaHei" w:eastAsia="Microsoft YaHei" w:cs="Microsoft YaHei"/>
          <w:sz w:val="21"/>
          <w:szCs w:val="21"/>
          <w:spacing w:val="-36"/>
        </w:rPr>
        <w:t xml:space="preserve"> </w:t>
      </w:r>
      <w:r>
        <w:rPr>
          <w:rFonts w:ascii="Microsoft YaHei" w:hAnsi="Microsoft YaHei" w:eastAsia="Microsoft YaHei" w:cs="Microsoft YaHei"/>
          <w:sz w:val="21"/>
          <w:szCs w:val="21"/>
          <w:spacing w:val="-1"/>
        </w:rPr>
        <w:t>广东省、江苏省产业集聚效应明显。2022年，</w:t>
      </w:r>
    </w:p>
    <w:p>
      <w:pPr>
        <w:ind w:left="1853"/>
        <w:spacing w:before="11" w:line="192"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广东省和江苏省新成立的储能相关企业分别为4,044、3,225家，占比10</w:t>
      </w:r>
      <w:r>
        <w:rPr>
          <w:rFonts w:ascii="Microsoft YaHei" w:hAnsi="Microsoft YaHei" w:eastAsia="Microsoft YaHei" w:cs="Microsoft YaHei"/>
          <w:sz w:val="21"/>
          <w:szCs w:val="21"/>
          <w:spacing w:val="-2"/>
        </w:rPr>
        <w:t>%和8%</w:t>
      </w:r>
    </w:p>
    <w:p>
      <w:pPr>
        <w:ind w:left="1591"/>
        <w:spacing w:before="297" w:line="177" w:lineRule="auto"/>
        <w:rPr>
          <w:rFonts w:ascii="Microsoft YaHei" w:hAnsi="Microsoft YaHei" w:eastAsia="Microsoft YaHei" w:cs="Microsoft YaHei"/>
          <w:sz w:val="21"/>
          <w:szCs w:val="21"/>
        </w:rPr>
      </w:pPr>
      <w:r>
        <w:rPr>
          <w:rFonts w:ascii="Courier New" w:hAnsi="Courier New" w:eastAsia="Courier New" w:cs="Courier New"/>
          <w:sz w:val="21"/>
          <w:szCs w:val="21"/>
          <w:color w:val="00B8F5"/>
          <w:spacing w:val="-2"/>
        </w:rPr>
        <w:t>o</w:t>
      </w:r>
      <w:r>
        <w:rPr>
          <w:rFonts w:ascii="Courier New" w:hAnsi="Courier New" w:eastAsia="Courier New" w:cs="Courier New"/>
          <w:sz w:val="21"/>
          <w:szCs w:val="21"/>
          <w:color w:val="00B8F5"/>
          <w:spacing w:val="37"/>
        </w:rPr>
        <w:t xml:space="preserve"> </w:t>
      </w:r>
      <w:r>
        <w:rPr>
          <w:rFonts w:ascii="Microsoft YaHei" w:hAnsi="Microsoft YaHei" w:eastAsia="Microsoft YaHei" w:cs="Microsoft YaHei"/>
          <w:sz w:val="21"/>
          <w:szCs w:val="21"/>
          <w:color w:val="00B8F5"/>
          <w:spacing w:val="-2"/>
        </w:rPr>
        <w:t>中国已成为全球储能技术基础研究最活跃的国家。</w:t>
      </w:r>
      <w:r>
        <w:rPr>
          <w:rFonts w:ascii="Microsoft YaHei" w:hAnsi="Microsoft YaHei" w:eastAsia="Microsoft YaHei" w:cs="Microsoft YaHei"/>
          <w:sz w:val="21"/>
          <w:szCs w:val="21"/>
          <w:spacing w:val="-2"/>
        </w:rPr>
        <w:t>根据Web</w:t>
      </w:r>
      <w:r>
        <w:rPr>
          <w:rFonts w:ascii="Microsoft YaHei" w:hAnsi="Microsoft YaHei" w:eastAsia="Microsoft YaHei" w:cs="Microsoft YaHei"/>
          <w:sz w:val="21"/>
          <w:szCs w:val="21"/>
          <w:spacing w:val="15"/>
        </w:rPr>
        <w:t xml:space="preserve"> </w:t>
      </w:r>
      <w:r>
        <w:rPr>
          <w:rFonts w:ascii="Microsoft YaHei" w:hAnsi="Microsoft YaHei" w:eastAsia="Microsoft YaHei" w:cs="Microsoft YaHei"/>
          <w:sz w:val="21"/>
          <w:szCs w:val="21"/>
          <w:spacing w:val="-2"/>
        </w:rPr>
        <w:t>of Science</w:t>
      </w:r>
      <w:r>
        <w:rPr>
          <w:rFonts w:ascii="Microsoft YaHei" w:hAnsi="Microsoft YaHei" w:eastAsia="Microsoft YaHei" w:cs="Microsoft YaHei"/>
          <w:sz w:val="21"/>
          <w:szCs w:val="21"/>
          <w:spacing w:val="-3"/>
        </w:rPr>
        <w:t>数据库以</w:t>
      </w:r>
    </w:p>
    <w:p>
      <w:pPr>
        <w:ind w:left="1854" w:right="3003" w:firstLine="16"/>
        <w:spacing w:before="66" w:line="209"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41"/>
        </w:rPr>
        <w:t xml:space="preserve"> </w:t>
      </w:r>
      <w:r>
        <w:rPr>
          <w:rFonts w:ascii="Microsoft YaHei" w:hAnsi="Microsoft YaHei" w:eastAsia="Microsoft YaHei" w:cs="Microsoft YaHei"/>
          <w:sz w:val="21"/>
          <w:szCs w:val="21"/>
          <w:spacing w:val="-2"/>
        </w:rPr>
        <w:t>Energy</w:t>
      </w:r>
      <w:r>
        <w:rPr>
          <w:rFonts w:ascii="Microsoft YaHei" w:hAnsi="Microsoft YaHei" w:eastAsia="Microsoft YaHei" w:cs="Microsoft YaHei"/>
          <w:sz w:val="21"/>
          <w:szCs w:val="21"/>
          <w:spacing w:val="54"/>
        </w:rPr>
        <w:t xml:space="preserve"> </w:t>
      </w:r>
      <w:r>
        <w:rPr>
          <w:rFonts w:ascii="Microsoft YaHei" w:hAnsi="Microsoft YaHei" w:eastAsia="Microsoft YaHei" w:cs="Microsoft YaHei"/>
          <w:sz w:val="21"/>
          <w:szCs w:val="21"/>
          <w:spacing w:val="-2"/>
        </w:rPr>
        <w:t>Storage”为主题词统计的SCI论文数，2</w:t>
      </w:r>
      <w:r>
        <w:rPr>
          <w:rFonts w:ascii="Microsoft YaHei" w:hAnsi="Microsoft YaHei" w:eastAsia="Microsoft YaHei" w:cs="Microsoft YaHei"/>
          <w:sz w:val="21"/>
          <w:szCs w:val="21"/>
          <w:spacing w:val="-3"/>
        </w:rPr>
        <w:t>021年中国机构和学者共发表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11,949篇储能技术论文，居世界第一位，且超过了第二到第七位国家发表论文的 </w:t>
      </w:r>
      <w:r>
        <w:rPr>
          <w:rFonts w:ascii="Microsoft YaHei" w:hAnsi="Microsoft YaHei" w:eastAsia="Microsoft YaHei" w:cs="Microsoft YaHei"/>
          <w:sz w:val="21"/>
          <w:szCs w:val="21"/>
          <w:spacing w:val="-9"/>
        </w:rPr>
        <w:t>总和。</w:t>
      </w:r>
    </w:p>
    <w:p>
      <w:pPr>
        <w:ind w:left="1854" w:right="3007" w:hanging="263"/>
        <w:spacing w:before="300" w:line="218" w:lineRule="auto"/>
        <w:rPr>
          <w:rFonts w:ascii="Microsoft YaHei" w:hAnsi="Microsoft YaHei" w:eastAsia="Microsoft YaHei" w:cs="Microsoft YaHei"/>
          <w:sz w:val="21"/>
          <w:szCs w:val="21"/>
        </w:rPr>
      </w:pPr>
      <w:r>
        <w:rPr>
          <w:rFonts w:ascii="Courier New" w:hAnsi="Courier New" w:eastAsia="Courier New" w:cs="Courier New"/>
          <w:sz w:val="21"/>
          <w:szCs w:val="21"/>
          <w:color w:val="00B8F5"/>
        </w:rPr>
        <w:t>o</w:t>
      </w:r>
      <w:r>
        <w:rPr>
          <w:rFonts w:ascii="Courier New" w:hAnsi="Courier New" w:eastAsia="Courier New" w:cs="Courier New"/>
          <w:sz w:val="21"/>
          <w:szCs w:val="21"/>
          <w:color w:val="00B8F5"/>
          <w:spacing w:val="43"/>
        </w:rPr>
        <w:t xml:space="preserve"> </w:t>
      </w:r>
      <w:r>
        <w:rPr>
          <w:rFonts w:ascii="Microsoft YaHei" w:hAnsi="Microsoft YaHei" w:eastAsia="Microsoft YaHei" w:cs="Microsoft YaHei"/>
          <w:sz w:val="21"/>
          <w:szCs w:val="21"/>
          <w:color w:val="00B8F5"/>
        </w:rPr>
        <w:t>电力央企是抽水蓄能建设的主体，同时向电化学储能电站延伸；民营企业聚焦电 </w:t>
      </w:r>
      <w:r>
        <w:rPr>
          <w:rFonts w:ascii="Microsoft YaHei" w:hAnsi="Microsoft YaHei" w:eastAsia="Microsoft YaHei" w:cs="Microsoft YaHei"/>
          <w:sz w:val="21"/>
          <w:szCs w:val="21"/>
          <w:color w:val="00B8F5"/>
          <w:spacing w:val="1"/>
        </w:rPr>
        <w:t>化学储能赛道，电池业务布局最多。</w:t>
      </w:r>
      <w:r>
        <w:rPr>
          <w:rFonts w:ascii="Microsoft YaHei" w:hAnsi="Microsoft YaHei" w:eastAsia="Microsoft YaHei" w:cs="Microsoft YaHei"/>
          <w:sz w:val="21"/>
          <w:szCs w:val="21"/>
          <w:spacing w:val="1"/>
        </w:rPr>
        <w:t>抽水蓄能仍然占据我国储能的主导</w:t>
      </w:r>
      <w:r>
        <w:rPr>
          <w:rFonts w:ascii="Microsoft YaHei" w:hAnsi="Microsoft YaHei" w:eastAsia="Microsoft YaHei" w:cs="Microsoft YaHei"/>
          <w:sz w:val="21"/>
          <w:szCs w:val="21"/>
        </w:rPr>
        <w:t>地位，投 </w:t>
      </w:r>
      <w:r>
        <w:rPr>
          <w:rFonts w:ascii="Microsoft YaHei" w:hAnsi="Microsoft YaHei" w:eastAsia="Microsoft YaHei" w:cs="Microsoft YaHei"/>
          <w:sz w:val="21"/>
          <w:szCs w:val="21"/>
        </w:rPr>
        <w:t>资主体主要是国家电网和南方电网，两者占据90%以</w:t>
      </w:r>
      <w:r>
        <w:rPr>
          <w:rFonts w:ascii="Microsoft YaHei" w:hAnsi="Microsoft YaHei" w:eastAsia="Microsoft YaHei" w:cs="Microsoft YaHei"/>
          <w:sz w:val="21"/>
          <w:szCs w:val="21"/>
          <w:spacing w:val="-1"/>
        </w:rPr>
        <w:t>上的市场。五大发电集团、</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六小发电集团、两大电网和中石油、中化等央企全部布局储能行业</w:t>
      </w:r>
      <w:r>
        <w:rPr>
          <w:rFonts w:ascii="Microsoft YaHei" w:hAnsi="Microsoft YaHei" w:eastAsia="Microsoft YaHei" w:cs="Microsoft YaHei"/>
          <w:sz w:val="21"/>
          <w:szCs w:val="21"/>
          <w:spacing w:val="-1"/>
        </w:rPr>
        <w:t>。截至目前，</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共有78家上市民营企业布局电化学储能行业。电池是上市民营企业</w:t>
      </w:r>
      <w:r>
        <w:rPr>
          <w:rFonts w:ascii="Microsoft YaHei" w:hAnsi="Microsoft YaHei" w:eastAsia="Microsoft YaHei" w:cs="Microsoft YaHei"/>
          <w:sz w:val="21"/>
          <w:szCs w:val="21"/>
          <w:spacing w:val="-1"/>
        </w:rPr>
        <w:t>布局最多的赛</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道，达到45家，锂电材料和储能系统分别为19和13家。</w:t>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1805" w:right="1241" w:hanging="411"/>
        <w:spacing w:before="48" w:line="172" w:lineRule="auto"/>
        <w:rPr>
          <w:rFonts w:ascii="Microsoft YaHei" w:hAnsi="Microsoft YaHei" w:eastAsia="Microsoft YaHei" w:cs="Microsoft YaHei"/>
          <w:sz w:val="11"/>
          <w:szCs w:val="11"/>
        </w:rPr>
      </w:pPr>
      <w:r>
        <w:drawing>
          <wp:anchor distT="0" distB="0" distL="0" distR="0" simplePos="0" relativeHeight="251701248" behindDoc="0" locked="0" layoutInCell="1" allowOverlap="1">
            <wp:simplePos x="0" y="0"/>
            <wp:positionH relativeFrom="column">
              <wp:posOffset>3786809</wp:posOffset>
            </wp:positionH>
            <wp:positionV relativeFrom="paragraph">
              <wp:posOffset>-1334543</wp:posOffset>
            </wp:positionV>
            <wp:extent cx="2583117" cy="1674705"/>
            <wp:effectExtent l="0" t="0" r="0" b="0"/>
            <wp:wrapNone/>
            <wp:docPr id="72" name="IM 72"/>
            <wp:cNvGraphicFramePr/>
            <a:graphic>
              <a:graphicData uri="http://schemas.openxmlformats.org/drawingml/2006/picture">
                <pic:pic>
                  <pic:nvPicPr>
                    <pic:cNvPr id="72" name="IM 72"/>
                    <pic:cNvPicPr/>
                  </pic:nvPicPr>
                  <pic:blipFill>
                    <a:blip r:embed="rId29"/>
                    <a:stretch>
                      <a:fillRect/>
                    </a:stretch>
                  </pic:blipFill>
                  <pic:spPr>
                    <a:xfrm rot="0">
                      <a:off x="0" y="0"/>
                      <a:ext cx="2583117" cy="1674705"/>
                    </a:xfrm>
                    <a:prstGeom prst="rect">
                      <a:avLst/>
                    </a:prstGeom>
                  </pic:spPr>
                </pic:pic>
              </a:graphicData>
            </a:graphic>
          </wp:anchor>
        </w:drawing>
      </w:r>
      <w:r>
        <w:rPr>
          <w:rFonts w:ascii="Microsoft YaHei" w:hAnsi="Microsoft YaHei" w:eastAsia="Microsoft YaHei" w:cs="Microsoft YaHei"/>
          <w:sz w:val="11"/>
          <w:szCs w:val="11"/>
          <w:color w:val="F1F1F1"/>
          <w:spacing w:val="-1"/>
        </w:rPr>
        <w:t>© 2023</w:t>
      </w:r>
      <w:r>
        <w:rPr>
          <w:rFonts w:ascii="Microsoft YaHei" w:hAnsi="Microsoft YaHei" w:eastAsia="Microsoft YaHei" w:cs="Microsoft YaHei"/>
          <w:sz w:val="11"/>
          <w:szCs w:val="11"/>
          <w:color w:val="F1F1F1"/>
          <w:spacing w:val="-6"/>
        </w:rPr>
        <w:t xml:space="preserve"> </w:t>
      </w:r>
      <w:r>
        <w:rPr>
          <w:rFonts w:ascii="Microsoft YaHei" w:hAnsi="Microsoft YaHei" w:eastAsia="Microsoft YaHei" w:cs="Microsoft YaHei"/>
          <w:sz w:val="11"/>
          <w:szCs w:val="11"/>
          <w:color w:val="F1F1F1"/>
          <w:spacing w:val="-1"/>
        </w:rPr>
        <w:t>毕马威华振会计师事务所(特殊普通合伙)</w:t>
      </w:r>
      <w:r>
        <w:rPr>
          <w:rFonts w:ascii="Microsoft YaHei" w:hAnsi="Microsoft YaHei" w:eastAsia="Microsoft YaHei" w:cs="Microsoft YaHei"/>
          <w:sz w:val="11"/>
          <w:szCs w:val="11"/>
          <w:color w:val="F1F1F1"/>
          <w:spacing w:val="-12"/>
        </w:rPr>
        <w:t xml:space="preserve"> </w:t>
      </w:r>
      <w:r>
        <w:rPr>
          <w:rFonts w:ascii="Microsoft YaHei" w:hAnsi="Microsoft YaHei" w:eastAsia="Microsoft YaHei" w:cs="Microsoft YaHei"/>
          <w:sz w:val="11"/>
          <w:szCs w:val="11"/>
          <w:color w:val="F1F1F1"/>
          <w:spacing w:val="-1"/>
        </w:rPr>
        <w:t>— 中国合伙制会计师事务所，毕马威企业咨询</w:t>
      </w:r>
      <w:r>
        <w:rPr>
          <w:rFonts w:ascii="Microsoft YaHei" w:hAnsi="Microsoft YaHei" w:eastAsia="Microsoft YaHei" w:cs="Microsoft YaHei"/>
          <w:sz w:val="11"/>
          <w:szCs w:val="11"/>
          <w:color w:val="F1F1F1"/>
          <w:spacing w:val="-8"/>
        </w:rPr>
        <w:t xml:space="preserve"> </w:t>
      </w:r>
      <w:r>
        <w:rPr>
          <w:rFonts w:ascii="Microsoft YaHei" w:hAnsi="Microsoft YaHei" w:eastAsia="Microsoft YaHei" w:cs="Microsoft YaHei"/>
          <w:sz w:val="11"/>
          <w:szCs w:val="11"/>
          <w:color w:val="F1F1F1"/>
          <w:spacing w:val="-1"/>
        </w:rPr>
        <w:t>(中国)有限公司 — 中国有限责任公司，毕马威会计师事务所</w:t>
      </w:r>
      <w:r>
        <w:rPr>
          <w:rFonts w:ascii="Microsoft YaHei" w:hAnsi="Microsoft YaHei" w:eastAsia="Microsoft YaHei" w:cs="Microsoft YaHei"/>
          <w:sz w:val="11"/>
          <w:szCs w:val="11"/>
          <w:color w:val="F1F1F1"/>
          <w:spacing w:val="-8"/>
        </w:rPr>
        <w:t xml:space="preserve"> </w:t>
      </w:r>
      <w:r>
        <w:rPr>
          <w:rFonts w:ascii="Microsoft YaHei" w:hAnsi="Microsoft YaHei" w:eastAsia="Microsoft YaHei" w:cs="Microsoft YaHei"/>
          <w:sz w:val="11"/>
          <w:szCs w:val="11"/>
          <w:color w:val="F1F1F1"/>
          <w:spacing w:val="-1"/>
        </w:rPr>
        <w:t>— 澳门特别行政区合伙制事务所，</w:t>
      </w:r>
      <w:r>
        <w:rPr>
          <w:rFonts w:ascii="Microsoft YaHei" w:hAnsi="Microsoft YaHei" w:eastAsia="Microsoft YaHei" w:cs="Microsoft YaHei"/>
          <w:sz w:val="11"/>
          <w:szCs w:val="11"/>
          <w:color w:val="F1F1F1"/>
          <w:spacing w:val="-2"/>
        </w:rPr>
        <w:t>及毕马威</w:t>
      </w:r>
      <w:r>
        <w:rPr>
          <w:rFonts w:ascii="Microsoft YaHei" w:hAnsi="Microsoft YaHei" w:eastAsia="Microsoft YaHei" w:cs="Microsoft YaHei"/>
          <w:sz w:val="11"/>
          <w:szCs w:val="11"/>
          <w:color w:val="F1F1F1"/>
        </w:rPr>
        <w:t xml:space="preserve"> </w:t>
      </w:r>
      <w:r>
        <w:rPr>
          <w:rFonts w:ascii="Microsoft YaHei" w:hAnsi="Microsoft YaHei" w:eastAsia="Microsoft YaHei" w:cs="Microsoft YaHei"/>
          <w:sz w:val="11"/>
          <w:szCs w:val="11"/>
          <w:color w:val="F1F1F1"/>
        </w:rPr>
        <w:t>会计师事务所 —</w:t>
      </w:r>
      <w:r>
        <w:rPr>
          <w:rFonts w:ascii="Microsoft YaHei" w:hAnsi="Microsoft YaHei" w:eastAsia="Microsoft YaHei" w:cs="Microsoft YaHei"/>
          <w:sz w:val="11"/>
          <w:szCs w:val="11"/>
          <w:color w:val="F1F1F1"/>
          <w:spacing w:val="-6"/>
        </w:rPr>
        <w:t xml:space="preserve"> </w:t>
      </w:r>
      <w:r>
        <w:rPr>
          <w:rFonts w:ascii="Microsoft YaHei" w:hAnsi="Microsoft YaHei" w:eastAsia="Microsoft YaHei" w:cs="Microsoft YaHei"/>
          <w:sz w:val="11"/>
          <w:szCs w:val="11"/>
          <w:color w:val="F1F1F1"/>
        </w:rPr>
        <w:t>香港特别行政区合伙制事务所，</w:t>
      </w:r>
      <w:r>
        <w:rPr>
          <w:rFonts w:ascii="Microsoft YaHei" w:hAnsi="Microsoft YaHei" w:eastAsia="Microsoft YaHei" w:cs="Microsoft YaHei"/>
          <w:sz w:val="11"/>
          <w:szCs w:val="11"/>
          <w:color w:val="F1F1F1"/>
          <w:spacing w:val="-1"/>
        </w:rPr>
        <w:t>均是与英国私营担保有限公司</w:t>
      </w:r>
      <w:r>
        <w:rPr>
          <w:rFonts w:ascii="Microsoft YaHei" w:hAnsi="Microsoft YaHei" w:eastAsia="Microsoft YaHei" w:cs="Microsoft YaHei"/>
          <w:sz w:val="11"/>
          <w:szCs w:val="11"/>
          <w:color w:val="F1F1F1"/>
          <w:spacing w:val="-13"/>
        </w:rPr>
        <w:t xml:space="preserve"> </w:t>
      </w:r>
      <w:r>
        <w:rPr>
          <w:rFonts w:ascii="Microsoft YaHei" w:hAnsi="Microsoft YaHei" w:eastAsia="Microsoft YaHei" w:cs="Microsoft YaHei"/>
          <w:sz w:val="11"/>
          <w:szCs w:val="11"/>
          <w:color w:val="F1F1F1"/>
          <w:spacing w:val="-1"/>
        </w:rPr>
        <w:t>— 毕马威国际有限公司相关联的独立成员所全球性组织中的成员。版权所有，不得转载。在中国印刷。</w:t>
      </w:r>
    </w:p>
    <w:p>
      <w:pPr>
        <w:spacing w:line="172" w:lineRule="auto"/>
        <w:sectPr>
          <w:pgSz w:w="12245" w:h="17180"/>
          <w:pgMar w:top="400" w:right="0" w:bottom="0" w:left="0" w:header="0" w:footer="0" w:gutter="0"/>
        </w:sectPr>
        <w:rPr>
          <w:rFonts w:ascii="Microsoft YaHei" w:hAnsi="Microsoft YaHei" w:eastAsia="Microsoft YaHei" w:cs="Microsoft YaHei"/>
          <w:sz w:val="11"/>
          <w:szCs w:val="11"/>
        </w:rPr>
      </w:pPr>
    </w:p>
    <w:p>
      <w:pPr>
        <w:pStyle w:val="BodyText"/>
        <w:spacing w:line="243" w:lineRule="auto"/>
        <w:rPr/>
      </w:pPr>
      <w:r>
        <mc:AlternateContent xmlns:mc="http://schemas.openxmlformats.org/markup-compatibility/2006">
          <mc:Choice Requires="wps">
            <w:drawing>
              <wp:anchor distT="0" distB="0" distL="0" distR="0" simplePos="0" relativeHeight="251703296" behindDoc="1" locked="0" layoutInCell="0" allowOverlap="1">
                <wp:simplePos x="0" y="0"/>
                <wp:positionH relativeFrom="page">
                  <wp:posOffset>7772272</wp:posOffset>
                </wp:positionH>
                <wp:positionV relativeFrom="page">
                  <wp:posOffset>0</wp:posOffset>
                </wp:positionV>
                <wp:extent cx="3175" cy="10909300"/>
                <wp:effectExtent l="0" t="0" r="0" b="0"/>
                <wp:wrapNone/>
                <wp:docPr id="74" name="Rect 74"/>
                <wp:cNvGraphicFramePr/>
                <a:graphic>
                  <a:graphicData uri="http://schemas.microsoft.com/office/word/2010/wordprocessingShape">
                    <wps:wsp>
                      <wps:cNvPr id="74" name="Rect 74"/>
                      <wps:cNvSpPr/>
                      <wps:spPr>
                        <a:xfrm>
                          <a:off x="7772272" y="0"/>
                          <a:ext cx="3175" cy="109093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72" style="position:absolute;margin-left:611.99pt;margin-top:0pt;mso-position-vertical-relative:page;mso-position-horizontal-relative:page;width:0.25pt;height:859pt;z-index:-251613184;" o:allowincell="f" fillcolor="#000000" filled="true" stroked="false"/>
            </w:pict>
          </mc:Fallback>
        </mc:AlternateContent>
      </w:r>
      <w:r/>
    </w:p>
    <w:p>
      <w:pPr>
        <w:ind w:left="8975"/>
        <w:spacing w:before="77" w:line="178" w:lineRule="auto"/>
        <w:rPr>
          <w:rFonts w:ascii="Microsoft YaHei" w:hAnsi="Microsoft YaHei" w:eastAsia="Microsoft YaHei" w:cs="Microsoft YaHei"/>
          <w:sz w:val="18"/>
          <w:szCs w:val="18"/>
        </w:rPr>
      </w:pPr>
      <w:r>
        <w:drawing>
          <wp:anchor distT="0" distB="0" distL="0" distR="0" simplePos="0" relativeHeight="251704320" behindDoc="1" locked="0" layoutInCell="1" allowOverlap="1">
            <wp:simplePos x="0" y="0"/>
            <wp:positionH relativeFrom="column">
              <wp:posOffset>0</wp:posOffset>
            </wp:positionH>
            <wp:positionV relativeFrom="paragraph">
              <wp:posOffset>-409446</wp:posOffset>
            </wp:positionV>
            <wp:extent cx="7775447" cy="10908789"/>
            <wp:effectExtent l="0" t="0" r="0" b="0"/>
            <wp:wrapNone/>
            <wp:docPr id="76" name="IM 76"/>
            <wp:cNvGraphicFramePr/>
            <a:graphic>
              <a:graphicData uri="http://schemas.openxmlformats.org/drawingml/2006/picture">
                <pic:pic>
                  <pic:nvPicPr>
                    <pic:cNvPr id="76" name="IM 76"/>
                    <pic:cNvPicPr/>
                  </pic:nvPicPr>
                  <pic:blipFill>
                    <a:blip r:embed="rId30"/>
                    <a:stretch>
                      <a:fillRect/>
                    </a:stretch>
                  </pic:blipFill>
                  <pic:spPr>
                    <a:xfrm rot="0">
                      <a:off x="0" y="0"/>
                      <a:ext cx="7775447" cy="10908789"/>
                    </a:xfrm>
                    <a:prstGeom prst="rect">
                      <a:avLst/>
                    </a:prstGeom>
                  </pic:spPr>
                </pic:pic>
              </a:graphicData>
            </a:graphic>
          </wp:anchor>
        </w:drawing>
      </w:r>
      <w:r>
        <w:rPr>
          <w:rFonts w:ascii="Microsoft YaHei" w:hAnsi="Microsoft YaHei" w:eastAsia="Microsoft YaHei" w:cs="Microsoft YaHei"/>
          <w:sz w:val="18"/>
          <w:szCs w:val="18"/>
          <w:color w:val="A8A8A8"/>
        </w:rPr>
        <w:t>新型储能助力能源转型</w:t>
      </w:r>
      <w:r>
        <w:rPr>
          <w:rFonts w:ascii="Microsoft YaHei" w:hAnsi="Microsoft YaHei" w:eastAsia="Microsoft YaHei" w:cs="Microsoft YaHei"/>
          <w:sz w:val="18"/>
          <w:szCs w:val="18"/>
          <w:color w:val="A8A8A8"/>
          <w:spacing w:val="6"/>
        </w:rPr>
        <w:t xml:space="preserve">      </w:t>
      </w:r>
      <w:r>
        <w:rPr>
          <w:rFonts w:ascii="Microsoft YaHei" w:hAnsi="Microsoft YaHei" w:eastAsia="Microsoft YaHei" w:cs="Microsoft YaHei"/>
          <w:sz w:val="18"/>
          <w:szCs w:val="18"/>
          <w:b/>
          <w:bCs/>
          <w:color w:val="A8A8A8"/>
        </w:rPr>
        <w:t>8</w:t>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1" w:lineRule="auto"/>
        <w:rPr/>
      </w:pPr>
      <w:r/>
    </w:p>
    <w:p>
      <w:pPr>
        <w:pStyle w:val="BodyText"/>
        <w:spacing w:line="251" w:lineRule="auto"/>
        <w:rPr/>
      </w:pPr>
      <w:r/>
    </w:p>
    <w:p>
      <w:pPr>
        <w:pStyle w:val="BodyText"/>
        <w:spacing w:line="251" w:lineRule="auto"/>
        <w:rPr/>
      </w:pPr>
      <w:r/>
    </w:p>
    <w:p>
      <w:pPr>
        <w:ind w:left="1492"/>
        <w:spacing w:before="103" w:line="210" w:lineRule="auto"/>
        <w:outlineLvl w:val="0"/>
        <w:rPr>
          <w:rFonts w:ascii="Microsoft YaHei" w:hAnsi="Microsoft YaHei" w:eastAsia="Microsoft YaHei" w:cs="Microsoft YaHei"/>
          <w:sz w:val="24"/>
          <w:szCs w:val="24"/>
        </w:rPr>
      </w:pPr>
      <w:r>
        <w:drawing>
          <wp:anchor distT="0" distB="0" distL="0" distR="0" simplePos="0" relativeHeight="251705344" behindDoc="1" locked="0" layoutInCell="1" allowOverlap="1">
            <wp:simplePos x="0" y="0"/>
            <wp:positionH relativeFrom="column">
              <wp:posOffset>841247</wp:posOffset>
            </wp:positionH>
            <wp:positionV relativeFrom="paragraph">
              <wp:posOffset>-1352</wp:posOffset>
            </wp:positionV>
            <wp:extent cx="1916537" cy="326345"/>
            <wp:effectExtent l="0" t="0" r="0" b="0"/>
            <wp:wrapNone/>
            <wp:docPr id="78" name="IM 78"/>
            <wp:cNvGraphicFramePr/>
            <a:graphic>
              <a:graphicData uri="http://schemas.openxmlformats.org/drawingml/2006/picture">
                <pic:pic>
                  <pic:nvPicPr>
                    <pic:cNvPr id="78" name="IM 78"/>
                    <pic:cNvPicPr/>
                  </pic:nvPicPr>
                  <pic:blipFill>
                    <a:blip r:embed="rId31"/>
                    <a:stretch>
                      <a:fillRect/>
                    </a:stretch>
                  </pic:blipFill>
                  <pic:spPr>
                    <a:xfrm rot="0">
                      <a:off x="0" y="0"/>
                      <a:ext cx="1916537" cy="326345"/>
                    </a:xfrm>
                    <a:prstGeom prst="rect">
                      <a:avLst/>
                    </a:prstGeom>
                  </pic:spPr>
                </pic:pic>
              </a:graphicData>
            </a:graphic>
          </wp:anchor>
        </w:drawing>
      </w:r>
      <w:r>
        <w:rPr>
          <w:rFonts w:ascii="Microsoft YaHei" w:hAnsi="Microsoft YaHei" w:eastAsia="Microsoft YaHei" w:cs="Microsoft YaHei"/>
          <w:sz w:val="24"/>
          <w:szCs w:val="24"/>
          <w:color w:val="00338D"/>
          <w:position w:val="-3"/>
        </w:rPr>
        <w:drawing>
          <wp:inline distT="0" distB="0" distL="0" distR="0">
            <wp:extent cx="207263" cy="179831"/>
            <wp:effectExtent l="0" t="0" r="0" b="0"/>
            <wp:docPr id="80" name="IM 80"/>
            <wp:cNvGraphicFramePr/>
            <a:graphic>
              <a:graphicData uri="http://schemas.openxmlformats.org/drawingml/2006/picture">
                <pic:pic>
                  <pic:nvPicPr>
                    <pic:cNvPr id="80" name="IM 80"/>
                    <pic:cNvPicPr/>
                  </pic:nvPicPr>
                  <pic:blipFill>
                    <a:blip r:embed="rId32"/>
                    <a:stretch>
                      <a:fillRect/>
                    </a:stretch>
                  </pic:blipFill>
                  <pic:spPr>
                    <a:xfrm rot="0">
                      <a:off x="0" y="0"/>
                      <a:ext cx="207263" cy="179831"/>
                    </a:xfrm>
                    <a:prstGeom prst="rect">
                      <a:avLst/>
                    </a:prstGeom>
                  </pic:spPr>
                </pic:pic>
              </a:graphicData>
            </a:graphic>
          </wp:inline>
        </w:drawing>
      </w:r>
      <w:r>
        <w:rPr>
          <w:rFonts w:ascii="Microsoft YaHei" w:hAnsi="Microsoft YaHei" w:eastAsia="Microsoft YaHei" w:cs="Microsoft YaHei"/>
          <w:sz w:val="24"/>
          <w:szCs w:val="24"/>
          <w:b/>
          <w:bCs/>
          <w:color w:val="00338D"/>
          <w:spacing w:val="35"/>
          <w:w w:val="101"/>
        </w:rPr>
        <w:t xml:space="preserve"> </w:t>
      </w:r>
      <w:r>
        <w:rPr>
          <w:rFonts w:ascii="Microsoft YaHei" w:hAnsi="Microsoft YaHei" w:eastAsia="Microsoft YaHei" w:cs="Microsoft YaHei"/>
          <w:sz w:val="24"/>
          <w:szCs w:val="24"/>
          <w:b/>
          <w:bCs/>
          <w:color w:val="00338D"/>
          <w:spacing w:val="-1"/>
        </w:rPr>
        <w:t>储能行业融资</w:t>
      </w:r>
    </w:p>
    <w:p>
      <w:pPr>
        <w:pStyle w:val="BodyText"/>
        <w:spacing w:line="271" w:lineRule="auto"/>
        <w:rPr/>
      </w:pPr>
      <w:r/>
    </w:p>
    <w:p>
      <w:pPr>
        <w:ind w:left="1854" w:right="3007" w:hanging="263"/>
        <w:spacing w:before="90" w:line="207" w:lineRule="auto"/>
        <w:rPr>
          <w:rFonts w:ascii="Microsoft YaHei" w:hAnsi="Microsoft YaHei" w:eastAsia="Microsoft YaHei" w:cs="Microsoft YaHei"/>
          <w:sz w:val="21"/>
          <w:szCs w:val="21"/>
        </w:rPr>
      </w:pPr>
      <w:r>
        <w:rPr>
          <w:rFonts w:ascii="Courier New" w:hAnsi="Courier New" w:eastAsia="Courier New" w:cs="Courier New"/>
          <w:sz w:val="21"/>
          <w:szCs w:val="21"/>
          <w:color w:val="00B8F5"/>
        </w:rPr>
        <w:t>o</w:t>
      </w:r>
      <w:r>
        <w:rPr>
          <w:rFonts w:ascii="Courier New" w:hAnsi="Courier New" w:eastAsia="Courier New" w:cs="Courier New"/>
          <w:sz w:val="21"/>
          <w:szCs w:val="21"/>
          <w:color w:val="00B8F5"/>
        </w:rPr>
        <w:t xml:space="preserve"> </w:t>
      </w:r>
      <w:r>
        <w:rPr>
          <w:rFonts w:ascii="Microsoft YaHei" w:hAnsi="Microsoft YaHei" w:eastAsia="Microsoft YaHei" w:cs="Microsoft YaHei"/>
          <w:sz w:val="21"/>
          <w:szCs w:val="21"/>
          <w:color w:val="00B8F5"/>
        </w:rPr>
        <w:t>全球储能融资交易持续增加。</w:t>
      </w:r>
      <w:r>
        <w:rPr>
          <w:rFonts w:ascii="Microsoft YaHei" w:hAnsi="Microsoft YaHei" w:eastAsia="Microsoft YaHei" w:cs="Microsoft YaHei"/>
          <w:sz w:val="21"/>
          <w:szCs w:val="21"/>
        </w:rPr>
        <w:t>根据Pitchbook数据库，2021年全球储能融资金额</w:t>
      </w:r>
      <w:r>
        <w:rPr>
          <w:rFonts w:ascii="Microsoft YaHei" w:hAnsi="Microsoft YaHei" w:eastAsia="Microsoft YaHei" w:cs="Microsoft YaHei"/>
          <w:sz w:val="21"/>
          <w:szCs w:val="21"/>
          <w:spacing w:val="7"/>
        </w:rPr>
        <w:t xml:space="preserve"> </w:t>
      </w:r>
      <w:r>
        <w:rPr>
          <w:rFonts w:ascii="Microsoft YaHei" w:hAnsi="Microsoft YaHei" w:eastAsia="Microsoft YaHei" w:cs="Microsoft YaHei"/>
          <w:sz w:val="21"/>
          <w:szCs w:val="21"/>
        </w:rPr>
        <w:t>同比增长30%</w:t>
      </w:r>
      <w:r>
        <w:rPr>
          <w:rFonts w:ascii="Microsoft YaHei" w:hAnsi="Microsoft YaHei" w:eastAsia="Microsoft YaHei" w:cs="Microsoft YaHei"/>
          <w:sz w:val="21"/>
          <w:szCs w:val="21"/>
          <w:spacing w:val="-10"/>
        </w:rPr>
        <w:t xml:space="preserve"> </w:t>
      </w:r>
      <w:r>
        <w:rPr>
          <w:rFonts w:ascii="Microsoft YaHei" w:hAnsi="Microsoft YaHei" w:eastAsia="Microsoft YaHei" w:cs="Microsoft YaHei"/>
          <w:sz w:val="21"/>
          <w:szCs w:val="21"/>
        </w:rPr>
        <w:t>，2022年延续之前的高增长</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rPr>
        <w:t>，全年全球储能融资63亿美元</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rPr>
        <w:t>，同比 </w:t>
      </w:r>
      <w:r>
        <w:rPr>
          <w:rFonts w:ascii="Microsoft YaHei" w:hAnsi="Microsoft YaHei" w:eastAsia="Microsoft YaHei" w:cs="Microsoft YaHei"/>
          <w:sz w:val="21"/>
          <w:szCs w:val="21"/>
          <w:spacing w:val="1"/>
        </w:rPr>
        <w:t>增加94%。</w:t>
      </w:r>
      <w:r>
        <w:rPr>
          <w:rFonts w:ascii="Microsoft YaHei" w:hAnsi="Microsoft YaHei" w:eastAsia="Microsoft YaHei" w:cs="Microsoft YaHei"/>
          <w:sz w:val="21"/>
          <w:szCs w:val="21"/>
          <w:spacing w:val="-10"/>
        </w:rPr>
        <w:t xml:space="preserve"> </w:t>
      </w:r>
      <w:r>
        <w:rPr>
          <w:rFonts w:ascii="Microsoft YaHei" w:hAnsi="Microsoft YaHei" w:eastAsia="Microsoft YaHei" w:cs="Microsoft YaHei"/>
          <w:sz w:val="21"/>
          <w:szCs w:val="21"/>
          <w:spacing w:val="1"/>
        </w:rPr>
        <w:t>中国、美国和欧洲是全球储能融资交易的主体</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，2020年以来</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，三个</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国家（地区）储能融资交易占全球90%左右。</w:t>
      </w:r>
    </w:p>
    <w:p>
      <w:pPr>
        <w:ind w:left="1591"/>
        <w:spacing w:before="325" w:line="179" w:lineRule="auto"/>
        <w:rPr>
          <w:rFonts w:ascii="Microsoft YaHei" w:hAnsi="Microsoft YaHei" w:eastAsia="Microsoft YaHei" w:cs="Microsoft YaHei"/>
          <w:sz w:val="21"/>
          <w:szCs w:val="21"/>
        </w:rPr>
      </w:pPr>
      <w:r>
        <w:rPr>
          <w:rFonts w:ascii="Courier New" w:hAnsi="Courier New" w:eastAsia="Courier New" w:cs="Courier New"/>
          <w:sz w:val="21"/>
          <w:szCs w:val="21"/>
          <w:color w:val="00B8F5"/>
          <w:spacing w:val="12"/>
        </w:rPr>
        <w:t>o</w:t>
      </w:r>
      <w:r>
        <w:rPr>
          <w:rFonts w:ascii="Courier New" w:hAnsi="Courier New" w:eastAsia="Courier New" w:cs="Courier New"/>
          <w:sz w:val="21"/>
          <w:szCs w:val="21"/>
          <w:color w:val="00B8F5"/>
          <w:spacing w:val="12"/>
        </w:rPr>
        <w:t xml:space="preserve"> </w:t>
      </w:r>
      <w:r>
        <w:rPr>
          <w:rFonts w:ascii="Microsoft YaHei" w:hAnsi="Microsoft YaHei" w:eastAsia="Microsoft YaHei" w:cs="Microsoft YaHei"/>
          <w:sz w:val="21"/>
          <w:szCs w:val="21"/>
          <w:color w:val="00B8F5"/>
          <w:spacing w:val="12"/>
        </w:rPr>
        <w:t>中国储能行业融资规模增加迅速</w:t>
      </w:r>
      <w:r>
        <w:rPr>
          <w:rFonts w:ascii="Microsoft YaHei" w:hAnsi="Microsoft YaHei" w:eastAsia="Microsoft YaHei" w:cs="Microsoft YaHei"/>
          <w:sz w:val="21"/>
          <w:szCs w:val="21"/>
          <w:color w:val="00B8F5"/>
          <w:spacing w:val="-19"/>
        </w:rPr>
        <w:t xml:space="preserve"> </w:t>
      </w:r>
      <w:r>
        <w:rPr>
          <w:rFonts w:ascii="Microsoft YaHei" w:hAnsi="Microsoft YaHei" w:eastAsia="Microsoft YaHei" w:cs="Microsoft YaHei"/>
          <w:sz w:val="21"/>
          <w:szCs w:val="21"/>
          <w:color w:val="00B8F5"/>
          <w:spacing w:val="12"/>
        </w:rPr>
        <w:t>，且区域分布较</w:t>
      </w:r>
      <w:r>
        <w:rPr>
          <w:rFonts w:ascii="Microsoft YaHei" w:hAnsi="Microsoft YaHei" w:eastAsia="Microsoft YaHei" w:cs="Microsoft YaHei"/>
          <w:sz w:val="21"/>
          <w:szCs w:val="21"/>
          <w:color w:val="00B8F5"/>
          <w:spacing w:val="11"/>
        </w:rPr>
        <w:t>为集中。</w:t>
      </w:r>
      <w:r>
        <w:rPr>
          <w:rFonts w:ascii="Microsoft YaHei" w:hAnsi="Microsoft YaHei" w:eastAsia="Microsoft YaHei" w:cs="Microsoft YaHei"/>
          <w:sz w:val="21"/>
          <w:szCs w:val="21"/>
          <w:spacing w:val="11"/>
        </w:rPr>
        <w:t>根据投中数据库，</w:t>
      </w:r>
    </w:p>
    <w:p>
      <w:pPr>
        <w:ind w:left="1853" w:right="3002"/>
        <w:spacing w:before="65" w:line="21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2020年下半年以来</w:t>
      </w:r>
      <w:r>
        <w:rPr>
          <w:rFonts w:ascii="Microsoft YaHei" w:hAnsi="Microsoft YaHei" w:eastAsia="Microsoft YaHei" w:cs="Microsoft YaHei"/>
          <w:sz w:val="21"/>
          <w:szCs w:val="21"/>
          <w:spacing w:val="-22"/>
        </w:rPr>
        <w:t xml:space="preserve"> </w:t>
      </w:r>
      <w:r>
        <w:rPr>
          <w:rFonts w:ascii="Microsoft YaHei" w:hAnsi="Microsoft YaHei" w:eastAsia="Microsoft YaHei" w:cs="Microsoft YaHei"/>
          <w:sz w:val="21"/>
          <w:szCs w:val="21"/>
          <w:spacing w:val="2"/>
        </w:rPr>
        <w:t>，储能行业融资数量和规模大幅增加</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，成为继光伏、</w:t>
      </w:r>
      <w:r>
        <w:rPr>
          <w:rFonts w:ascii="Microsoft YaHei" w:hAnsi="Microsoft YaHei" w:eastAsia="Microsoft YaHei" w:cs="Microsoft YaHei"/>
          <w:sz w:val="21"/>
          <w:szCs w:val="21"/>
          <w:spacing w:val="-38"/>
        </w:rPr>
        <w:t xml:space="preserve"> </w:t>
      </w:r>
      <w:r>
        <w:rPr>
          <w:rFonts w:ascii="Microsoft YaHei" w:hAnsi="Microsoft YaHei" w:eastAsia="Microsoft YaHei" w:cs="Microsoft YaHei"/>
          <w:sz w:val="21"/>
          <w:szCs w:val="21"/>
          <w:spacing w:val="2"/>
        </w:rPr>
        <w:t>电动汽</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车后备受投资市场看好的新能源赛道。根据投中数据</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4"/>
        </w:rPr>
        <w:t>，2022</w:t>
      </w:r>
      <w:r>
        <w:rPr>
          <w:rFonts w:ascii="Microsoft YaHei" w:hAnsi="Microsoft YaHei" w:eastAsia="Microsoft YaHei" w:cs="Microsoft YaHei"/>
          <w:sz w:val="21"/>
          <w:szCs w:val="21"/>
          <w:spacing w:val="3"/>
        </w:rPr>
        <w:t>年储能行业仍然火</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热</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，全年储能行业融资交易249笔</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，融资规模为494亿元</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，融资金额是2019年的</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16倍。由于储能行业处于起步阶段，新进入企业多，对储能的融资需求多处于早 </w:t>
      </w:r>
      <w:r>
        <w:rPr>
          <w:rFonts w:ascii="Microsoft YaHei" w:hAnsi="Microsoft YaHei" w:eastAsia="Microsoft YaHei" w:cs="Microsoft YaHei"/>
          <w:sz w:val="21"/>
          <w:szCs w:val="21"/>
          <w:spacing w:val="1"/>
        </w:rPr>
        <w:t>期阶段。2022年储能行业A轮和B轮融资金额325亿元</w:t>
      </w:r>
      <w:r>
        <w:rPr>
          <w:rFonts w:ascii="Microsoft YaHei" w:hAnsi="Microsoft YaHei" w:eastAsia="Microsoft YaHei" w:cs="Microsoft YaHei"/>
          <w:sz w:val="21"/>
          <w:szCs w:val="21"/>
          <w:spacing w:val="-25"/>
        </w:rPr>
        <w:t xml:space="preserve"> </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spacing w:val="-30"/>
        </w:rPr>
        <w:t xml:space="preserve"> </w:t>
      </w:r>
      <w:r>
        <w:rPr>
          <w:rFonts w:ascii="Microsoft YaHei" w:hAnsi="Microsoft YaHei" w:eastAsia="Microsoft YaHei" w:cs="Microsoft YaHei"/>
          <w:sz w:val="21"/>
          <w:szCs w:val="21"/>
          <w:spacing w:val="1"/>
        </w:rPr>
        <w:t>占比66%。</w:t>
      </w:r>
      <w:r>
        <w:rPr>
          <w:rFonts w:ascii="Microsoft YaHei" w:hAnsi="Microsoft YaHei" w:eastAsia="Microsoft YaHei" w:cs="Microsoft YaHei"/>
          <w:sz w:val="21"/>
          <w:szCs w:val="21"/>
          <w:spacing w:val="-39"/>
        </w:rPr>
        <w:t xml:space="preserve"> </w:t>
      </w:r>
      <w:r>
        <w:rPr>
          <w:rFonts w:ascii="Microsoft YaHei" w:hAnsi="Microsoft YaHei" w:eastAsia="Microsoft YaHei" w:cs="Microsoft YaHei"/>
          <w:sz w:val="21"/>
          <w:szCs w:val="21"/>
          <w:spacing w:val="1"/>
        </w:rPr>
        <w:t>从区域看，</w:t>
      </w:r>
    </w:p>
    <w:p>
      <w:pPr>
        <w:ind w:left="1850" w:right="2828" w:firstLine="3"/>
        <w:spacing w:before="57" w:line="20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2022年储能企业融资金额前十省份共融资453亿元，</w:t>
      </w:r>
      <w:r>
        <w:rPr>
          <w:rFonts w:ascii="Microsoft YaHei" w:hAnsi="Microsoft YaHei" w:eastAsia="Microsoft YaHei" w:cs="Microsoft YaHei"/>
          <w:sz w:val="21"/>
          <w:szCs w:val="21"/>
          <w:spacing w:val="-17"/>
        </w:rPr>
        <w:t xml:space="preserve"> </w:t>
      </w:r>
      <w:r>
        <w:rPr>
          <w:rFonts w:ascii="Microsoft YaHei" w:hAnsi="Microsoft YaHei" w:eastAsia="Microsoft YaHei" w:cs="Microsoft YaHei"/>
          <w:sz w:val="21"/>
          <w:szCs w:val="21"/>
          <w:spacing w:val="-2"/>
        </w:rPr>
        <w:t>占储能行业整体融资的92%。</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广东省储能行业融资数量67笔，</w:t>
      </w:r>
      <w:r>
        <w:rPr>
          <w:rFonts w:ascii="Microsoft YaHei" w:hAnsi="Microsoft YaHei" w:eastAsia="Microsoft YaHei" w:cs="Microsoft YaHei"/>
          <w:sz w:val="21"/>
          <w:szCs w:val="21"/>
          <w:spacing w:val="-40"/>
        </w:rPr>
        <w:t xml:space="preserve"> </w:t>
      </w:r>
      <w:r>
        <w:rPr>
          <w:rFonts w:ascii="Microsoft YaHei" w:hAnsi="Microsoft YaHei" w:eastAsia="Microsoft YaHei" w:cs="Microsoft YaHei"/>
          <w:sz w:val="21"/>
          <w:szCs w:val="21"/>
          <w:spacing w:val="1"/>
        </w:rPr>
        <w:t>融资金额135亿元，融资数量和金额上</w:t>
      </w:r>
      <w:r>
        <w:rPr>
          <w:rFonts w:ascii="Microsoft YaHei" w:hAnsi="Microsoft YaHei" w:eastAsia="Microsoft YaHei" w:cs="Microsoft YaHei"/>
          <w:sz w:val="21"/>
          <w:szCs w:val="21"/>
        </w:rPr>
        <w:t>都超过其    </w:t>
      </w:r>
      <w:r>
        <w:rPr>
          <w:rFonts w:ascii="Microsoft YaHei" w:hAnsi="Microsoft YaHei" w:eastAsia="Microsoft YaHei" w:cs="Microsoft YaHei"/>
          <w:sz w:val="21"/>
          <w:szCs w:val="21"/>
          <w:spacing w:val="-7"/>
        </w:rPr>
        <w:t>他省份。</w:t>
      </w:r>
    </w:p>
    <w:p>
      <w:pPr>
        <w:ind w:left="1852" w:right="3007" w:hanging="261"/>
        <w:spacing w:before="322" w:line="209" w:lineRule="auto"/>
        <w:rPr>
          <w:rFonts w:ascii="Microsoft YaHei" w:hAnsi="Microsoft YaHei" w:eastAsia="Microsoft YaHei" w:cs="Microsoft YaHei"/>
          <w:sz w:val="21"/>
          <w:szCs w:val="21"/>
        </w:rPr>
      </w:pPr>
      <w:r>
        <w:rPr>
          <w:rFonts w:ascii="Courier New" w:hAnsi="Courier New" w:eastAsia="Courier New" w:cs="Courier New"/>
          <w:sz w:val="21"/>
          <w:szCs w:val="21"/>
          <w:color w:val="00B8F5"/>
        </w:rPr>
        <w:t>o</w:t>
      </w:r>
      <w:r>
        <w:rPr>
          <w:rFonts w:ascii="Courier New" w:hAnsi="Courier New" w:eastAsia="Courier New" w:cs="Courier New"/>
          <w:sz w:val="21"/>
          <w:szCs w:val="21"/>
          <w:color w:val="00B8F5"/>
          <w:spacing w:val="43"/>
        </w:rPr>
        <w:t xml:space="preserve"> </w:t>
      </w:r>
      <w:r>
        <w:rPr>
          <w:rFonts w:ascii="Microsoft YaHei" w:hAnsi="Microsoft YaHei" w:eastAsia="Microsoft YaHei" w:cs="Microsoft YaHei"/>
          <w:sz w:val="21"/>
          <w:szCs w:val="21"/>
          <w:color w:val="00B8F5"/>
        </w:rPr>
        <w:t>电池仍然是中国储能行业最火热的赛道，上游材料企业也备受资本市场青睐，行 </w:t>
      </w:r>
      <w:r>
        <w:rPr>
          <w:rFonts w:ascii="Microsoft YaHei" w:hAnsi="Microsoft YaHei" w:eastAsia="Microsoft YaHei" w:cs="Microsoft YaHei"/>
          <w:sz w:val="21"/>
          <w:szCs w:val="21"/>
          <w:color w:val="00B8F5"/>
        </w:rPr>
        <w:t>业大额融资频现。</w:t>
      </w:r>
      <w:r>
        <w:rPr>
          <w:rFonts w:ascii="Microsoft YaHei" w:hAnsi="Microsoft YaHei" w:eastAsia="Microsoft YaHei" w:cs="Microsoft YaHei"/>
          <w:sz w:val="21"/>
          <w:szCs w:val="21"/>
        </w:rPr>
        <w:t>2022年电池企业融资金额3</w:t>
      </w:r>
      <w:r>
        <w:rPr>
          <w:rFonts w:ascii="Microsoft YaHei" w:hAnsi="Microsoft YaHei" w:eastAsia="Microsoft YaHei" w:cs="Microsoft YaHei"/>
          <w:sz w:val="21"/>
          <w:szCs w:val="21"/>
          <w:spacing w:val="-1"/>
        </w:rPr>
        <w:t>17亿元，占储能行业整体融资交易</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金额的64%。</w:t>
      </w:r>
      <w:r>
        <w:rPr>
          <w:rFonts w:ascii="Microsoft YaHei" w:hAnsi="Microsoft YaHei" w:eastAsia="Microsoft YaHei" w:cs="Microsoft YaHei"/>
          <w:sz w:val="21"/>
          <w:szCs w:val="21"/>
          <w:spacing w:val="-37"/>
        </w:rPr>
        <w:t xml:space="preserve"> </w:t>
      </w:r>
      <w:r>
        <w:rPr>
          <w:rFonts w:ascii="Microsoft YaHei" w:hAnsi="Microsoft YaHei" w:eastAsia="Microsoft YaHei" w:cs="Microsoft YaHei"/>
          <w:sz w:val="21"/>
          <w:szCs w:val="21"/>
          <w:spacing w:val="4"/>
        </w:rPr>
        <w:t>正极材料、负极材料等在内</w:t>
      </w:r>
      <w:r>
        <w:rPr>
          <w:rFonts w:ascii="Microsoft YaHei" w:hAnsi="Microsoft YaHei" w:eastAsia="Microsoft YaHei" w:cs="Microsoft YaHei"/>
          <w:sz w:val="21"/>
          <w:szCs w:val="21"/>
          <w:spacing w:val="3"/>
        </w:rPr>
        <w:t>的储能行业上游融资29笔</w:t>
      </w:r>
      <w:r>
        <w:rPr>
          <w:rFonts w:ascii="Microsoft YaHei" w:hAnsi="Microsoft YaHei" w:eastAsia="Microsoft YaHei" w:cs="Microsoft YaHei"/>
          <w:sz w:val="21"/>
          <w:szCs w:val="21"/>
          <w:spacing w:val="-25"/>
        </w:rPr>
        <w:t xml:space="preserve"> </w:t>
      </w:r>
      <w:r>
        <w:rPr>
          <w:rFonts w:ascii="Microsoft YaHei" w:hAnsi="Microsoft YaHei" w:eastAsia="Microsoft YaHei" w:cs="Microsoft YaHei"/>
          <w:sz w:val="21"/>
          <w:szCs w:val="21"/>
          <w:spacing w:val="3"/>
        </w:rPr>
        <w:t>，融资金额</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108亿元。2022年储能行业融资金额最大的是欣旺达电池，融资金额80亿元。</w:t>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spacing w:before="1" w:line="708" w:lineRule="exact"/>
        <w:rPr/>
      </w:pPr>
      <w:r>
        <w:rPr>
          <w:position w:val="-14"/>
        </w:rPr>
        <w:drawing>
          <wp:inline distT="0" distB="0" distL="0" distR="0">
            <wp:extent cx="1848702" cy="449517"/>
            <wp:effectExtent l="0" t="0" r="0" b="0"/>
            <wp:docPr id="82" name="IM 82"/>
            <wp:cNvGraphicFramePr/>
            <a:graphic>
              <a:graphicData uri="http://schemas.openxmlformats.org/drawingml/2006/picture">
                <pic:pic>
                  <pic:nvPicPr>
                    <pic:cNvPr id="82" name="IM 82"/>
                    <pic:cNvPicPr/>
                  </pic:nvPicPr>
                  <pic:blipFill>
                    <a:blip r:embed="rId33"/>
                    <a:stretch>
                      <a:fillRect/>
                    </a:stretch>
                  </pic:blipFill>
                  <pic:spPr>
                    <a:xfrm rot="0">
                      <a:off x="0" y="0"/>
                      <a:ext cx="1848702" cy="449517"/>
                    </a:xfrm>
                    <a:prstGeom prst="rect">
                      <a:avLst/>
                    </a:prstGeom>
                  </pic:spPr>
                </pic:pic>
              </a:graphicData>
            </a:graphic>
          </wp:inline>
        </w:drawing>
      </w:r>
    </w:p>
    <w:p>
      <w:pPr>
        <w:ind w:firstLine="7060"/>
        <w:spacing w:line="2069" w:lineRule="exact"/>
        <w:rPr/>
      </w:pPr>
      <w:r>
        <w:rPr>
          <w:position w:val="-41"/>
        </w:rPr>
        <w:drawing>
          <wp:inline distT="0" distB="0" distL="0" distR="0">
            <wp:extent cx="545899" cy="1313665"/>
            <wp:effectExtent l="0" t="0" r="0" b="0"/>
            <wp:docPr id="84" name="IM 84"/>
            <wp:cNvGraphicFramePr/>
            <a:graphic>
              <a:graphicData uri="http://schemas.openxmlformats.org/drawingml/2006/picture">
                <pic:pic>
                  <pic:nvPicPr>
                    <pic:cNvPr id="84" name="IM 84"/>
                    <pic:cNvPicPr/>
                  </pic:nvPicPr>
                  <pic:blipFill>
                    <a:blip r:embed="rId34"/>
                    <a:stretch>
                      <a:fillRect/>
                    </a:stretch>
                  </pic:blipFill>
                  <pic:spPr>
                    <a:xfrm rot="0">
                      <a:off x="0" y="0"/>
                      <a:ext cx="545899" cy="1313665"/>
                    </a:xfrm>
                    <a:prstGeom prst="rect">
                      <a:avLst/>
                    </a:prstGeom>
                  </pic:spPr>
                </pic:pic>
              </a:graphicData>
            </a:graphic>
          </wp:inline>
        </w:drawing>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ind w:left="1805" w:right="1241" w:hanging="411"/>
        <w:spacing w:before="48"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F1F1F1"/>
          <w:spacing w:val="-1"/>
        </w:rPr>
        <w:t>© 2023</w:t>
      </w:r>
      <w:r>
        <w:rPr>
          <w:rFonts w:ascii="Microsoft YaHei" w:hAnsi="Microsoft YaHei" w:eastAsia="Microsoft YaHei" w:cs="Microsoft YaHei"/>
          <w:sz w:val="11"/>
          <w:szCs w:val="11"/>
          <w:color w:val="F1F1F1"/>
          <w:spacing w:val="-6"/>
        </w:rPr>
        <w:t xml:space="preserve"> </w:t>
      </w:r>
      <w:r>
        <w:rPr>
          <w:rFonts w:ascii="Microsoft YaHei" w:hAnsi="Microsoft YaHei" w:eastAsia="Microsoft YaHei" w:cs="Microsoft YaHei"/>
          <w:sz w:val="11"/>
          <w:szCs w:val="11"/>
          <w:color w:val="F1F1F1"/>
          <w:spacing w:val="-1"/>
        </w:rPr>
        <w:t>毕马威华振会计师事务所(特殊普通合伙)</w:t>
      </w:r>
      <w:r>
        <w:rPr>
          <w:rFonts w:ascii="Microsoft YaHei" w:hAnsi="Microsoft YaHei" w:eastAsia="Microsoft YaHei" w:cs="Microsoft YaHei"/>
          <w:sz w:val="11"/>
          <w:szCs w:val="11"/>
          <w:color w:val="F1F1F1"/>
          <w:spacing w:val="-12"/>
        </w:rPr>
        <w:t xml:space="preserve"> </w:t>
      </w:r>
      <w:r>
        <w:rPr>
          <w:rFonts w:ascii="Microsoft YaHei" w:hAnsi="Microsoft YaHei" w:eastAsia="Microsoft YaHei" w:cs="Microsoft YaHei"/>
          <w:sz w:val="11"/>
          <w:szCs w:val="11"/>
          <w:color w:val="F1F1F1"/>
          <w:spacing w:val="-1"/>
        </w:rPr>
        <w:t>— 中国合伙制会计师事务所，毕马威企业咨询</w:t>
      </w:r>
      <w:r>
        <w:rPr>
          <w:rFonts w:ascii="Microsoft YaHei" w:hAnsi="Microsoft YaHei" w:eastAsia="Microsoft YaHei" w:cs="Microsoft YaHei"/>
          <w:sz w:val="11"/>
          <w:szCs w:val="11"/>
          <w:color w:val="F1F1F1"/>
          <w:spacing w:val="-8"/>
        </w:rPr>
        <w:t xml:space="preserve"> </w:t>
      </w:r>
      <w:r>
        <w:rPr>
          <w:rFonts w:ascii="Microsoft YaHei" w:hAnsi="Microsoft YaHei" w:eastAsia="Microsoft YaHei" w:cs="Microsoft YaHei"/>
          <w:sz w:val="11"/>
          <w:szCs w:val="11"/>
          <w:color w:val="F1F1F1"/>
          <w:spacing w:val="-1"/>
        </w:rPr>
        <w:t>(中国)有限公司 — 中国有限责任公司，毕马威会计师事务所</w:t>
      </w:r>
      <w:r>
        <w:rPr>
          <w:rFonts w:ascii="Microsoft YaHei" w:hAnsi="Microsoft YaHei" w:eastAsia="Microsoft YaHei" w:cs="Microsoft YaHei"/>
          <w:sz w:val="11"/>
          <w:szCs w:val="11"/>
          <w:color w:val="F1F1F1"/>
          <w:spacing w:val="-8"/>
        </w:rPr>
        <w:t xml:space="preserve"> </w:t>
      </w:r>
      <w:r>
        <w:rPr>
          <w:rFonts w:ascii="Microsoft YaHei" w:hAnsi="Microsoft YaHei" w:eastAsia="Microsoft YaHei" w:cs="Microsoft YaHei"/>
          <w:sz w:val="11"/>
          <w:szCs w:val="11"/>
          <w:color w:val="F1F1F1"/>
          <w:spacing w:val="-1"/>
        </w:rPr>
        <w:t>— 澳门特别行政区合伙制事务所，</w:t>
      </w:r>
      <w:r>
        <w:rPr>
          <w:rFonts w:ascii="Microsoft YaHei" w:hAnsi="Microsoft YaHei" w:eastAsia="Microsoft YaHei" w:cs="Microsoft YaHei"/>
          <w:sz w:val="11"/>
          <w:szCs w:val="11"/>
          <w:color w:val="F1F1F1"/>
          <w:spacing w:val="-2"/>
        </w:rPr>
        <w:t>及毕马威</w:t>
      </w:r>
      <w:r>
        <w:rPr>
          <w:rFonts w:ascii="Microsoft YaHei" w:hAnsi="Microsoft YaHei" w:eastAsia="Microsoft YaHei" w:cs="Microsoft YaHei"/>
          <w:sz w:val="11"/>
          <w:szCs w:val="11"/>
          <w:color w:val="F1F1F1"/>
        </w:rPr>
        <w:t xml:space="preserve"> </w:t>
      </w:r>
      <w:r>
        <w:rPr>
          <w:rFonts w:ascii="Microsoft YaHei" w:hAnsi="Microsoft YaHei" w:eastAsia="Microsoft YaHei" w:cs="Microsoft YaHei"/>
          <w:sz w:val="11"/>
          <w:szCs w:val="11"/>
          <w:color w:val="F1F1F1"/>
        </w:rPr>
        <w:t>会计师事务所 —</w:t>
      </w:r>
      <w:r>
        <w:rPr>
          <w:rFonts w:ascii="Microsoft YaHei" w:hAnsi="Microsoft YaHei" w:eastAsia="Microsoft YaHei" w:cs="Microsoft YaHei"/>
          <w:sz w:val="11"/>
          <w:szCs w:val="11"/>
          <w:color w:val="F1F1F1"/>
          <w:spacing w:val="-6"/>
        </w:rPr>
        <w:t xml:space="preserve"> </w:t>
      </w:r>
      <w:r>
        <w:rPr>
          <w:rFonts w:ascii="Microsoft YaHei" w:hAnsi="Microsoft YaHei" w:eastAsia="Microsoft YaHei" w:cs="Microsoft YaHei"/>
          <w:sz w:val="11"/>
          <w:szCs w:val="11"/>
          <w:color w:val="F1F1F1"/>
        </w:rPr>
        <w:t>香港特别行政区合伙制事务所，</w:t>
      </w:r>
      <w:r>
        <w:rPr>
          <w:rFonts w:ascii="Microsoft YaHei" w:hAnsi="Microsoft YaHei" w:eastAsia="Microsoft YaHei" w:cs="Microsoft YaHei"/>
          <w:sz w:val="11"/>
          <w:szCs w:val="11"/>
          <w:color w:val="F1F1F1"/>
          <w:spacing w:val="-1"/>
        </w:rPr>
        <w:t>均是与英国私营担保有限公司</w:t>
      </w:r>
      <w:r>
        <w:rPr>
          <w:rFonts w:ascii="Microsoft YaHei" w:hAnsi="Microsoft YaHei" w:eastAsia="Microsoft YaHei" w:cs="Microsoft YaHei"/>
          <w:sz w:val="11"/>
          <w:szCs w:val="11"/>
          <w:color w:val="F1F1F1"/>
          <w:spacing w:val="-13"/>
        </w:rPr>
        <w:t xml:space="preserve"> </w:t>
      </w:r>
      <w:r>
        <w:rPr>
          <w:rFonts w:ascii="Microsoft YaHei" w:hAnsi="Microsoft YaHei" w:eastAsia="Microsoft YaHei" w:cs="Microsoft YaHei"/>
          <w:sz w:val="11"/>
          <w:szCs w:val="11"/>
          <w:color w:val="F1F1F1"/>
          <w:spacing w:val="-1"/>
        </w:rPr>
        <w:t>— 毕马威国际有限公司相关联的独立成员所全球性组织中的成员。版权所有，不得转载。在中国印刷。</w:t>
      </w:r>
    </w:p>
    <w:p>
      <w:pPr>
        <w:spacing w:line="172" w:lineRule="auto"/>
        <w:sectPr>
          <w:pgSz w:w="12245" w:h="17180"/>
          <w:pgMar w:top="400" w:right="0" w:bottom="0" w:left="0" w:header="0" w:footer="0" w:gutter="0"/>
        </w:sectPr>
        <w:rPr>
          <w:rFonts w:ascii="Microsoft YaHei" w:hAnsi="Microsoft YaHei" w:eastAsia="Microsoft YaHei" w:cs="Microsoft YaHei"/>
          <w:sz w:val="11"/>
          <w:szCs w:val="11"/>
        </w:rPr>
      </w:pPr>
    </w:p>
    <w:p>
      <w:pPr>
        <w:pStyle w:val="BodyText"/>
        <w:spacing w:line="243" w:lineRule="auto"/>
        <w:rPr/>
      </w:pPr>
      <w:r>
        <mc:AlternateContent xmlns:mc="http://schemas.openxmlformats.org/markup-compatibility/2006">
          <mc:Choice Requires="wps">
            <w:drawing>
              <wp:anchor distT="0" distB="0" distL="0" distR="0" simplePos="0" relativeHeight="251709440" behindDoc="1" locked="0" layoutInCell="0" allowOverlap="1">
                <wp:simplePos x="0" y="0"/>
                <wp:positionH relativeFrom="page">
                  <wp:posOffset>7772272</wp:posOffset>
                </wp:positionH>
                <wp:positionV relativeFrom="page">
                  <wp:posOffset>0</wp:posOffset>
                </wp:positionV>
                <wp:extent cx="3175" cy="10909300"/>
                <wp:effectExtent l="0" t="0" r="0" b="0"/>
                <wp:wrapNone/>
                <wp:docPr id="86" name="Rect 86"/>
                <wp:cNvGraphicFramePr/>
                <a:graphic>
                  <a:graphicData uri="http://schemas.microsoft.com/office/word/2010/wordprocessingShape">
                    <wps:wsp>
                      <wps:cNvPr id="86" name="Rect 86"/>
                      <wps:cNvSpPr/>
                      <wps:spPr>
                        <a:xfrm>
                          <a:off x="7772272" y="0"/>
                          <a:ext cx="3175" cy="109093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74" style="position:absolute;margin-left:611.99pt;margin-top:0pt;mso-position-vertical-relative:page;mso-position-horizontal-relative:page;width:0.25pt;height:859pt;z-index:-251607040;" o:allowincell="f" fillcolor="#000000" filled="true" stroked="false"/>
            </w:pict>
          </mc:Fallback>
        </mc:AlternateContent>
      </w:r>
      <w:r/>
    </w:p>
    <w:p>
      <w:pPr>
        <w:ind w:left="1018"/>
        <w:spacing w:before="77" w:line="178" w:lineRule="auto"/>
        <w:rPr>
          <w:rFonts w:ascii="Microsoft YaHei" w:hAnsi="Microsoft YaHei" w:eastAsia="Microsoft YaHei" w:cs="Microsoft YaHei"/>
          <w:sz w:val="18"/>
          <w:szCs w:val="18"/>
        </w:rPr>
      </w:pPr>
      <w:r>
        <w:drawing>
          <wp:anchor distT="0" distB="0" distL="0" distR="0" simplePos="0" relativeHeight="251710464" behindDoc="1" locked="0" layoutInCell="1" allowOverlap="1">
            <wp:simplePos x="0" y="0"/>
            <wp:positionH relativeFrom="column">
              <wp:posOffset>0</wp:posOffset>
            </wp:positionH>
            <wp:positionV relativeFrom="paragraph">
              <wp:posOffset>-409446</wp:posOffset>
            </wp:positionV>
            <wp:extent cx="7775447" cy="10908789"/>
            <wp:effectExtent l="0" t="0" r="0" b="0"/>
            <wp:wrapNone/>
            <wp:docPr id="88" name="IM 88"/>
            <wp:cNvGraphicFramePr/>
            <a:graphic>
              <a:graphicData uri="http://schemas.openxmlformats.org/drawingml/2006/picture">
                <pic:pic>
                  <pic:nvPicPr>
                    <pic:cNvPr id="88" name="IM 88"/>
                    <pic:cNvPicPr/>
                  </pic:nvPicPr>
                  <pic:blipFill>
                    <a:blip r:embed="rId35"/>
                    <a:stretch>
                      <a:fillRect/>
                    </a:stretch>
                  </pic:blipFill>
                  <pic:spPr>
                    <a:xfrm rot="0">
                      <a:off x="0" y="0"/>
                      <a:ext cx="7775447" cy="10908789"/>
                    </a:xfrm>
                    <a:prstGeom prst="rect">
                      <a:avLst/>
                    </a:prstGeom>
                  </pic:spPr>
                </pic:pic>
              </a:graphicData>
            </a:graphic>
          </wp:anchor>
        </w:drawing>
      </w:r>
      <w:r>
        <w:rPr>
          <w:rFonts w:ascii="Microsoft YaHei" w:hAnsi="Microsoft YaHei" w:eastAsia="Microsoft YaHei" w:cs="Microsoft YaHei"/>
          <w:sz w:val="18"/>
          <w:szCs w:val="18"/>
          <w:b/>
          <w:bCs/>
          <w:color w:val="A8A8A8"/>
          <w:spacing w:val="-1"/>
        </w:rPr>
        <w:t>9</w:t>
      </w:r>
      <w:r>
        <w:rPr>
          <w:rFonts w:ascii="Microsoft YaHei" w:hAnsi="Microsoft YaHei" w:eastAsia="Microsoft YaHei" w:cs="Microsoft YaHei"/>
          <w:sz w:val="18"/>
          <w:szCs w:val="18"/>
          <w:b/>
          <w:bCs/>
          <w:color w:val="A8A8A8"/>
          <w:spacing w:val="6"/>
        </w:rPr>
        <w:t xml:space="preserve">      </w:t>
      </w:r>
      <w:r>
        <w:rPr>
          <w:rFonts w:ascii="Microsoft YaHei" w:hAnsi="Microsoft YaHei" w:eastAsia="Microsoft YaHei" w:cs="Microsoft YaHei"/>
          <w:sz w:val="18"/>
          <w:szCs w:val="18"/>
          <w:color w:val="A8A8A8"/>
          <w:spacing w:val="-1"/>
        </w:rPr>
        <w:t>新型储能助力能源转型</w:t>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drawing>
          <wp:anchor distT="0" distB="0" distL="0" distR="0" simplePos="0" relativeHeight="251712512" behindDoc="0" locked="0" layoutInCell="1" allowOverlap="1">
            <wp:simplePos x="0" y="0"/>
            <wp:positionH relativeFrom="column">
              <wp:posOffset>885701</wp:posOffset>
            </wp:positionH>
            <wp:positionV relativeFrom="paragraph">
              <wp:posOffset>256533</wp:posOffset>
            </wp:positionV>
            <wp:extent cx="840733" cy="838079"/>
            <wp:effectExtent l="0" t="0" r="0" b="0"/>
            <wp:wrapNone/>
            <wp:docPr id="90" name="IM 90"/>
            <wp:cNvGraphicFramePr/>
            <a:graphic>
              <a:graphicData uri="http://schemas.openxmlformats.org/drawingml/2006/picture">
                <pic:pic>
                  <pic:nvPicPr>
                    <pic:cNvPr id="90" name="IM 90"/>
                    <pic:cNvPicPr/>
                  </pic:nvPicPr>
                  <pic:blipFill>
                    <a:blip r:embed="rId36"/>
                    <a:stretch>
                      <a:fillRect/>
                    </a:stretch>
                  </pic:blipFill>
                  <pic:spPr>
                    <a:xfrm rot="0">
                      <a:off x="0" y="0"/>
                      <a:ext cx="840733" cy="838079"/>
                    </a:xfrm>
                    <a:prstGeom prst="rect">
                      <a:avLst/>
                    </a:prstGeom>
                  </pic:spPr>
                </pic:pic>
              </a:graphicData>
            </a:graphic>
          </wp:anchor>
        </w:drawing>
      </w:r>
      <w:r/>
    </w:p>
    <w:p>
      <w:pPr>
        <w:ind w:left="2833"/>
        <w:spacing w:before="206" w:line="178" w:lineRule="auto"/>
        <w:outlineLvl w:val="0"/>
        <w:rPr>
          <w:rFonts w:ascii="Microsoft YaHei" w:hAnsi="Microsoft YaHei" w:eastAsia="Microsoft YaHei" w:cs="Microsoft YaHei"/>
          <w:sz w:val="48"/>
          <w:szCs w:val="48"/>
        </w:rPr>
      </w:pPr>
      <w:r>
        <mc:AlternateContent xmlns:mc="http://schemas.openxmlformats.org/markup-compatibility/2006">
          <mc:Choice Requires="wps">
            <w:drawing>
              <wp:anchor distT="0" distB="0" distL="0" distR="0" simplePos="0" relativeHeight="251711488" behindDoc="1" locked="0" layoutInCell="1" allowOverlap="1">
                <wp:simplePos x="0" y="0"/>
                <wp:positionH relativeFrom="column">
                  <wp:posOffset>826008</wp:posOffset>
                </wp:positionH>
                <wp:positionV relativeFrom="paragraph">
                  <wp:posOffset>-29258</wp:posOffset>
                </wp:positionV>
                <wp:extent cx="5041900" cy="1484630"/>
                <wp:effectExtent l="0" t="0" r="0" b="0"/>
                <wp:wrapNone/>
                <wp:docPr id="92" name="Rect 92"/>
                <wp:cNvGraphicFramePr/>
                <a:graphic>
                  <a:graphicData uri="http://schemas.microsoft.com/office/word/2010/wordprocessingShape">
                    <wps:wsp>
                      <wps:cNvPr id="92" name="Rect 92"/>
                      <wps:cNvSpPr/>
                      <wps:spPr>
                        <a:xfrm>
                          <a:off x="826008" y="-29258"/>
                          <a:ext cx="5041900" cy="1484630"/>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76" style="position:absolute;margin-left:65.04pt;margin-top:-2.3038pt;mso-position-vertical-relative:text;mso-position-horizontal-relative:text;width:397pt;height:116.9pt;z-index:-251604992;" fillcolor="#F1F1F1" filled="true" stroked="false"/>
            </w:pict>
          </mc:Fallback>
        </mc:AlternateContent>
      </w:r>
      <w:r>
        <w:rPr>
          <w:rFonts w:ascii="Microsoft YaHei" w:hAnsi="Microsoft YaHei" w:eastAsia="Microsoft YaHei" w:cs="Microsoft YaHei"/>
          <w:sz w:val="48"/>
          <w:szCs w:val="48"/>
          <w:b/>
          <w:bCs/>
          <w:color w:val="00338D"/>
          <w:spacing w:val="-1"/>
        </w:rPr>
        <w:t>储能行业未来展望</w:t>
      </w:r>
    </w:p>
    <w:p>
      <w:pPr>
        <w:ind w:left="2848" w:right="3397"/>
        <w:spacing w:before="47" w:line="218"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伴随着新能源发展进程加快</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，新型储能作为提高新能源安全高效</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利用率的解决方案</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2"/>
        </w:rPr>
        <w:t>，被寄予厚望。与此同时</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，商业经济性、</w:t>
      </w:r>
      <w:r>
        <w:rPr>
          <w:rFonts w:ascii="Microsoft YaHei" w:hAnsi="Microsoft YaHei" w:eastAsia="Microsoft YaHei" w:cs="Microsoft YaHei"/>
          <w:sz w:val="21"/>
          <w:szCs w:val="21"/>
          <w:spacing w:val="1"/>
        </w:rPr>
        <w:t>应用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安全性、政策和市场竞争机制有待完善等也为行业发展带来了诸 </w:t>
      </w:r>
      <w:r>
        <w:rPr>
          <w:rFonts w:ascii="Microsoft YaHei" w:hAnsi="Microsoft YaHei" w:eastAsia="Microsoft YaHei" w:cs="Microsoft YaHei"/>
          <w:sz w:val="21"/>
          <w:szCs w:val="21"/>
          <w:spacing w:val="-7"/>
        </w:rPr>
        <w:t>多挑战。</w:t>
      </w:r>
    </w:p>
    <w:p>
      <w:pPr>
        <w:pStyle w:val="BodyText"/>
        <w:spacing w:line="298" w:lineRule="auto"/>
        <w:rPr/>
      </w:pPr>
      <w:r/>
    </w:p>
    <w:p>
      <w:pPr>
        <w:pStyle w:val="BodyText"/>
        <w:ind w:left="1578" w:right="3003" w:hanging="263"/>
        <w:spacing w:before="103" w:line="213" w:lineRule="auto"/>
        <w:rPr>
          <w:rFonts w:ascii="Microsoft YaHei" w:hAnsi="Microsoft YaHei" w:eastAsia="Microsoft YaHei" w:cs="Microsoft YaHei"/>
        </w:rPr>
      </w:pPr>
      <w:r>
        <w:rPr>
          <w:sz w:val="24"/>
          <w:szCs w:val="24"/>
          <w:color w:val="00338D"/>
          <w:spacing w:val="1"/>
        </w:rPr>
        <w:t>•</w:t>
      </w:r>
      <w:r>
        <w:rPr>
          <w:sz w:val="24"/>
          <w:szCs w:val="24"/>
          <w:color w:val="00338D"/>
          <w:spacing w:val="29"/>
          <w:w w:val="101"/>
        </w:rPr>
        <w:t xml:space="preserve">  </w:t>
      </w:r>
      <w:r>
        <w:rPr>
          <w:rFonts w:ascii="Microsoft YaHei" w:hAnsi="Microsoft YaHei" w:eastAsia="Microsoft YaHei" w:cs="Microsoft YaHei"/>
          <w:sz w:val="24"/>
          <w:szCs w:val="24"/>
          <w:b/>
          <w:bCs/>
          <w:color w:val="00338D"/>
          <w:spacing w:val="1"/>
        </w:rPr>
        <w:t>在用户侧，国内工商业和海外家庭储能发展迅速。</w:t>
      </w:r>
      <w:r>
        <w:rPr>
          <w:rFonts w:ascii="Microsoft YaHei" w:hAnsi="Microsoft YaHei" w:eastAsia="Microsoft YaHei" w:cs="Microsoft YaHei"/>
          <w:spacing w:val="1"/>
        </w:rPr>
        <w:t>就国内工商业而言，</w:t>
      </w:r>
      <w:r>
        <w:rPr>
          <w:rFonts w:ascii="Microsoft YaHei" w:hAnsi="Microsoft YaHei" w:eastAsia="Microsoft YaHei" w:cs="Microsoft YaHei"/>
          <w:spacing w:val="-38"/>
        </w:rPr>
        <w:t xml:space="preserve"> </w:t>
      </w:r>
      <w:r>
        <w:rPr>
          <w:rFonts w:ascii="Microsoft YaHei" w:hAnsi="Microsoft YaHei" w:eastAsia="Microsoft YaHei" w:cs="Microsoft YaHei"/>
          <w:spacing w:val="1"/>
        </w:rPr>
        <w:t>分时</w:t>
      </w:r>
      <w:r>
        <w:rPr>
          <w:rFonts w:ascii="Microsoft YaHei" w:hAnsi="Microsoft YaHei" w:eastAsia="Microsoft YaHei" w:cs="Microsoft YaHei"/>
        </w:rPr>
        <w:t xml:space="preserve"> </w:t>
      </w:r>
      <w:r>
        <w:rPr>
          <w:rFonts w:ascii="Microsoft YaHei" w:hAnsi="Microsoft YaHei" w:eastAsia="Microsoft YaHei" w:cs="Microsoft YaHei"/>
          <w:spacing w:val="3"/>
        </w:rPr>
        <w:t>电价和高耗能企业用电溢价的推出使得用户侧削峰填谷的经济性提</w:t>
      </w:r>
      <w:r>
        <w:rPr>
          <w:rFonts w:ascii="Microsoft YaHei" w:hAnsi="Microsoft YaHei" w:eastAsia="Microsoft YaHei" w:cs="Microsoft YaHei"/>
          <w:spacing w:val="2"/>
        </w:rPr>
        <w:t>升，且国内锂电</w:t>
      </w:r>
      <w:r>
        <w:rPr>
          <w:rFonts w:ascii="Microsoft YaHei" w:hAnsi="Microsoft YaHei" w:eastAsia="Microsoft YaHei" w:cs="Microsoft YaHei"/>
        </w:rPr>
        <w:t xml:space="preserve"> </w:t>
      </w:r>
      <w:r>
        <w:rPr>
          <w:rFonts w:ascii="Microsoft YaHei" w:hAnsi="Microsoft YaHei" w:eastAsia="Microsoft YaHei" w:cs="Microsoft YaHei"/>
          <w:spacing w:val="3"/>
        </w:rPr>
        <w:t>池市场相较国外具有规模优势，也是市场发展的重要的推动力。未</w:t>
      </w:r>
      <w:r>
        <w:rPr>
          <w:rFonts w:ascii="Microsoft YaHei" w:hAnsi="Microsoft YaHei" w:eastAsia="Microsoft YaHei" w:cs="Microsoft YaHei"/>
          <w:spacing w:val="2"/>
        </w:rPr>
        <w:t>来随着虚拟电厂</w:t>
      </w:r>
      <w:r>
        <w:rPr>
          <w:rFonts w:ascii="Microsoft YaHei" w:hAnsi="Microsoft YaHei" w:eastAsia="Microsoft YaHei" w:cs="Microsoft YaHei"/>
        </w:rPr>
        <w:t xml:space="preserve"> </w:t>
      </w:r>
      <w:r>
        <w:rPr>
          <w:rFonts w:ascii="Microsoft YaHei" w:hAnsi="Microsoft YaHei" w:eastAsia="Microsoft YaHei" w:cs="Microsoft YaHei"/>
          <w:spacing w:val="3"/>
        </w:rPr>
        <w:t>政策的出台，还会为市场带来更多新的价值。而对于家庭储能而言</w:t>
      </w:r>
      <w:r>
        <w:rPr>
          <w:rFonts w:ascii="Microsoft YaHei" w:hAnsi="Microsoft YaHei" w:eastAsia="Microsoft YaHei" w:cs="Microsoft YaHei"/>
          <w:spacing w:val="2"/>
        </w:rPr>
        <w:t>，海外市场由于</w:t>
      </w:r>
      <w:r>
        <w:rPr>
          <w:rFonts w:ascii="Microsoft YaHei" w:hAnsi="Microsoft YaHei" w:eastAsia="Microsoft YaHei" w:cs="Microsoft YaHei"/>
        </w:rPr>
        <w:t xml:space="preserve"> </w:t>
      </w:r>
      <w:r>
        <w:rPr>
          <w:rFonts w:ascii="Microsoft YaHei" w:hAnsi="Microsoft YaHei" w:eastAsia="Microsoft YaHei" w:cs="Microsoft YaHei"/>
          <w:spacing w:val="2"/>
        </w:rPr>
        <w:t>高电价、新能源比例提升、电网薄弱等原因市场空间较大，利润率相对有保障。与</w:t>
      </w:r>
      <w:r>
        <w:rPr>
          <w:rFonts w:ascii="Microsoft YaHei" w:hAnsi="Microsoft YaHei" w:eastAsia="Microsoft YaHei" w:cs="Microsoft YaHei"/>
          <w:spacing w:val="5"/>
        </w:rPr>
        <w:t xml:space="preserve"> </w:t>
      </w:r>
      <w:r>
        <w:rPr>
          <w:rFonts w:ascii="Microsoft YaHei" w:hAnsi="Microsoft YaHei" w:eastAsia="Microsoft YaHei" w:cs="Microsoft YaHei"/>
          <w:spacing w:val="3"/>
        </w:rPr>
        <w:t>欧美本土企业相比，我国企业在终端产品市场占据的份额相对较小</w:t>
      </w:r>
      <w:r>
        <w:rPr>
          <w:rFonts w:ascii="Microsoft YaHei" w:hAnsi="Microsoft YaHei" w:eastAsia="Microsoft YaHei" w:cs="Microsoft YaHei"/>
          <w:spacing w:val="2"/>
        </w:rPr>
        <w:t>，但在户用储能</w:t>
      </w:r>
      <w:r>
        <w:rPr>
          <w:rFonts w:ascii="Microsoft YaHei" w:hAnsi="Microsoft YaHei" w:eastAsia="Microsoft YaHei" w:cs="Microsoft YaHei"/>
        </w:rPr>
        <w:t xml:space="preserve"> </w:t>
      </w:r>
      <w:r>
        <w:rPr>
          <w:rFonts w:ascii="Microsoft YaHei" w:hAnsi="Microsoft YaHei" w:eastAsia="Microsoft YaHei" w:cs="Microsoft YaHei"/>
          <w:spacing w:val="2"/>
        </w:rPr>
        <w:t>产业链的关键环节包括储能锂电池、储能变流器环节中，国内动力电池企业、</w:t>
      </w:r>
      <w:r>
        <w:rPr>
          <w:rFonts w:ascii="Microsoft YaHei" w:hAnsi="Microsoft YaHei" w:eastAsia="Microsoft YaHei" w:cs="Microsoft YaHei"/>
          <w:spacing w:val="-33"/>
        </w:rPr>
        <w:t xml:space="preserve"> </w:t>
      </w:r>
      <w:r>
        <w:rPr>
          <w:rFonts w:ascii="Microsoft YaHei" w:hAnsi="Microsoft YaHei" w:eastAsia="Microsoft YaHei" w:cs="Microsoft YaHei"/>
          <w:spacing w:val="2"/>
        </w:rPr>
        <w:t>光伏</w:t>
      </w:r>
      <w:r>
        <w:rPr>
          <w:rFonts w:ascii="Microsoft YaHei" w:hAnsi="Microsoft YaHei" w:eastAsia="Microsoft YaHei" w:cs="Microsoft YaHei"/>
        </w:rPr>
        <w:t xml:space="preserve"> </w:t>
      </w:r>
      <w:r>
        <w:rPr>
          <w:rFonts w:ascii="Microsoft YaHei" w:hAnsi="Microsoft YaHei" w:eastAsia="Microsoft YaHei" w:cs="Microsoft YaHei"/>
          <w:spacing w:val="-1"/>
        </w:rPr>
        <w:t>逆变器企业具备强劲的竞争力，持续发力海外户储市场。</w:t>
      </w:r>
    </w:p>
    <w:p>
      <w:pPr>
        <w:pStyle w:val="BodyText"/>
        <w:ind w:left="1583" w:right="2819" w:hanging="268"/>
        <w:spacing w:before="318" w:line="210" w:lineRule="auto"/>
        <w:rPr>
          <w:rFonts w:ascii="Microsoft YaHei" w:hAnsi="Microsoft YaHei" w:eastAsia="Microsoft YaHei" w:cs="Microsoft YaHei"/>
        </w:rPr>
      </w:pPr>
      <w:r>
        <w:rPr>
          <w:sz w:val="24"/>
          <w:szCs w:val="24"/>
          <w:color w:val="00338D"/>
          <w:spacing w:val="5"/>
        </w:rPr>
        <w:t>•</w:t>
      </w:r>
      <w:r>
        <w:rPr>
          <w:sz w:val="24"/>
          <w:szCs w:val="24"/>
          <w:color w:val="00338D"/>
          <w:spacing w:val="32"/>
        </w:rPr>
        <w:t xml:space="preserve">  </w:t>
      </w:r>
      <w:r>
        <w:rPr>
          <w:rFonts w:ascii="Microsoft YaHei" w:hAnsi="Microsoft YaHei" w:eastAsia="Microsoft YaHei" w:cs="Microsoft YaHei"/>
          <w:sz w:val="24"/>
          <w:szCs w:val="24"/>
          <w:b/>
          <w:bCs/>
          <w:color w:val="00338D"/>
          <w:spacing w:val="5"/>
        </w:rPr>
        <w:t>下游市场竞争格局对储能企业核心竞争力提出不同要求。</w:t>
      </w:r>
      <w:r>
        <w:rPr>
          <w:rFonts w:ascii="Microsoft YaHei" w:hAnsi="Microsoft YaHei" w:eastAsia="Microsoft YaHei" w:cs="Microsoft YaHei"/>
          <w:spacing w:val="5"/>
        </w:rPr>
        <w:t>对于中国储能企</w:t>
      </w:r>
      <w:r>
        <w:rPr>
          <w:rFonts w:ascii="Microsoft YaHei" w:hAnsi="Microsoft YaHei" w:eastAsia="Microsoft YaHei" w:cs="Microsoft YaHei"/>
        </w:rPr>
        <w:t xml:space="preserve">    </w:t>
      </w:r>
      <w:r>
        <w:rPr>
          <w:rFonts w:ascii="Microsoft YaHei" w:hAnsi="Microsoft YaHei" w:eastAsia="Microsoft YaHei" w:cs="Microsoft YaHei"/>
          <w:spacing w:val="-1"/>
        </w:rPr>
        <w:t>业而言，户储市场目前主要在海外，且集中于to</w:t>
      </w:r>
      <w:r>
        <w:rPr>
          <w:rFonts w:ascii="Microsoft YaHei" w:hAnsi="Microsoft YaHei" w:eastAsia="Microsoft YaHei" w:cs="Microsoft YaHei"/>
          <w:spacing w:val="43"/>
          <w:w w:val="101"/>
        </w:rPr>
        <w:t xml:space="preserve"> </w:t>
      </w:r>
      <w:r>
        <w:rPr>
          <w:rFonts w:ascii="Microsoft YaHei" w:hAnsi="Microsoft YaHei" w:eastAsia="Microsoft YaHei" w:cs="Microsoft YaHei"/>
          <w:spacing w:val="-1"/>
        </w:rPr>
        <w:t>C</w:t>
      </w:r>
      <w:r>
        <w:rPr>
          <w:rFonts w:ascii="Microsoft YaHei" w:hAnsi="Microsoft YaHei" w:eastAsia="Microsoft YaHei" w:cs="Microsoft YaHei"/>
          <w:spacing w:val="38"/>
          <w:w w:val="101"/>
        </w:rPr>
        <w:t xml:space="preserve"> </w:t>
      </w:r>
      <w:r>
        <w:rPr>
          <w:rFonts w:ascii="Microsoft YaHei" w:hAnsi="Microsoft YaHei" w:eastAsia="Microsoft YaHei" w:cs="Microsoft YaHei"/>
          <w:spacing w:val="-1"/>
        </w:rPr>
        <w:t>端面向大众消费者，业务拓展更</w:t>
      </w:r>
      <w:r>
        <w:rPr>
          <w:rFonts w:ascii="Microsoft YaHei" w:hAnsi="Microsoft YaHei" w:eastAsia="Microsoft YaHei" w:cs="Microsoft YaHei"/>
        </w:rPr>
        <w:t xml:space="preserve">    </w:t>
      </w:r>
      <w:r>
        <w:rPr>
          <w:rFonts w:ascii="Microsoft YaHei" w:hAnsi="Microsoft YaHei" w:eastAsia="Microsoft YaHei" w:cs="Microsoft YaHei"/>
          <w:spacing w:val="2"/>
        </w:rPr>
        <w:t>多依靠渠道和品牌推广，企业是否具备本地化能力是其能否进一步发展的重</w:t>
      </w:r>
      <w:r>
        <w:rPr>
          <w:rFonts w:ascii="Microsoft YaHei" w:hAnsi="Microsoft YaHei" w:eastAsia="Microsoft YaHei" w:cs="Microsoft YaHei"/>
          <w:spacing w:val="1"/>
        </w:rPr>
        <w:t>要因素。</w:t>
      </w:r>
      <w:r>
        <w:rPr>
          <w:rFonts w:ascii="Microsoft YaHei" w:hAnsi="Microsoft YaHei" w:eastAsia="Microsoft YaHei" w:cs="Microsoft YaHei"/>
        </w:rPr>
        <w:t xml:space="preserve"> </w:t>
      </w:r>
      <w:r>
        <w:rPr>
          <w:rFonts w:ascii="Microsoft YaHei" w:hAnsi="Microsoft YaHei" w:eastAsia="Microsoft YaHei" w:cs="Microsoft YaHei"/>
          <w:spacing w:val="1"/>
        </w:rPr>
        <w:t>而在电源侧/电网侧/工商业储能端，集中于</w:t>
      </w:r>
      <w:r>
        <w:rPr>
          <w:rFonts w:ascii="Microsoft YaHei" w:hAnsi="Microsoft YaHei" w:eastAsia="Microsoft YaHei" w:cs="Microsoft YaHei"/>
        </w:rPr>
        <w:t>to</w:t>
      </w:r>
      <w:r>
        <w:rPr>
          <w:rFonts w:ascii="Microsoft YaHei" w:hAnsi="Microsoft YaHei" w:eastAsia="Microsoft YaHei" w:cs="Microsoft YaHei"/>
          <w:spacing w:val="1"/>
        </w:rPr>
        <w:t xml:space="preserve">  </w:t>
      </w:r>
      <w:r>
        <w:rPr>
          <w:rFonts w:ascii="Microsoft YaHei" w:hAnsi="Microsoft YaHei" w:eastAsia="Microsoft YaHei" w:cs="Microsoft YaHei"/>
        </w:rPr>
        <w:t>B</w:t>
      </w:r>
      <w:r>
        <w:rPr>
          <w:rFonts w:ascii="Microsoft YaHei" w:hAnsi="Microsoft YaHei" w:eastAsia="Microsoft YaHei" w:cs="Microsoft YaHei"/>
          <w:spacing w:val="1"/>
        </w:rPr>
        <w:t>面向企业，</w:t>
      </w:r>
      <w:r>
        <w:rPr>
          <w:rFonts w:ascii="Microsoft YaHei" w:hAnsi="Microsoft YaHei" w:eastAsia="Microsoft YaHei" w:cs="Microsoft YaHei"/>
          <w:spacing w:val="-38"/>
        </w:rPr>
        <w:t xml:space="preserve"> </w:t>
      </w:r>
      <w:r>
        <w:rPr>
          <w:rFonts w:ascii="Microsoft YaHei" w:hAnsi="Microsoft YaHei" w:eastAsia="Microsoft YaHei" w:cs="Microsoft YaHei"/>
          <w:spacing w:val="1"/>
        </w:rPr>
        <w:t>且目</w:t>
      </w:r>
      <w:r>
        <w:rPr>
          <w:rFonts w:ascii="Microsoft YaHei" w:hAnsi="Microsoft YaHei" w:eastAsia="Microsoft YaHei" w:cs="Microsoft YaHei"/>
        </w:rPr>
        <w:t>前主要市场在国内， </w:t>
      </w:r>
      <w:r>
        <w:rPr>
          <w:rFonts w:ascii="Microsoft YaHei" w:hAnsi="Microsoft YaHei" w:eastAsia="Microsoft YaHei" w:cs="Microsoft YaHei"/>
          <w:spacing w:val="-1"/>
        </w:rPr>
        <w:t>因此储能企业的资源渠道以及对系统安全和成本的把控是其发展的关键因素。</w:t>
      </w:r>
    </w:p>
    <w:p>
      <w:pPr>
        <w:pStyle w:val="BodyText"/>
        <w:ind w:left="1577" w:right="2997" w:hanging="262"/>
        <w:spacing w:before="331" w:line="213" w:lineRule="auto"/>
        <w:rPr>
          <w:rFonts w:ascii="Microsoft YaHei" w:hAnsi="Microsoft YaHei" w:eastAsia="Microsoft YaHei" w:cs="Microsoft YaHei"/>
        </w:rPr>
      </w:pPr>
      <w:r>
        <w:rPr>
          <w:sz w:val="24"/>
          <w:szCs w:val="24"/>
          <w:color w:val="00338D"/>
          <w:spacing w:val="2"/>
        </w:rPr>
        <w:t>•</w:t>
      </w:r>
      <w:r>
        <w:rPr>
          <w:sz w:val="24"/>
          <w:szCs w:val="24"/>
          <w:color w:val="00338D"/>
          <w:spacing w:val="36"/>
          <w:w w:val="101"/>
        </w:rPr>
        <w:t xml:space="preserve">  </w:t>
      </w:r>
      <w:r>
        <w:rPr>
          <w:rFonts w:ascii="Microsoft YaHei" w:hAnsi="Microsoft YaHei" w:eastAsia="Microsoft YaHei" w:cs="Microsoft YaHei"/>
          <w:sz w:val="24"/>
          <w:szCs w:val="24"/>
          <w:b/>
          <w:bCs/>
          <w:color w:val="00338D"/>
          <w:spacing w:val="2"/>
        </w:rPr>
        <w:t>收益模式单一引发低价竞争</w:t>
      </w:r>
      <w:r>
        <w:rPr>
          <w:rFonts w:ascii="Microsoft YaHei" w:hAnsi="Microsoft YaHei" w:eastAsia="Microsoft YaHei" w:cs="Microsoft YaHei"/>
          <w:sz w:val="24"/>
          <w:szCs w:val="24"/>
          <w:b/>
          <w:bCs/>
          <w:color w:val="00338D"/>
          <w:spacing w:val="-28"/>
        </w:rPr>
        <w:t xml:space="preserve"> </w:t>
      </w:r>
      <w:r>
        <w:rPr>
          <w:rFonts w:ascii="Microsoft YaHei" w:hAnsi="Microsoft YaHei" w:eastAsia="Microsoft YaHei" w:cs="Microsoft YaHei"/>
          <w:sz w:val="24"/>
          <w:szCs w:val="24"/>
          <w:b/>
          <w:bCs/>
          <w:color w:val="00338D"/>
          <w:spacing w:val="2"/>
        </w:rPr>
        <w:t>，安全性和可持续发展值得关注。</w:t>
      </w:r>
      <w:r>
        <w:rPr>
          <w:rFonts w:ascii="Microsoft YaHei" w:hAnsi="Microsoft YaHei" w:eastAsia="Microsoft YaHei" w:cs="Microsoft YaHei"/>
          <w:spacing w:val="2"/>
        </w:rPr>
        <w:t>新型储能发</w:t>
      </w:r>
      <w:r>
        <w:rPr>
          <w:rFonts w:ascii="Microsoft YaHei" w:hAnsi="Microsoft YaHei" w:eastAsia="Microsoft YaHei" w:cs="Microsoft YaHei"/>
        </w:rPr>
        <w:t xml:space="preserve"> </w:t>
      </w:r>
      <w:r>
        <w:rPr>
          <w:rFonts w:ascii="Microsoft YaHei" w:hAnsi="Microsoft YaHei" w:eastAsia="Microsoft YaHei" w:cs="Microsoft YaHei"/>
          <w:spacing w:val="2"/>
        </w:rPr>
        <w:t>展驱动力主要来自政策端，即发电侧强制配储，</w:t>
      </w:r>
      <w:r>
        <w:rPr>
          <w:rFonts w:ascii="Microsoft YaHei" w:hAnsi="Microsoft YaHei" w:eastAsia="Microsoft YaHei" w:cs="Microsoft YaHei"/>
          <w:spacing w:val="-41"/>
        </w:rPr>
        <w:t xml:space="preserve"> </w:t>
      </w:r>
      <w:r>
        <w:rPr>
          <w:rFonts w:ascii="Microsoft YaHei" w:hAnsi="Microsoft YaHei" w:eastAsia="Microsoft YaHei" w:cs="Microsoft YaHei"/>
          <w:spacing w:val="2"/>
        </w:rPr>
        <w:t>在储能成本主要由发电侧承担、储</w:t>
      </w:r>
      <w:r>
        <w:rPr>
          <w:rFonts w:ascii="Microsoft YaHei" w:hAnsi="Microsoft YaHei" w:eastAsia="Microsoft YaHei" w:cs="Microsoft YaHei"/>
        </w:rPr>
        <w:t xml:space="preserve"> </w:t>
      </w:r>
      <w:r>
        <w:rPr>
          <w:rFonts w:ascii="Microsoft YaHei" w:hAnsi="Microsoft YaHei" w:eastAsia="Microsoft YaHei" w:cs="Microsoft YaHei"/>
          <w:spacing w:val="2"/>
        </w:rPr>
        <w:t>能收益来源相对单一的情况下，发电企业出于经济性考虑，</w:t>
      </w:r>
      <w:r>
        <w:rPr>
          <w:rFonts w:ascii="Microsoft YaHei" w:hAnsi="Microsoft YaHei" w:eastAsia="Microsoft YaHei" w:cs="Microsoft YaHei"/>
          <w:spacing w:val="-31"/>
        </w:rPr>
        <w:t xml:space="preserve"> </w:t>
      </w:r>
      <w:r>
        <w:rPr>
          <w:rFonts w:ascii="Microsoft YaHei" w:hAnsi="Microsoft YaHei" w:eastAsia="Microsoft YaHei" w:cs="Microsoft YaHei"/>
          <w:spacing w:val="2"/>
        </w:rPr>
        <w:t>会更倾向于选择低成本</w:t>
      </w:r>
      <w:r>
        <w:rPr>
          <w:rFonts w:ascii="Microsoft YaHei" w:hAnsi="Microsoft YaHei" w:eastAsia="Microsoft YaHei" w:cs="Microsoft YaHei"/>
        </w:rPr>
        <w:t xml:space="preserve"> </w:t>
      </w:r>
      <w:r>
        <w:rPr>
          <w:rFonts w:ascii="Microsoft YaHei" w:hAnsi="Microsoft YaHei" w:eastAsia="Microsoft YaHei" w:cs="Microsoft YaHei"/>
          <w:spacing w:val="2"/>
        </w:rPr>
        <w:t>储能项目，相对忽视性能和安全问题，传导到储能供应方就会引发低价竞争问</w:t>
      </w:r>
      <w:r>
        <w:rPr>
          <w:rFonts w:ascii="Microsoft YaHei" w:hAnsi="Microsoft YaHei" w:eastAsia="Microsoft YaHei" w:cs="Microsoft YaHei"/>
          <w:spacing w:val="1"/>
        </w:rPr>
        <w:t>题。</w:t>
      </w:r>
      <w:r>
        <w:rPr>
          <w:rFonts w:ascii="Microsoft YaHei" w:hAnsi="Microsoft YaHei" w:eastAsia="Microsoft YaHei" w:cs="Microsoft YaHei"/>
        </w:rPr>
        <w:t xml:space="preserve"> </w:t>
      </w:r>
      <w:r>
        <w:rPr>
          <w:rFonts w:ascii="Microsoft YaHei" w:hAnsi="Microsoft YaHei" w:eastAsia="Microsoft YaHei" w:cs="Microsoft YaHei"/>
          <w:spacing w:val="7"/>
        </w:rPr>
        <w:t>根据毕马威咨询调研</w:t>
      </w:r>
      <w:r>
        <w:rPr>
          <w:rFonts w:ascii="Microsoft YaHei" w:hAnsi="Microsoft YaHei" w:eastAsia="Microsoft YaHei" w:cs="Microsoft YaHei"/>
          <w:spacing w:val="-24"/>
        </w:rPr>
        <w:t xml:space="preserve"> </w:t>
      </w:r>
      <w:r>
        <w:rPr>
          <w:rFonts w:ascii="Microsoft YaHei" w:hAnsi="Microsoft YaHei" w:eastAsia="Microsoft YaHei" w:cs="Microsoft YaHei"/>
          <w:spacing w:val="7"/>
        </w:rPr>
        <w:t>，</w:t>
      </w:r>
      <w:r>
        <w:rPr>
          <w:rFonts w:ascii="Microsoft YaHei" w:hAnsi="Microsoft YaHei" w:eastAsia="Microsoft YaHei" w:cs="Microsoft YaHei"/>
          <w:spacing w:val="-32"/>
        </w:rPr>
        <w:t xml:space="preserve"> </w:t>
      </w:r>
      <w:r>
        <w:rPr>
          <w:rFonts w:ascii="Microsoft YaHei" w:hAnsi="Microsoft YaHei" w:eastAsia="Microsoft YaHei" w:cs="Microsoft YaHei"/>
          <w:spacing w:val="7"/>
        </w:rPr>
        <w:t>当前新型储能产业链各环节企业典型毛利水平大多不超过</w:t>
      </w:r>
      <w:r>
        <w:rPr>
          <w:rFonts w:ascii="Microsoft YaHei" w:hAnsi="Microsoft YaHei" w:eastAsia="Microsoft YaHei" w:cs="Microsoft YaHei"/>
        </w:rPr>
        <w:t xml:space="preserve"> </w:t>
      </w:r>
      <w:r>
        <w:rPr>
          <w:rFonts w:ascii="Microsoft YaHei" w:hAnsi="Microsoft YaHei" w:eastAsia="Microsoft YaHei" w:cs="Microsoft YaHei"/>
          <w:spacing w:val="1"/>
        </w:rPr>
        <w:t>30%（电化学储能电池隔膜环节毛利率在50%左右</w:t>
      </w:r>
      <w:r>
        <w:rPr>
          <w:rFonts w:ascii="Microsoft YaHei" w:hAnsi="Microsoft YaHei" w:eastAsia="Microsoft YaHei" w:cs="Microsoft YaHei"/>
          <w:spacing w:val="8"/>
        </w:rPr>
        <w:t>），</w:t>
      </w:r>
      <w:r>
        <w:rPr>
          <w:rFonts w:ascii="Microsoft YaHei" w:hAnsi="Microsoft YaHei" w:eastAsia="Microsoft YaHei" w:cs="Microsoft YaHei"/>
          <w:spacing w:val="-32"/>
        </w:rPr>
        <w:t xml:space="preserve"> </w:t>
      </w:r>
      <w:r>
        <w:rPr>
          <w:rFonts w:ascii="Microsoft YaHei" w:hAnsi="Microsoft YaHei" w:eastAsia="Microsoft YaHei" w:cs="Microsoft YaHei"/>
          <w:spacing w:val="1"/>
        </w:rPr>
        <w:t>多家储能上市企业毛利率水</w:t>
      </w:r>
      <w:r>
        <w:rPr>
          <w:rFonts w:ascii="Microsoft YaHei" w:hAnsi="Microsoft YaHei" w:eastAsia="Microsoft YaHei" w:cs="Microsoft YaHei"/>
        </w:rPr>
        <w:t xml:space="preserve"> </w:t>
      </w:r>
      <w:r>
        <w:rPr>
          <w:rFonts w:ascii="Microsoft YaHei" w:hAnsi="Microsoft YaHei" w:eastAsia="Microsoft YaHei" w:cs="Microsoft YaHei"/>
          <w:spacing w:val="2"/>
        </w:rPr>
        <w:t>平也均出现了下降趋势。</w:t>
      </w:r>
      <w:r>
        <w:rPr>
          <w:rFonts w:ascii="Microsoft YaHei" w:hAnsi="Microsoft YaHei" w:eastAsia="Microsoft YaHei" w:cs="Microsoft YaHei"/>
          <w:spacing w:val="-36"/>
        </w:rPr>
        <w:t xml:space="preserve"> </w:t>
      </w:r>
      <w:r>
        <w:rPr>
          <w:rFonts w:ascii="Microsoft YaHei" w:hAnsi="Microsoft YaHei" w:eastAsia="Microsoft YaHei" w:cs="Microsoft YaHei"/>
          <w:spacing w:val="2"/>
        </w:rPr>
        <w:t>长此以往，</w:t>
      </w:r>
      <w:r>
        <w:rPr>
          <w:rFonts w:ascii="Microsoft YaHei" w:hAnsi="Microsoft YaHei" w:eastAsia="Microsoft YaHei" w:cs="Microsoft YaHei"/>
          <w:spacing w:val="-40"/>
        </w:rPr>
        <w:t xml:space="preserve"> </w:t>
      </w:r>
      <w:r>
        <w:rPr>
          <w:rFonts w:ascii="Microsoft YaHei" w:hAnsi="Microsoft YaHei" w:eastAsia="Microsoft YaHei" w:cs="Microsoft YaHei"/>
          <w:spacing w:val="2"/>
        </w:rPr>
        <w:t>整体市</w:t>
      </w:r>
      <w:r>
        <w:rPr>
          <w:rFonts w:ascii="Microsoft YaHei" w:hAnsi="Microsoft YaHei" w:eastAsia="Microsoft YaHei" w:cs="Microsoft YaHei"/>
          <w:spacing w:val="1"/>
        </w:rPr>
        <w:t>场将难以实现良性竞争出清，低成本低</w:t>
      </w:r>
      <w:r>
        <w:rPr>
          <w:rFonts w:ascii="Microsoft YaHei" w:hAnsi="Microsoft YaHei" w:eastAsia="Microsoft YaHei" w:cs="Microsoft YaHei"/>
        </w:rPr>
        <w:t xml:space="preserve"> </w:t>
      </w:r>
      <w:r>
        <w:rPr>
          <w:rFonts w:ascii="Microsoft YaHei" w:hAnsi="Microsoft YaHei" w:eastAsia="Microsoft YaHei" w:cs="Microsoft YaHei"/>
          <w:spacing w:val="2"/>
        </w:rPr>
        <w:t>性能建设模式也将给储能产业埋下安全隐患，破坏行业整体生态，</w:t>
      </w:r>
      <w:r>
        <w:rPr>
          <w:rFonts w:ascii="Microsoft YaHei" w:hAnsi="Microsoft YaHei" w:eastAsia="Microsoft YaHei" w:cs="Microsoft YaHei"/>
          <w:spacing w:val="-31"/>
        </w:rPr>
        <w:t xml:space="preserve"> </w:t>
      </w:r>
      <w:r>
        <w:rPr>
          <w:rFonts w:ascii="Microsoft YaHei" w:hAnsi="Microsoft YaHei" w:eastAsia="Microsoft YaHei" w:cs="Microsoft YaHei"/>
          <w:spacing w:val="2"/>
        </w:rPr>
        <w:t>甚至损害人民生</w:t>
      </w:r>
      <w:r>
        <w:rPr>
          <w:rFonts w:ascii="Microsoft YaHei" w:hAnsi="Microsoft YaHei" w:eastAsia="Microsoft YaHei" w:cs="Microsoft YaHei"/>
        </w:rPr>
        <w:t xml:space="preserve"> </w:t>
      </w:r>
      <w:r>
        <w:rPr>
          <w:rFonts w:ascii="Microsoft YaHei" w:hAnsi="Microsoft YaHei" w:eastAsia="Microsoft YaHei" w:cs="Microsoft YaHei"/>
          <w:spacing w:val="-5"/>
        </w:rPr>
        <w:t>命财产安全。</w:t>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ind w:left="1805" w:right="1241" w:hanging="411"/>
        <w:spacing w:before="47"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F1F1F1"/>
          <w:spacing w:val="-1"/>
        </w:rPr>
        <w:t>© 2023</w:t>
      </w:r>
      <w:r>
        <w:rPr>
          <w:rFonts w:ascii="Microsoft YaHei" w:hAnsi="Microsoft YaHei" w:eastAsia="Microsoft YaHei" w:cs="Microsoft YaHei"/>
          <w:sz w:val="11"/>
          <w:szCs w:val="11"/>
          <w:color w:val="F1F1F1"/>
          <w:spacing w:val="-6"/>
        </w:rPr>
        <w:t xml:space="preserve"> </w:t>
      </w:r>
      <w:r>
        <w:rPr>
          <w:rFonts w:ascii="Microsoft YaHei" w:hAnsi="Microsoft YaHei" w:eastAsia="Microsoft YaHei" w:cs="Microsoft YaHei"/>
          <w:sz w:val="11"/>
          <w:szCs w:val="11"/>
          <w:color w:val="F1F1F1"/>
          <w:spacing w:val="-1"/>
        </w:rPr>
        <w:t>毕马威华振会计师事务所(特殊普通合伙)</w:t>
      </w:r>
      <w:r>
        <w:rPr>
          <w:rFonts w:ascii="Microsoft YaHei" w:hAnsi="Microsoft YaHei" w:eastAsia="Microsoft YaHei" w:cs="Microsoft YaHei"/>
          <w:sz w:val="11"/>
          <w:szCs w:val="11"/>
          <w:color w:val="F1F1F1"/>
          <w:spacing w:val="-12"/>
        </w:rPr>
        <w:t xml:space="preserve"> </w:t>
      </w:r>
      <w:r>
        <w:rPr>
          <w:rFonts w:ascii="Microsoft YaHei" w:hAnsi="Microsoft YaHei" w:eastAsia="Microsoft YaHei" w:cs="Microsoft YaHei"/>
          <w:sz w:val="11"/>
          <w:szCs w:val="11"/>
          <w:color w:val="F1F1F1"/>
          <w:spacing w:val="-1"/>
        </w:rPr>
        <w:t>— 中国合伙制会计师事务所，毕马威企业咨询</w:t>
      </w:r>
      <w:r>
        <w:rPr>
          <w:rFonts w:ascii="Microsoft YaHei" w:hAnsi="Microsoft YaHei" w:eastAsia="Microsoft YaHei" w:cs="Microsoft YaHei"/>
          <w:sz w:val="11"/>
          <w:szCs w:val="11"/>
          <w:color w:val="F1F1F1"/>
          <w:spacing w:val="-8"/>
        </w:rPr>
        <w:t xml:space="preserve"> </w:t>
      </w:r>
      <w:r>
        <w:rPr>
          <w:rFonts w:ascii="Microsoft YaHei" w:hAnsi="Microsoft YaHei" w:eastAsia="Microsoft YaHei" w:cs="Microsoft YaHei"/>
          <w:sz w:val="11"/>
          <w:szCs w:val="11"/>
          <w:color w:val="F1F1F1"/>
          <w:spacing w:val="-1"/>
        </w:rPr>
        <w:t>(中国)有限公司 — 中国有限责任公司，毕马威会计师事务所</w:t>
      </w:r>
      <w:r>
        <w:rPr>
          <w:rFonts w:ascii="Microsoft YaHei" w:hAnsi="Microsoft YaHei" w:eastAsia="Microsoft YaHei" w:cs="Microsoft YaHei"/>
          <w:sz w:val="11"/>
          <w:szCs w:val="11"/>
          <w:color w:val="F1F1F1"/>
          <w:spacing w:val="-8"/>
        </w:rPr>
        <w:t xml:space="preserve"> </w:t>
      </w:r>
      <w:r>
        <w:rPr>
          <w:rFonts w:ascii="Microsoft YaHei" w:hAnsi="Microsoft YaHei" w:eastAsia="Microsoft YaHei" w:cs="Microsoft YaHei"/>
          <w:sz w:val="11"/>
          <w:szCs w:val="11"/>
          <w:color w:val="F1F1F1"/>
          <w:spacing w:val="-1"/>
        </w:rPr>
        <w:t>— 澳门特别行政区合伙制事务所，</w:t>
      </w:r>
      <w:r>
        <w:rPr>
          <w:rFonts w:ascii="Microsoft YaHei" w:hAnsi="Microsoft YaHei" w:eastAsia="Microsoft YaHei" w:cs="Microsoft YaHei"/>
          <w:sz w:val="11"/>
          <w:szCs w:val="11"/>
          <w:color w:val="F1F1F1"/>
          <w:spacing w:val="-2"/>
        </w:rPr>
        <w:t>及毕马威</w:t>
      </w:r>
      <w:r>
        <w:rPr>
          <w:rFonts w:ascii="Microsoft YaHei" w:hAnsi="Microsoft YaHei" w:eastAsia="Microsoft YaHei" w:cs="Microsoft YaHei"/>
          <w:sz w:val="11"/>
          <w:szCs w:val="11"/>
          <w:color w:val="F1F1F1"/>
        </w:rPr>
        <w:t xml:space="preserve"> </w:t>
      </w:r>
      <w:r>
        <w:rPr>
          <w:rFonts w:ascii="Microsoft YaHei" w:hAnsi="Microsoft YaHei" w:eastAsia="Microsoft YaHei" w:cs="Microsoft YaHei"/>
          <w:sz w:val="11"/>
          <w:szCs w:val="11"/>
          <w:color w:val="F1F1F1"/>
        </w:rPr>
        <w:t>会计师事务所 —</w:t>
      </w:r>
      <w:r>
        <w:rPr>
          <w:rFonts w:ascii="Microsoft YaHei" w:hAnsi="Microsoft YaHei" w:eastAsia="Microsoft YaHei" w:cs="Microsoft YaHei"/>
          <w:sz w:val="11"/>
          <w:szCs w:val="11"/>
          <w:color w:val="F1F1F1"/>
          <w:spacing w:val="-6"/>
        </w:rPr>
        <w:t xml:space="preserve"> </w:t>
      </w:r>
      <w:r>
        <w:rPr>
          <w:rFonts w:ascii="Microsoft YaHei" w:hAnsi="Microsoft YaHei" w:eastAsia="Microsoft YaHei" w:cs="Microsoft YaHei"/>
          <w:sz w:val="11"/>
          <w:szCs w:val="11"/>
          <w:color w:val="F1F1F1"/>
        </w:rPr>
        <w:t>香港特别行政区合伙制事务所，</w:t>
      </w:r>
      <w:r>
        <w:rPr>
          <w:rFonts w:ascii="Microsoft YaHei" w:hAnsi="Microsoft YaHei" w:eastAsia="Microsoft YaHei" w:cs="Microsoft YaHei"/>
          <w:sz w:val="11"/>
          <w:szCs w:val="11"/>
          <w:color w:val="F1F1F1"/>
          <w:spacing w:val="-1"/>
        </w:rPr>
        <w:t>均是与英国私营担保有限公司</w:t>
      </w:r>
      <w:r>
        <w:rPr>
          <w:rFonts w:ascii="Microsoft YaHei" w:hAnsi="Microsoft YaHei" w:eastAsia="Microsoft YaHei" w:cs="Microsoft YaHei"/>
          <w:sz w:val="11"/>
          <w:szCs w:val="11"/>
          <w:color w:val="F1F1F1"/>
          <w:spacing w:val="-13"/>
        </w:rPr>
        <w:t xml:space="preserve"> </w:t>
      </w:r>
      <w:r>
        <w:rPr>
          <w:rFonts w:ascii="Microsoft YaHei" w:hAnsi="Microsoft YaHei" w:eastAsia="Microsoft YaHei" w:cs="Microsoft YaHei"/>
          <w:sz w:val="11"/>
          <w:szCs w:val="11"/>
          <w:color w:val="F1F1F1"/>
          <w:spacing w:val="-1"/>
        </w:rPr>
        <w:t>— 毕马威国际有限公司相关联的独立成员所全球性组织中的成员。版权所有，不得转载。在中国印刷。</w:t>
      </w:r>
    </w:p>
    <w:p>
      <w:pPr>
        <w:spacing w:line="172" w:lineRule="auto"/>
        <w:sectPr>
          <w:pgSz w:w="12245" w:h="17180"/>
          <w:pgMar w:top="400" w:right="0" w:bottom="0" w:left="0" w:header="0" w:footer="0" w:gutter="0"/>
        </w:sectPr>
        <w:rPr>
          <w:rFonts w:ascii="Microsoft YaHei" w:hAnsi="Microsoft YaHei" w:eastAsia="Microsoft YaHei" w:cs="Microsoft YaHei"/>
          <w:sz w:val="11"/>
          <w:szCs w:val="11"/>
        </w:rPr>
      </w:pPr>
    </w:p>
    <w:p>
      <w:pPr>
        <w:pStyle w:val="BodyText"/>
        <w:spacing w:line="243" w:lineRule="auto"/>
        <w:rPr/>
      </w:pPr>
      <w:r>
        <mc:AlternateContent xmlns:mc="http://schemas.openxmlformats.org/markup-compatibility/2006">
          <mc:Choice Requires="wps">
            <w:drawing>
              <wp:anchor distT="0" distB="0" distL="0" distR="0" simplePos="0" relativeHeight="251715584" behindDoc="1" locked="0" layoutInCell="0" allowOverlap="1">
                <wp:simplePos x="0" y="0"/>
                <wp:positionH relativeFrom="page">
                  <wp:posOffset>7772272</wp:posOffset>
                </wp:positionH>
                <wp:positionV relativeFrom="page">
                  <wp:posOffset>0</wp:posOffset>
                </wp:positionV>
                <wp:extent cx="3175" cy="10909300"/>
                <wp:effectExtent l="0" t="0" r="0" b="0"/>
                <wp:wrapNone/>
                <wp:docPr id="94" name="Rect 94"/>
                <wp:cNvGraphicFramePr/>
                <a:graphic>
                  <a:graphicData uri="http://schemas.microsoft.com/office/word/2010/wordprocessingShape">
                    <wps:wsp>
                      <wps:cNvPr id="94" name="Rect 94"/>
                      <wps:cNvSpPr/>
                      <wps:spPr>
                        <a:xfrm>
                          <a:off x="7772272" y="0"/>
                          <a:ext cx="3175" cy="109093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78" style="position:absolute;margin-left:611.99pt;margin-top:0pt;mso-position-vertical-relative:page;mso-position-horizontal-relative:page;width:0.25pt;height:859pt;z-index:-251600896;" o:allowincell="f" fillcolor="#000000" filled="true" stroked="false"/>
            </w:pict>
          </mc:Fallback>
        </mc:AlternateContent>
      </w:r>
      <w:r/>
    </w:p>
    <w:p>
      <w:pPr>
        <w:ind w:left="8975"/>
        <w:spacing w:before="77" w:line="178" w:lineRule="auto"/>
        <w:rPr>
          <w:rFonts w:ascii="Microsoft YaHei" w:hAnsi="Microsoft YaHei" w:eastAsia="Microsoft YaHei" w:cs="Microsoft YaHei"/>
          <w:sz w:val="18"/>
          <w:szCs w:val="18"/>
        </w:rPr>
      </w:pPr>
      <w:r>
        <w:drawing>
          <wp:anchor distT="0" distB="0" distL="0" distR="0" simplePos="0" relativeHeight="251716608" behindDoc="1" locked="0" layoutInCell="1" allowOverlap="1">
            <wp:simplePos x="0" y="0"/>
            <wp:positionH relativeFrom="column">
              <wp:posOffset>0</wp:posOffset>
            </wp:positionH>
            <wp:positionV relativeFrom="paragraph">
              <wp:posOffset>-409446</wp:posOffset>
            </wp:positionV>
            <wp:extent cx="7775447" cy="10908789"/>
            <wp:effectExtent l="0" t="0" r="0" b="0"/>
            <wp:wrapNone/>
            <wp:docPr id="96" name="IM 96"/>
            <wp:cNvGraphicFramePr/>
            <a:graphic>
              <a:graphicData uri="http://schemas.openxmlformats.org/drawingml/2006/picture">
                <pic:pic>
                  <pic:nvPicPr>
                    <pic:cNvPr id="96" name="IM 96"/>
                    <pic:cNvPicPr/>
                  </pic:nvPicPr>
                  <pic:blipFill>
                    <a:blip r:embed="rId37"/>
                    <a:stretch>
                      <a:fillRect/>
                    </a:stretch>
                  </pic:blipFill>
                  <pic:spPr>
                    <a:xfrm rot="0">
                      <a:off x="0" y="0"/>
                      <a:ext cx="7775447" cy="10908789"/>
                    </a:xfrm>
                    <a:prstGeom prst="rect">
                      <a:avLst/>
                    </a:prstGeom>
                  </pic:spPr>
                </pic:pic>
              </a:graphicData>
            </a:graphic>
          </wp:anchor>
        </w:drawing>
      </w:r>
      <w:r>
        <w:rPr>
          <w:rFonts w:ascii="Microsoft YaHei" w:hAnsi="Microsoft YaHei" w:eastAsia="Microsoft YaHei" w:cs="Microsoft YaHei"/>
          <w:sz w:val="18"/>
          <w:szCs w:val="18"/>
          <w:color w:val="A8A8A8"/>
          <w:spacing w:val="-1"/>
        </w:rPr>
        <w:t>新型储能助力能源转型</w:t>
      </w:r>
      <w:r>
        <w:rPr>
          <w:rFonts w:ascii="Microsoft YaHei" w:hAnsi="Microsoft YaHei" w:eastAsia="Microsoft YaHei" w:cs="Microsoft YaHei"/>
          <w:sz w:val="18"/>
          <w:szCs w:val="18"/>
          <w:color w:val="A8A8A8"/>
          <w:spacing w:val="9"/>
        </w:rPr>
        <w:t xml:space="preserve">     </w:t>
      </w:r>
      <w:r>
        <w:rPr>
          <w:rFonts w:ascii="Microsoft YaHei" w:hAnsi="Microsoft YaHei" w:eastAsia="Microsoft YaHei" w:cs="Microsoft YaHei"/>
          <w:sz w:val="18"/>
          <w:szCs w:val="18"/>
          <w:b/>
          <w:bCs/>
          <w:color w:val="A8A8A8"/>
          <w:spacing w:val="-1"/>
        </w:rPr>
        <w:t>10</w:t>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ind w:left="1315"/>
        <w:spacing w:before="103" w:line="186" w:lineRule="auto"/>
        <w:outlineLvl w:val="0"/>
        <w:rPr>
          <w:rFonts w:ascii="Microsoft YaHei" w:hAnsi="Microsoft YaHei" w:eastAsia="Microsoft YaHei" w:cs="Microsoft YaHei"/>
        </w:rPr>
      </w:pPr>
      <w:r>
        <w:rPr>
          <w:sz w:val="24"/>
          <w:szCs w:val="24"/>
          <w:color w:val="00338D"/>
          <w:spacing w:val="1"/>
        </w:rPr>
        <w:t>•</w:t>
      </w:r>
      <w:r>
        <w:rPr>
          <w:sz w:val="24"/>
          <w:szCs w:val="24"/>
          <w:color w:val="00338D"/>
          <w:spacing w:val="29"/>
        </w:rPr>
        <w:t xml:space="preserve">  </w:t>
      </w:r>
      <w:r>
        <w:rPr>
          <w:rFonts w:ascii="Microsoft YaHei" w:hAnsi="Microsoft YaHei" w:eastAsia="Microsoft YaHei" w:cs="Microsoft YaHei"/>
          <w:sz w:val="24"/>
          <w:szCs w:val="24"/>
          <w:b/>
          <w:bCs/>
          <w:color w:val="00338D"/>
          <w:spacing w:val="1"/>
        </w:rPr>
        <w:t>独立储能电站长期前景向好</w:t>
      </w:r>
      <w:r>
        <w:rPr>
          <w:rFonts w:ascii="Microsoft YaHei" w:hAnsi="Microsoft YaHei" w:eastAsia="Microsoft YaHei" w:cs="Microsoft YaHei"/>
          <w:sz w:val="24"/>
          <w:szCs w:val="24"/>
          <w:b/>
          <w:bCs/>
          <w:color w:val="00338D"/>
          <w:spacing w:val="-32"/>
        </w:rPr>
        <w:t xml:space="preserve"> </w:t>
      </w:r>
      <w:r>
        <w:rPr>
          <w:rFonts w:ascii="Microsoft YaHei" w:hAnsi="Microsoft YaHei" w:eastAsia="Microsoft YaHei" w:cs="Microsoft YaHei"/>
          <w:sz w:val="24"/>
          <w:szCs w:val="24"/>
          <w:b/>
          <w:bCs/>
          <w:color w:val="00338D"/>
          <w:spacing w:val="1"/>
        </w:rPr>
        <w:t>，但短期内项目落地经济性不清晰。</w:t>
      </w:r>
      <w:r>
        <w:rPr>
          <w:rFonts w:ascii="Microsoft YaHei" w:hAnsi="Microsoft YaHei" w:eastAsia="Microsoft YaHei" w:cs="Microsoft YaHei"/>
          <w:sz w:val="24"/>
          <w:szCs w:val="24"/>
          <w:b/>
          <w:bCs/>
          <w:color w:val="00338D"/>
          <w:spacing w:val="-49"/>
        </w:rPr>
        <w:t xml:space="preserve"> </w:t>
      </w:r>
      <w:r>
        <w:rPr>
          <w:rFonts w:ascii="Microsoft YaHei" w:hAnsi="Microsoft YaHei" w:eastAsia="Microsoft YaHei" w:cs="Microsoft YaHei"/>
          <w:spacing w:val="1"/>
        </w:rPr>
        <w:t>随着政策</w:t>
      </w:r>
    </w:p>
    <w:p>
      <w:pPr>
        <w:ind w:left="1577" w:right="2997" w:firstLine="4"/>
        <w:spacing w:before="50" w:line="217" w:lineRule="auto"/>
        <w:jc w:val="both"/>
        <w:rPr>
          <w:rFonts w:ascii="Microsoft YaHei" w:hAnsi="Microsoft YaHei" w:eastAsia="Microsoft YaHei" w:cs="Microsoft YaHei"/>
          <w:sz w:val="21"/>
          <w:szCs w:val="21"/>
        </w:rPr>
      </w:pPr>
      <w:r>
        <w:drawing>
          <wp:anchor distT="0" distB="0" distL="0" distR="0" simplePos="0" relativeHeight="251717632" behindDoc="0" locked="0" layoutInCell="1" allowOverlap="1">
            <wp:simplePos x="0" y="0"/>
            <wp:positionH relativeFrom="column">
              <wp:posOffset>6180260</wp:posOffset>
            </wp:positionH>
            <wp:positionV relativeFrom="paragraph">
              <wp:posOffset>939069</wp:posOffset>
            </wp:positionV>
            <wp:extent cx="1582527" cy="2023939"/>
            <wp:effectExtent l="0" t="0" r="0" b="0"/>
            <wp:wrapNone/>
            <wp:docPr id="98" name="IM 98"/>
            <wp:cNvGraphicFramePr/>
            <a:graphic>
              <a:graphicData uri="http://schemas.openxmlformats.org/drawingml/2006/picture">
                <pic:pic>
                  <pic:nvPicPr>
                    <pic:cNvPr id="98" name="IM 98"/>
                    <pic:cNvPicPr/>
                  </pic:nvPicPr>
                  <pic:blipFill>
                    <a:blip r:embed="rId38"/>
                    <a:stretch>
                      <a:fillRect/>
                    </a:stretch>
                  </pic:blipFill>
                  <pic:spPr>
                    <a:xfrm rot="0">
                      <a:off x="0" y="0"/>
                      <a:ext cx="1582527" cy="2023939"/>
                    </a:xfrm>
                    <a:prstGeom prst="rect">
                      <a:avLst/>
                    </a:prstGeom>
                  </pic:spPr>
                </pic:pic>
              </a:graphicData>
            </a:graphic>
          </wp:anchor>
        </w:drawing>
      </w:r>
      <w:r>
        <w:rPr>
          <w:rFonts w:ascii="Microsoft YaHei" w:hAnsi="Microsoft YaHei" w:eastAsia="Microsoft YaHei" w:cs="Microsoft YaHei"/>
          <w:sz w:val="21"/>
          <w:szCs w:val="21"/>
          <w:spacing w:val="3"/>
        </w:rPr>
        <w:t>不断推动独立储能项目参与电力市场交易，独立储能电站是推</w:t>
      </w:r>
      <w:r>
        <w:rPr>
          <w:rFonts w:ascii="Microsoft YaHei" w:hAnsi="Microsoft YaHei" w:eastAsia="Microsoft YaHei" w:cs="Microsoft YaHei"/>
          <w:sz w:val="21"/>
          <w:szCs w:val="21"/>
          <w:spacing w:val="2"/>
        </w:rPr>
        <w:t>动中国新型储能规模</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化应用的重要力量，未来发展空间广阔。根据CNESA数据，2022年上半年中国独立</w:t>
      </w:r>
      <w:r>
        <w:rPr>
          <w:rFonts w:ascii="Microsoft YaHei" w:hAnsi="Microsoft YaHei" w:eastAsia="Microsoft YaHei" w:cs="Microsoft YaHei"/>
          <w:sz w:val="21"/>
          <w:szCs w:val="21"/>
          <w:spacing w:val="5"/>
        </w:rPr>
        <w:t xml:space="preserve"> </w:t>
      </w:r>
      <w:r>
        <w:rPr>
          <w:rFonts w:ascii="Microsoft YaHei" w:hAnsi="Microsoft YaHei" w:eastAsia="Microsoft YaHei" w:cs="Microsoft YaHei"/>
          <w:sz w:val="21"/>
          <w:szCs w:val="21"/>
          <w:spacing w:val="4"/>
        </w:rPr>
        <w:t>储能电站的规划/在建规模为45.3</w:t>
      </w:r>
      <w:r>
        <w:rPr>
          <w:rFonts w:ascii="Microsoft YaHei" w:hAnsi="Microsoft YaHei" w:eastAsia="Microsoft YaHei" w:cs="Microsoft YaHei"/>
          <w:sz w:val="21"/>
          <w:szCs w:val="21"/>
        </w:rPr>
        <w:t>GW</w:t>
      </w:r>
      <w:r>
        <w:rPr>
          <w:rFonts w:ascii="Microsoft YaHei" w:hAnsi="Microsoft YaHei" w:eastAsia="Microsoft YaHei" w:cs="Microsoft YaHei"/>
          <w:sz w:val="21"/>
          <w:szCs w:val="21"/>
          <w:spacing w:val="-21"/>
        </w:rPr>
        <w:t xml:space="preserve"> </w:t>
      </w:r>
      <w:r>
        <w:rPr>
          <w:rFonts w:ascii="Microsoft YaHei" w:hAnsi="Microsoft YaHei" w:eastAsia="Microsoft YaHei" w:cs="Microsoft YaHei"/>
          <w:sz w:val="21"/>
          <w:szCs w:val="21"/>
          <w:spacing w:val="4"/>
        </w:rPr>
        <w:t>，在所有规划/在建新型储能项目中占比超过</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80%。但是，2022年前三季度中国独立储能电站的新增投运规模约为345.5MW，明</w:t>
      </w:r>
      <w:r>
        <w:rPr>
          <w:rFonts w:ascii="Microsoft YaHei" w:hAnsi="Microsoft YaHei" w:eastAsia="Microsoft YaHei" w:cs="Microsoft YaHei"/>
          <w:sz w:val="21"/>
          <w:szCs w:val="21"/>
          <w:spacing w:val="4"/>
        </w:rPr>
        <w:t xml:space="preserve"> </w:t>
      </w:r>
      <w:r>
        <w:rPr>
          <w:rFonts w:ascii="Microsoft YaHei" w:hAnsi="Microsoft YaHei" w:eastAsia="Microsoft YaHei" w:cs="Microsoft YaHei"/>
          <w:sz w:val="21"/>
          <w:szCs w:val="21"/>
        </w:rPr>
        <w:t>显低于规划/在建规模，主要原因可能是投资方建设动力不足，其在计算项目投资回</w:t>
      </w:r>
      <w:r>
        <w:rPr>
          <w:rFonts w:ascii="Microsoft YaHei" w:hAnsi="Microsoft YaHei" w:eastAsia="Microsoft YaHei" w:cs="Microsoft YaHei"/>
          <w:sz w:val="21"/>
          <w:szCs w:val="21"/>
          <w:spacing w:val="13"/>
        </w:rPr>
        <w:t xml:space="preserve"> </w:t>
      </w:r>
      <w:r>
        <w:rPr>
          <w:rFonts w:ascii="Microsoft YaHei" w:hAnsi="Microsoft YaHei" w:eastAsia="Microsoft YaHei" w:cs="Microsoft YaHei"/>
          <w:sz w:val="21"/>
          <w:szCs w:val="21"/>
          <w:spacing w:val="2"/>
        </w:rPr>
        <w:t>报率时，需要考虑多方面因素，例如辅助服务补偿费用、现货市场价差、</w:t>
      </w:r>
      <w:r>
        <w:rPr>
          <w:rFonts w:ascii="Microsoft YaHei" w:hAnsi="Microsoft YaHei" w:eastAsia="Microsoft YaHei" w:cs="Microsoft YaHei"/>
          <w:sz w:val="21"/>
          <w:szCs w:val="21"/>
          <w:spacing w:val="-31"/>
        </w:rPr>
        <w:t xml:space="preserve"> </w:t>
      </w:r>
      <w:r>
        <w:rPr>
          <w:rFonts w:ascii="Microsoft YaHei" w:hAnsi="Microsoft YaHei" w:eastAsia="Microsoft YaHei" w:cs="Microsoft YaHei"/>
          <w:sz w:val="21"/>
          <w:szCs w:val="21"/>
          <w:spacing w:val="2"/>
        </w:rPr>
        <w:t>新能源容</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量租赁费用、储能电站调用次数、有效利用时长等。而在中国当前的电</w:t>
      </w:r>
      <w:r>
        <w:rPr>
          <w:rFonts w:ascii="Microsoft YaHei" w:hAnsi="Microsoft YaHei" w:eastAsia="Microsoft YaHei" w:cs="Microsoft YaHei"/>
          <w:sz w:val="21"/>
          <w:szCs w:val="21"/>
          <w:spacing w:val="2"/>
        </w:rPr>
        <w:t>力市场机制</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下，这些考虑因素受政策和市场规则变动影响，</w:t>
      </w:r>
      <w:r>
        <w:rPr>
          <w:rFonts w:ascii="Microsoft YaHei" w:hAnsi="Microsoft YaHei" w:eastAsia="Microsoft YaHei" w:cs="Microsoft YaHei"/>
          <w:sz w:val="21"/>
          <w:szCs w:val="21"/>
          <w:spacing w:val="-31"/>
        </w:rPr>
        <w:t xml:space="preserve"> </w:t>
      </w:r>
      <w:r>
        <w:rPr>
          <w:rFonts w:ascii="Microsoft YaHei" w:hAnsi="Microsoft YaHei" w:eastAsia="Microsoft YaHei" w:cs="Microsoft YaHei"/>
          <w:sz w:val="21"/>
          <w:szCs w:val="21"/>
          <w:spacing w:val="2"/>
        </w:rPr>
        <w:t>波动较大且难以量化，由此造成投</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资方陷入“算不清-不敢投建-无法算”</w:t>
      </w:r>
      <w:r>
        <w:rPr>
          <w:rFonts w:ascii="Microsoft YaHei" w:hAnsi="Microsoft YaHei" w:eastAsia="Microsoft YaHei" w:cs="Microsoft YaHei"/>
          <w:sz w:val="21"/>
          <w:szCs w:val="21"/>
          <w:spacing w:val="-32"/>
        </w:rPr>
        <w:t xml:space="preserve"> </w:t>
      </w:r>
      <w:r>
        <w:rPr>
          <w:rFonts w:ascii="Microsoft YaHei" w:hAnsi="Microsoft YaHei" w:eastAsia="Microsoft YaHei" w:cs="Microsoft YaHei"/>
          <w:sz w:val="21"/>
          <w:szCs w:val="21"/>
          <w:spacing w:val="2"/>
        </w:rPr>
        <w:t>的困境</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，推动独立储能电站项目落地还需依</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靠电力市场机制进一步优化。</w:t>
      </w:r>
    </w:p>
    <w:p>
      <w:pPr>
        <w:pStyle w:val="BodyText"/>
        <w:ind w:left="1578" w:right="2823" w:hanging="263"/>
        <w:spacing w:before="283" w:line="217" w:lineRule="auto"/>
        <w:rPr>
          <w:rFonts w:ascii="Microsoft YaHei" w:hAnsi="Microsoft YaHei" w:eastAsia="Microsoft YaHei" w:cs="Microsoft YaHei"/>
        </w:rPr>
      </w:pPr>
      <w:r>
        <w:rPr>
          <w:sz w:val="24"/>
          <w:szCs w:val="24"/>
          <w:color w:val="00338D"/>
          <w:spacing w:val="4"/>
        </w:rPr>
        <w:t>•</w:t>
      </w:r>
      <w:r>
        <w:rPr>
          <w:sz w:val="24"/>
          <w:szCs w:val="24"/>
          <w:color w:val="00338D"/>
          <w:spacing w:val="30"/>
        </w:rPr>
        <w:t xml:space="preserve">  </w:t>
      </w:r>
      <w:r>
        <w:rPr>
          <w:rFonts w:ascii="Microsoft YaHei" w:hAnsi="Microsoft YaHei" w:eastAsia="Microsoft YaHei" w:cs="Microsoft YaHei"/>
          <w:sz w:val="24"/>
          <w:szCs w:val="24"/>
          <w:b/>
          <w:bCs/>
          <w:color w:val="00338D"/>
          <w:spacing w:val="4"/>
        </w:rPr>
        <w:t>资本热炒急需冷思考</w:t>
      </w:r>
      <w:r>
        <w:rPr>
          <w:rFonts w:ascii="Microsoft YaHei" w:hAnsi="Microsoft YaHei" w:eastAsia="Microsoft YaHei" w:cs="Microsoft YaHei"/>
          <w:sz w:val="24"/>
          <w:szCs w:val="24"/>
          <w:b/>
          <w:bCs/>
          <w:color w:val="00338D"/>
          <w:spacing w:val="-28"/>
        </w:rPr>
        <w:t xml:space="preserve"> </w:t>
      </w:r>
      <w:r>
        <w:rPr>
          <w:rFonts w:ascii="Microsoft YaHei" w:hAnsi="Microsoft YaHei" w:eastAsia="Microsoft YaHei" w:cs="Microsoft YaHei"/>
          <w:sz w:val="24"/>
          <w:szCs w:val="24"/>
          <w:b/>
          <w:bCs/>
          <w:color w:val="00338D"/>
          <w:spacing w:val="4"/>
        </w:rPr>
        <w:t>，需仔细甄别优质储能赛道和标的。</w:t>
      </w:r>
      <w:r>
        <w:rPr>
          <w:rFonts w:ascii="Microsoft YaHei" w:hAnsi="Microsoft YaHei" w:eastAsia="Microsoft YaHei" w:cs="Microsoft YaHei"/>
          <w:spacing w:val="3"/>
        </w:rPr>
        <w:t>预计随着国内强</w:t>
      </w:r>
      <w:r>
        <w:rPr>
          <w:rFonts w:ascii="Microsoft YaHei" w:hAnsi="Microsoft YaHei" w:eastAsia="Microsoft YaHei" w:cs="Microsoft YaHei"/>
        </w:rPr>
        <w:t xml:space="preserve">    </w:t>
      </w:r>
      <w:r>
        <w:rPr>
          <w:rFonts w:ascii="Microsoft YaHei" w:hAnsi="Microsoft YaHei" w:eastAsia="Microsoft YaHei" w:cs="Microsoft YaHei"/>
          <w:spacing w:val="3"/>
        </w:rPr>
        <w:t>配需求逐渐得到满足，欧洲能源价格恢复平稳并加强自身供给能力，</w:t>
      </w:r>
      <w:r>
        <w:rPr>
          <w:rFonts w:ascii="Microsoft YaHei" w:hAnsi="Microsoft YaHei" w:eastAsia="Microsoft YaHei" w:cs="Microsoft YaHei"/>
          <w:spacing w:val="2"/>
        </w:rPr>
        <w:t>中国储能产业</w:t>
      </w:r>
      <w:r>
        <w:rPr>
          <w:rFonts w:ascii="Microsoft YaHei" w:hAnsi="Microsoft YaHei" w:eastAsia="Microsoft YaHei" w:cs="Microsoft YaHei"/>
        </w:rPr>
        <w:t xml:space="preserve">    </w:t>
      </w:r>
      <w:r>
        <w:rPr>
          <w:rFonts w:ascii="Microsoft YaHei" w:hAnsi="Microsoft YaHei" w:eastAsia="Microsoft YaHei" w:cs="Microsoft YaHei"/>
          <w:spacing w:val="2"/>
        </w:rPr>
        <w:t>可能面临未来增长动力不足的风险。赛道方面，电化学储能和配套产业等热门</w:t>
      </w:r>
      <w:r>
        <w:rPr>
          <w:rFonts w:ascii="Microsoft YaHei" w:hAnsi="Microsoft YaHei" w:eastAsia="Microsoft YaHei" w:cs="Microsoft YaHei"/>
          <w:spacing w:val="1"/>
        </w:rPr>
        <w:t>赛道，</w:t>
      </w:r>
      <w:r>
        <w:rPr>
          <w:rFonts w:ascii="Microsoft YaHei" w:hAnsi="Microsoft YaHei" w:eastAsia="Microsoft YaHei" w:cs="Microsoft YaHei"/>
        </w:rPr>
        <w:t xml:space="preserve"> </w:t>
      </w:r>
      <w:r>
        <w:rPr>
          <w:rFonts w:ascii="Microsoft YaHei" w:hAnsi="Microsoft YaHei" w:eastAsia="Microsoft YaHei" w:cs="Microsoft YaHei"/>
          <w:spacing w:val="2"/>
        </w:rPr>
        <w:t>多已有巨头企业提前布局，外部投资方进入难度较大。</w:t>
      </w:r>
      <w:r>
        <w:rPr>
          <w:rFonts w:ascii="Microsoft YaHei" w:hAnsi="Microsoft YaHei" w:eastAsia="Microsoft YaHei" w:cs="Microsoft YaHei"/>
          <w:spacing w:val="-32"/>
        </w:rPr>
        <w:t xml:space="preserve"> </w:t>
      </w:r>
      <w:r>
        <w:rPr>
          <w:rFonts w:ascii="Microsoft YaHei" w:hAnsi="Microsoft YaHei" w:eastAsia="Microsoft YaHei" w:cs="Microsoft YaHei"/>
          <w:spacing w:val="2"/>
        </w:rPr>
        <w:t>而尚处于市场培育阶段的赛</w:t>
      </w:r>
      <w:r>
        <w:rPr>
          <w:rFonts w:ascii="Microsoft YaHei" w:hAnsi="Microsoft YaHei" w:eastAsia="Microsoft YaHei" w:cs="Microsoft YaHei"/>
        </w:rPr>
        <w:t xml:space="preserve">    </w:t>
      </w:r>
      <w:r>
        <w:rPr>
          <w:rFonts w:ascii="Microsoft YaHei" w:hAnsi="Microsoft YaHei" w:eastAsia="Microsoft YaHei" w:cs="Microsoft YaHei"/>
          <w:spacing w:val="2"/>
        </w:rPr>
        <w:t>道目前收益较小，</w:t>
      </w:r>
      <w:r>
        <w:rPr>
          <w:rFonts w:ascii="Microsoft YaHei" w:hAnsi="Microsoft YaHei" w:eastAsia="Microsoft YaHei" w:cs="Microsoft YaHei"/>
          <w:spacing w:val="-40"/>
        </w:rPr>
        <w:t xml:space="preserve"> </w:t>
      </w:r>
      <w:r>
        <w:rPr>
          <w:rFonts w:ascii="Microsoft YaHei" w:hAnsi="Microsoft YaHei" w:eastAsia="Microsoft YaHei" w:cs="Microsoft YaHei"/>
          <w:spacing w:val="2"/>
        </w:rPr>
        <w:t>许多创投机构被迫涌向上</w:t>
      </w:r>
      <w:r>
        <w:rPr>
          <w:rFonts w:ascii="Microsoft YaHei" w:hAnsi="Microsoft YaHei" w:eastAsia="Microsoft YaHei" w:cs="Microsoft YaHei"/>
          <w:spacing w:val="1"/>
        </w:rPr>
        <w:t>游，</w:t>
      </w:r>
      <w:r>
        <w:rPr>
          <w:rFonts w:ascii="Microsoft YaHei" w:hAnsi="Microsoft YaHei" w:eastAsia="Microsoft YaHei" w:cs="Microsoft YaHei"/>
          <w:spacing w:val="-37"/>
        </w:rPr>
        <w:t xml:space="preserve"> </w:t>
      </w:r>
      <w:r>
        <w:rPr>
          <w:rFonts w:ascii="Microsoft YaHei" w:hAnsi="Microsoft YaHei" w:eastAsia="Microsoft YaHei" w:cs="Microsoft YaHei"/>
          <w:spacing w:val="1"/>
        </w:rPr>
        <w:t>受限于自身实力又无法投资规模大</w:t>
      </w:r>
      <w:r>
        <w:rPr>
          <w:rFonts w:ascii="Microsoft YaHei" w:hAnsi="Microsoft YaHei" w:eastAsia="Microsoft YaHei" w:cs="Microsoft YaHei"/>
        </w:rPr>
        <w:t xml:space="preserve">    </w:t>
      </w:r>
      <w:r>
        <w:rPr>
          <w:rFonts w:ascii="Microsoft YaHei" w:hAnsi="Microsoft YaHei" w:eastAsia="Microsoft YaHei" w:cs="Microsoft YaHei"/>
          <w:spacing w:val="1"/>
        </w:rPr>
        <w:t>的矿产资源型企业，</w:t>
      </w:r>
      <w:r>
        <w:rPr>
          <w:rFonts w:ascii="Microsoft YaHei" w:hAnsi="Microsoft YaHei" w:eastAsia="Microsoft YaHei" w:cs="Microsoft YaHei"/>
          <w:spacing w:val="-39"/>
        </w:rPr>
        <w:t xml:space="preserve"> </w:t>
      </w:r>
      <w:r>
        <w:rPr>
          <w:rFonts w:ascii="Microsoft YaHei" w:hAnsi="Microsoft YaHei" w:eastAsia="Microsoft YaHei" w:cs="Microsoft YaHei"/>
          <w:spacing w:val="1"/>
        </w:rPr>
        <w:t>转而选择碳酸锂提炼等低毛利、高周转</w:t>
      </w:r>
      <w:r>
        <w:rPr>
          <w:rFonts w:ascii="Microsoft YaHei" w:hAnsi="Microsoft YaHei" w:eastAsia="Microsoft YaHei" w:cs="Microsoft YaHei"/>
        </w:rPr>
        <w:t>赛道。</w:t>
      </w:r>
      <w:r>
        <w:rPr>
          <w:rFonts w:ascii="Microsoft YaHei" w:hAnsi="Microsoft YaHei" w:eastAsia="Microsoft YaHei" w:cs="Microsoft YaHei"/>
          <w:spacing w:val="-40"/>
        </w:rPr>
        <w:t xml:space="preserve"> </w:t>
      </w:r>
      <w:r>
        <w:rPr>
          <w:rFonts w:ascii="Microsoft YaHei" w:hAnsi="Microsoft YaHei" w:eastAsia="Microsoft YaHei" w:cs="Microsoft YaHei"/>
        </w:rPr>
        <w:t>具体到标的方面， </w:t>
      </w:r>
      <w:r>
        <w:rPr>
          <w:rFonts w:ascii="Microsoft YaHei" w:hAnsi="Microsoft YaHei" w:eastAsia="Microsoft YaHei" w:cs="Microsoft YaHei"/>
          <w:spacing w:val="3"/>
        </w:rPr>
        <w:t>高潜力创业投资者相对集中，估值偏高，但很多储能企业还未形成稳</w:t>
      </w:r>
      <w:r>
        <w:rPr>
          <w:rFonts w:ascii="Microsoft YaHei" w:hAnsi="Microsoft YaHei" w:eastAsia="Microsoft YaHei" w:cs="Microsoft YaHei"/>
          <w:spacing w:val="2"/>
        </w:rPr>
        <w:t>定合理的商业</w:t>
      </w:r>
      <w:r>
        <w:rPr>
          <w:rFonts w:ascii="Microsoft YaHei" w:hAnsi="Microsoft YaHei" w:eastAsia="Microsoft YaHei" w:cs="Microsoft YaHei"/>
        </w:rPr>
        <w:t xml:space="preserve">    </w:t>
      </w:r>
      <w:r>
        <w:rPr>
          <w:rFonts w:ascii="Microsoft YaHei" w:hAnsi="Microsoft YaHei" w:eastAsia="Microsoft YaHei" w:cs="Microsoft YaHei"/>
          <w:spacing w:val="-1"/>
        </w:rPr>
        <w:t>模式，导致投资人鉴别优质项目挑战加大。</w:t>
      </w:r>
    </w:p>
    <w:p>
      <w:pPr>
        <w:pStyle w:val="BodyText"/>
        <w:ind w:left="1315"/>
        <w:spacing w:before="273" w:line="180" w:lineRule="auto"/>
        <w:rPr>
          <w:rFonts w:ascii="Microsoft YaHei" w:hAnsi="Microsoft YaHei" w:eastAsia="Microsoft YaHei" w:cs="Microsoft YaHei"/>
          <w:sz w:val="24"/>
          <w:szCs w:val="24"/>
        </w:rPr>
      </w:pPr>
      <w:r>
        <w:rPr>
          <w:sz w:val="24"/>
          <w:szCs w:val="24"/>
          <w:color w:val="00338D"/>
          <w:spacing w:val="6"/>
        </w:rPr>
        <w:t>•</w:t>
      </w:r>
      <w:r>
        <w:rPr>
          <w:sz w:val="24"/>
          <w:szCs w:val="24"/>
          <w:color w:val="00338D"/>
          <w:spacing w:val="38"/>
        </w:rPr>
        <w:t xml:space="preserve">  </w:t>
      </w:r>
      <w:r>
        <w:rPr>
          <w:rFonts w:ascii="Microsoft YaHei" w:hAnsi="Microsoft YaHei" w:eastAsia="Microsoft YaHei" w:cs="Microsoft YaHei"/>
          <w:sz w:val="24"/>
          <w:szCs w:val="24"/>
          <w:b/>
          <w:bCs/>
          <w:color w:val="00338D"/>
          <w:spacing w:val="6"/>
        </w:rPr>
        <w:t>建立储能成本疏导的市场化机制是储能行业从商业化初期向规模化转变</w:t>
      </w:r>
    </w:p>
    <w:p>
      <w:pPr>
        <w:ind w:left="1580" w:right="2824" w:firstLine="9"/>
        <w:spacing w:before="68" w:line="217" w:lineRule="auto"/>
        <w:jc w:val="both"/>
        <w:rPr>
          <w:rFonts w:ascii="Microsoft YaHei" w:hAnsi="Microsoft YaHei" w:eastAsia="Microsoft YaHei" w:cs="Microsoft YaHei"/>
          <w:sz w:val="21"/>
          <w:szCs w:val="21"/>
        </w:rPr>
      </w:pPr>
      <w:r>
        <w:drawing>
          <wp:anchor distT="0" distB="0" distL="0" distR="0" simplePos="0" relativeHeight="251718656" behindDoc="0" locked="0" layoutInCell="1" allowOverlap="1">
            <wp:simplePos x="0" y="0"/>
            <wp:positionH relativeFrom="column">
              <wp:posOffset>823347</wp:posOffset>
            </wp:positionH>
            <wp:positionV relativeFrom="paragraph">
              <wp:posOffset>177101</wp:posOffset>
            </wp:positionV>
            <wp:extent cx="729635" cy="1368076"/>
            <wp:effectExtent l="0" t="0" r="0" b="0"/>
            <wp:wrapNone/>
            <wp:docPr id="100" name="IM 100"/>
            <wp:cNvGraphicFramePr/>
            <a:graphic>
              <a:graphicData uri="http://schemas.openxmlformats.org/drawingml/2006/picture">
                <pic:pic>
                  <pic:nvPicPr>
                    <pic:cNvPr id="100" name="IM 100"/>
                    <pic:cNvPicPr/>
                  </pic:nvPicPr>
                  <pic:blipFill>
                    <a:blip r:embed="rId39"/>
                    <a:stretch>
                      <a:fillRect/>
                    </a:stretch>
                  </pic:blipFill>
                  <pic:spPr>
                    <a:xfrm rot="0">
                      <a:off x="0" y="0"/>
                      <a:ext cx="729635" cy="1368076"/>
                    </a:xfrm>
                    <a:prstGeom prst="rect">
                      <a:avLst/>
                    </a:prstGeom>
                  </pic:spPr>
                </pic:pic>
              </a:graphicData>
            </a:graphic>
          </wp:anchor>
        </w:drawing>
      </w:r>
      <w:r>
        <w:drawing>
          <wp:anchor distT="0" distB="0" distL="0" distR="0" simplePos="0" relativeHeight="251719680" behindDoc="0" locked="0" layoutInCell="1" allowOverlap="1">
            <wp:simplePos x="0" y="0"/>
            <wp:positionH relativeFrom="column">
              <wp:posOffset>3572255</wp:posOffset>
            </wp:positionH>
            <wp:positionV relativeFrom="paragraph">
              <wp:posOffset>814133</wp:posOffset>
            </wp:positionV>
            <wp:extent cx="1645828" cy="3325613"/>
            <wp:effectExtent l="0" t="0" r="0" b="0"/>
            <wp:wrapNone/>
            <wp:docPr id="102" name="IM 102"/>
            <wp:cNvGraphicFramePr/>
            <a:graphic>
              <a:graphicData uri="http://schemas.openxmlformats.org/drawingml/2006/picture">
                <pic:pic>
                  <pic:nvPicPr>
                    <pic:cNvPr id="102" name="IM 102"/>
                    <pic:cNvPicPr/>
                  </pic:nvPicPr>
                  <pic:blipFill>
                    <a:blip r:embed="rId40"/>
                    <a:stretch>
                      <a:fillRect/>
                    </a:stretch>
                  </pic:blipFill>
                  <pic:spPr>
                    <a:xfrm rot="0">
                      <a:off x="0" y="0"/>
                      <a:ext cx="1645828" cy="3325613"/>
                    </a:xfrm>
                    <a:prstGeom prst="rect">
                      <a:avLst/>
                    </a:prstGeom>
                  </pic:spPr>
                </pic:pic>
              </a:graphicData>
            </a:graphic>
          </wp:anchor>
        </w:drawing>
      </w:r>
      <w:r>
        <w:rPr>
          <w:rFonts w:ascii="Microsoft YaHei" w:hAnsi="Microsoft YaHei" w:eastAsia="Microsoft YaHei" w:cs="Microsoft YaHei"/>
          <w:sz w:val="24"/>
          <w:szCs w:val="24"/>
          <w:b/>
          <w:bCs/>
          <w:color w:val="00338D"/>
          <w:spacing w:val="4"/>
        </w:rPr>
        <w:t>的关键。</w:t>
      </w:r>
      <w:r>
        <w:rPr>
          <w:rFonts w:ascii="Microsoft YaHei" w:hAnsi="Microsoft YaHei" w:eastAsia="Microsoft YaHei" w:cs="Microsoft YaHei"/>
          <w:sz w:val="21"/>
          <w:szCs w:val="21"/>
          <w:spacing w:val="4"/>
        </w:rPr>
        <w:t>储能行业正处于从商业化初期向规模化发展转变的关键期</w:t>
      </w:r>
      <w:r>
        <w:rPr>
          <w:rFonts w:ascii="Microsoft YaHei" w:hAnsi="Microsoft YaHei" w:eastAsia="Microsoft YaHei" w:cs="Microsoft YaHei"/>
          <w:sz w:val="21"/>
          <w:szCs w:val="21"/>
          <w:spacing w:val="-21"/>
        </w:rPr>
        <w:t xml:space="preserve"> </w:t>
      </w:r>
      <w:r>
        <w:rPr>
          <w:rFonts w:ascii="Microsoft YaHei" w:hAnsi="Microsoft YaHei" w:eastAsia="Microsoft YaHei" w:cs="Microsoft YaHei"/>
          <w:sz w:val="21"/>
          <w:szCs w:val="21"/>
          <w:spacing w:val="4"/>
        </w:rPr>
        <w:t>，经济性是储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能下一程是否顺利的关键，需要完善储能成本疏导的顶层设计，</w:t>
      </w:r>
      <w:r>
        <w:rPr>
          <w:rFonts w:ascii="Microsoft YaHei" w:hAnsi="Microsoft YaHei" w:eastAsia="Microsoft YaHei" w:cs="Microsoft YaHei"/>
          <w:sz w:val="21"/>
          <w:szCs w:val="21"/>
          <w:spacing w:val="2"/>
        </w:rPr>
        <w:t>并通过市场化的方</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式跑通经济性。2022年4月</w:t>
      </w:r>
      <w:r>
        <w:rPr>
          <w:rFonts w:ascii="Microsoft YaHei" w:hAnsi="Microsoft YaHei" w:eastAsia="Microsoft YaHei" w:cs="Microsoft YaHei"/>
          <w:sz w:val="21"/>
          <w:szCs w:val="21"/>
          <w:spacing w:val="-19"/>
        </w:rPr>
        <w:t xml:space="preserve"> </w:t>
      </w:r>
      <w:r>
        <w:rPr>
          <w:rFonts w:ascii="Microsoft YaHei" w:hAnsi="Microsoft YaHei" w:eastAsia="Microsoft YaHei" w:cs="Microsoft YaHei"/>
          <w:sz w:val="21"/>
          <w:szCs w:val="21"/>
          <w:spacing w:val="2"/>
        </w:rPr>
        <w:t>，国家发改委价格成本调查中心发布题为《完善储能成</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本补偿机制</w:t>
      </w:r>
      <w:r>
        <w:rPr>
          <w:rFonts w:ascii="Microsoft YaHei" w:hAnsi="Microsoft YaHei" w:eastAsia="Microsoft YaHei" w:cs="Microsoft YaHei"/>
          <w:sz w:val="21"/>
          <w:szCs w:val="21"/>
          <w:spacing w:val="51"/>
          <w:w w:val="101"/>
        </w:rPr>
        <w:t xml:space="preserve"> </w:t>
      </w:r>
      <w:r>
        <w:rPr>
          <w:rFonts w:ascii="Microsoft YaHei" w:hAnsi="Microsoft YaHei" w:eastAsia="Microsoft YaHei" w:cs="Microsoft YaHei"/>
          <w:sz w:val="21"/>
          <w:szCs w:val="21"/>
          <w:spacing w:val="-1"/>
        </w:rPr>
        <w:t>助力构建以新能源为主体的新型电力系统》</w:t>
      </w:r>
      <w:r>
        <w:rPr>
          <w:rFonts w:ascii="Microsoft YaHei" w:hAnsi="Microsoft YaHei" w:eastAsia="Microsoft YaHei" w:cs="Microsoft YaHei"/>
          <w:sz w:val="21"/>
          <w:szCs w:val="21"/>
          <w:spacing w:val="-33"/>
        </w:rPr>
        <w:t xml:space="preserve"> </w:t>
      </w:r>
      <w:r>
        <w:rPr>
          <w:rFonts w:ascii="Microsoft YaHei" w:hAnsi="Microsoft YaHei" w:eastAsia="Microsoft YaHei" w:cs="Microsoft YaHei"/>
          <w:sz w:val="21"/>
          <w:szCs w:val="21"/>
          <w:spacing w:val="-1"/>
        </w:rPr>
        <w:t>的文章，提出加强储能</w:t>
      </w:r>
      <w:r>
        <w:rPr>
          <w:rFonts w:ascii="Microsoft YaHei" w:hAnsi="Microsoft YaHei" w:eastAsia="Microsoft YaHei" w:cs="Microsoft YaHei"/>
          <w:sz w:val="21"/>
          <w:szCs w:val="21"/>
          <w:spacing w:val="-2"/>
        </w:rPr>
        <w:t>政策</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顶层设计，探索解决制约储能发展瓶颈的思路和方法，推动各类储能技</w:t>
      </w:r>
      <w:r>
        <w:rPr>
          <w:rFonts w:ascii="Microsoft YaHei" w:hAnsi="Microsoft YaHei" w:eastAsia="Microsoft YaHei" w:cs="Microsoft YaHei"/>
          <w:sz w:val="21"/>
          <w:szCs w:val="21"/>
          <w:spacing w:val="1"/>
        </w:rPr>
        <w:t>术蓬勃发展。</w:t>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1805" w:right="1241" w:hanging="411"/>
        <w:spacing w:before="47"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F1F1F1"/>
          <w:spacing w:val="-1"/>
        </w:rPr>
        <w:t>© 2023</w:t>
      </w:r>
      <w:r>
        <w:rPr>
          <w:rFonts w:ascii="Microsoft YaHei" w:hAnsi="Microsoft YaHei" w:eastAsia="Microsoft YaHei" w:cs="Microsoft YaHei"/>
          <w:sz w:val="11"/>
          <w:szCs w:val="11"/>
          <w:color w:val="F1F1F1"/>
          <w:spacing w:val="-6"/>
        </w:rPr>
        <w:t xml:space="preserve"> </w:t>
      </w:r>
      <w:r>
        <w:rPr>
          <w:rFonts w:ascii="Microsoft YaHei" w:hAnsi="Microsoft YaHei" w:eastAsia="Microsoft YaHei" w:cs="Microsoft YaHei"/>
          <w:sz w:val="11"/>
          <w:szCs w:val="11"/>
          <w:color w:val="F1F1F1"/>
          <w:spacing w:val="-1"/>
        </w:rPr>
        <w:t>毕马威华振会计师事务所(特殊普通合伙)</w:t>
      </w:r>
      <w:r>
        <w:rPr>
          <w:rFonts w:ascii="Microsoft YaHei" w:hAnsi="Microsoft YaHei" w:eastAsia="Microsoft YaHei" w:cs="Microsoft YaHei"/>
          <w:sz w:val="11"/>
          <w:szCs w:val="11"/>
          <w:color w:val="F1F1F1"/>
          <w:spacing w:val="-12"/>
        </w:rPr>
        <w:t xml:space="preserve"> </w:t>
      </w:r>
      <w:r>
        <w:rPr>
          <w:rFonts w:ascii="Microsoft YaHei" w:hAnsi="Microsoft YaHei" w:eastAsia="Microsoft YaHei" w:cs="Microsoft YaHei"/>
          <w:sz w:val="11"/>
          <w:szCs w:val="11"/>
          <w:color w:val="F1F1F1"/>
          <w:spacing w:val="-1"/>
        </w:rPr>
        <w:t>— 中国合伙制会计师事务所，毕马威企业咨询</w:t>
      </w:r>
      <w:r>
        <w:rPr>
          <w:rFonts w:ascii="Microsoft YaHei" w:hAnsi="Microsoft YaHei" w:eastAsia="Microsoft YaHei" w:cs="Microsoft YaHei"/>
          <w:sz w:val="11"/>
          <w:szCs w:val="11"/>
          <w:color w:val="F1F1F1"/>
          <w:spacing w:val="-8"/>
        </w:rPr>
        <w:t xml:space="preserve"> </w:t>
      </w:r>
      <w:r>
        <w:rPr>
          <w:rFonts w:ascii="Microsoft YaHei" w:hAnsi="Microsoft YaHei" w:eastAsia="Microsoft YaHei" w:cs="Microsoft YaHei"/>
          <w:sz w:val="11"/>
          <w:szCs w:val="11"/>
          <w:color w:val="F1F1F1"/>
          <w:spacing w:val="-1"/>
        </w:rPr>
        <w:t>(中国)有限公司 — 中国有限责任公司，毕马威会计师事务所</w:t>
      </w:r>
      <w:r>
        <w:rPr>
          <w:rFonts w:ascii="Microsoft YaHei" w:hAnsi="Microsoft YaHei" w:eastAsia="Microsoft YaHei" w:cs="Microsoft YaHei"/>
          <w:sz w:val="11"/>
          <w:szCs w:val="11"/>
          <w:color w:val="F1F1F1"/>
          <w:spacing w:val="-8"/>
        </w:rPr>
        <w:t xml:space="preserve"> </w:t>
      </w:r>
      <w:r>
        <w:rPr>
          <w:rFonts w:ascii="Microsoft YaHei" w:hAnsi="Microsoft YaHei" w:eastAsia="Microsoft YaHei" w:cs="Microsoft YaHei"/>
          <w:sz w:val="11"/>
          <w:szCs w:val="11"/>
          <w:color w:val="F1F1F1"/>
          <w:spacing w:val="-1"/>
        </w:rPr>
        <w:t>— 澳门特别行政区合伙制事务所，</w:t>
      </w:r>
      <w:r>
        <w:rPr>
          <w:rFonts w:ascii="Microsoft YaHei" w:hAnsi="Microsoft YaHei" w:eastAsia="Microsoft YaHei" w:cs="Microsoft YaHei"/>
          <w:sz w:val="11"/>
          <w:szCs w:val="11"/>
          <w:color w:val="F1F1F1"/>
          <w:spacing w:val="-2"/>
        </w:rPr>
        <w:t>及毕马威</w:t>
      </w:r>
      <w:r>
        <w:rPr>
          <w:rFonts w:ascii="Microsoft YaHei" w:hAnsi="Microsoft YaHei" w:eastAsia="Microsoft YaHei" w:cs="Microsoft YaHei"/>
          <w:sz w:val="11"/>
          <w:szCs w:val="11"/>
          <w:color w:val="F1F1F1"/>
        </w:rPr>
        <w:t xml:space="preserve"> </w:t>
      </w:r>
      <w:r>
        <w:rPr>
          <w:rFonts w:ascii="Microsoft YaHei" w:hAnsi="Microsoft YaHei" w:eastAsia="Microsoft YaHei" w:cs="Microsoft YaHei"/>
          <w:sz w:val="11"/>
          <w:szCs w:val="11"/>
          <w:color w:val="F1F1F1"/>
        </w:rPr>
        <w:t>会计师事务所 —</w:t>
      </w:r>
      <w:r>
        <w:rPr>
          <w:rFonts w:ascii="Microsoft YaHei" w:hAnsi="Microsoft YaHei" w:eastAsia="Microsoft YaHei" w:cs="Microsoft YaHei"/>
          <w:sz w:val="11"/>
          <w:szCs w:val="11"/>
          <w:color w:val="F1F1F1"/>
          <w:spacing w:val="-6"/>
        </w:rPr>
        <w:t xml:space="preserve"> </w:t>
      </w:r>
      <w:r>
        <w:rPr>
          <w:rFonts w:ascii="Microsoft YaHei" w:hAnsi="Microsoft YaHei" w:eastAsia="Microsoft YaHei" w:cs="Microsoft YaHei"/>
          <w:sz w:val="11"/>
          <w:szCs w:val="11"/>
          <w:color w:val="F1F1F1"/>
        </w:rPr>
        <w:t>香港特别行政区合伙制事务所，</w:t>
      </w:r>
      <w:r>
        <w:rPr>
          <w:rFonts w:ascii="Microsoft YaHei" w:hAnsi="Microsoft YaHei" w:eastAsia="Microsoft YaHei" w:cs="Microsoft YaHei"/>
          <w:sz w:val="11"/>
          <w:szCs w:val="11"/>
          <w:color w:val="F1F1F1"/>
          <w:spacing w:val="-1"/>
        </w:rPr>
        <w:t>均是与英国私营担保有限公司</w:t>
      </w:r>
      <w:r>
        <w:rPr>
          <w:rFonts w:ascii="Microsoft YaHei" w:hAnsi="Microsoft YaHei" w:eastAsia="Microsoft YaHei" w:cs="Microsoft YaHei"/>
          <w:sz w:val="11"/>
          <w:szCs w:val="11"/>
          <w:color w:val="F1F1F1"/>
          <w:spacing w:val="-13"/>
        </w:rPr>
        <w:t xml:space="preserve"> </w:t>
      </w:r>
      <w:r>
        <w:rPr>
          <w:rFonts w:ascii="Microsoft YaHei" w:hAnsi="Microsoft YaHei" w:eastAsia="Microsoft YaHei" w:cs="Microsoft YaHei"/>
          <w:sz w:val="11"/>
          <w:szCs w:val="11"/>
          <w:color w:val="F1F1F1"/>
          <w:spacing w:val="-1"/>
        </w:rPr>
        <w:t>— 毕马威国际有限公司相关联的独立成员所全球性组织中的成员。版权所有，不得转载。在中国印刷。</w:t>
      </w:r>
    </w:p>
    <w:p>
      <w:pPr>
        <w:spacing w:line="172" w:lineRule="auto"/>
        <w:sectPr>
          <w:pgSz w:w="12245" w:h="17180"/>
          <w:pgMar w:top="400" w:right="0" w:bottom="0" w:left="0" w:header="0" w:footer="0" w:gutter="0"/>
        </w:sectPr>
        <w:rPr>
          <w:rFonts w:ascii="Microsoft YaHei" w:hAnsi="Microsoft YaHei" w:eastAsia="Microsoft YaHei" w:cs="Microsoft YaHei"/>
          <w:sz w:val="11"/>
          <w:szCs w:val="11"/>
        </w:rPr>
      </w:pPr>
    </w:p>
    <w:p>
      <w:pPr>
        <w:pStyle w:val="BodyText"/>
        <w:spacing w:line="280" w:lineRule="auto"/>
        <w:rPr/>
      </w:pPr>
      <w:r>
        <mc:AlternateContent xmlns:mc="http://schemas.openxmlformats.org/markup-compatibility/2006">
          <mc:Choice Requires="wps">
            <w:drawing>
              <wp:anchor distT="0" distB="0" distL="0" distR="0" simplePos="0" relativeHeight="251720704" behindDoc="1" locked="0" layoutInCell="0" allowOverlap="1">
                <wp:simplePos x="0" y="0"/>
                <wp:positionH relativeFrom="page">
                  <wp:posOffset>7772272</wp:posOffset>
                </wp:positionH>
                <wp:positionV relativeFrom="page">
                  <wp:posOffset>0</wp:posOffset>
                </wp:positionV>
                <wp:extent cx="3175" cy="10909300"/>
                <wp:effectExtent l="0" t="0" r="0" b="0"/>
                <wp:wrapNone/>
                <wp:docPr id="104" name="Rect 104"/>
                <wp:cNvGraphicFramePr/>
                <a:graphic>
                  <a:graphicData uri="http://schemas.microsoft.com/office/word/2010/wordprocessingShape">
                    <wps:wsp>
                      <wps:cNvPr id="104" name="Rect 104"/>
                      <wps:cNvSpPr/>
                      <wps:spPr>
                        <a:xfrm>
                          <a:off x="7772272" y="0"/>
                          <a:ext cx="3175" cy="109093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84" style="position:absolute;margin-left:611.99pt;margin-top:0pt;mso-position-vertical-relative:page;mso-position-horizontal-relative:page;width:0.25pt;height:859pt;z-index:-251595776;" o:allowincell="f" fillcolor="#000000" filled="true" stroked="false"/>
            </w:pict>
          </mc:Fallback>
        </mc:AlternateContent>
      </w:r>
      <w:r/>
    </w:p>
    <w:p>
      <w:pPr>
        <w:pStyle w:val="BodyText"/>
        <w:spacing w:line="280" w:lineRule="auto"/>
        <w:rPr/>
      </w:pPr>
      <w:r>
        <w:pict>
          <v:shape id="_x0000_s86" style="position:absolute;margin-left:546.96pt;margin-top:1.92371pt;mso-position-vertical-relative:text;mso-position-horizontal-relative:text;width:0.5pt;height:10.25pt;z-index:-251594752;" filled="false" strokecolor="#A8A8A8" strokeweight="0.50pt" coordsize="10,205" coordorigin="0,0" path="m5,0l5,205e">
            <v:stroke joinstyle="miter"/>
          </v:shape>
        </w:pict>
      </w:r>
      <w:r/>
    </w:p>
    <w:p>
      <w:pPr>
        <w:pStyle w:val="BodyText"/>
        <w:spacing w:line="280" w:lineRule="auto"/>
        <w:rPr/>
      </w:pPr>
      <w:r/>
    </w:p>
    <w:p>
      <w:pPr>
        <w:pStyle w:val="BodyText"/>
        <w:spacing w:line="280" w:lineRule="auto"/>
        <w:rPr/>
      </w:pPr>
      <w:r/>
    </w:p>
    <w:p>
      <w:pPr>
        <w:pStyle w:val="BodyText"/>
        <w:spacing w:line="281" w:lineRule="auto"/>
        <w:rPr/>
      </w:pPr>
      <w:r/>
    </w:p>
    <w:p>
      <w:pPr>
        <w:ind w:left="1395"/>
        <w:spacing w:before="463" w:line="1120" w:lineRule="exact"/>
        <w:outlineLvl w:val="0"/>
        <w:rPr>
          <w:rFonts w:ascii="Microsoft YaHei" w:hAnsi="Microsoft YaHei" w:eastAsia="Microsoft YaHei" w:cs="Microsoft YaHei"/>
          <w:sz w:val="108"/>
          <w:szCs w:val="108"/>
        </w:rPr>
      </w:pPr>
      <w:r>
        <w:drawing>
          <wp:anchor distT="0" distB="0" distL="0" distR="0" simplePos="0" relativeHeight="251722752" behindDoc="1" locked="0" layoutInCell="1" allowOverlap="1">
            <wp:simplePos x="0" y="0"/>
            <wp:positionH relativeFrom="column">
              <wp:posOffset>0</wp:posOffset>
            </wp:positionH>
            <wp:positionV relativeFrom="paragraph">
              <wp:posOffset>-1149119</wp:posOffset>
            </wp:positionV>
            <wp:extent cx="7775447" cy="10908791"/>
            <wp:effectExtent l="0" t="0" r="0" b="0"/>
            <wp:wrapNone/>
            <wp:docPr id="106" name="IM 106"/>
            <wp:cNvGraphicFramePr/>
            <a:graphic>
              <a:graphicData uri="http://schemas.openxmlformats.org/drawingml/2006/picture">
                <pic:pic>
                  <pic:nvPicPr>
                    <pic:cNvPr id="106" name="IM 106"/>
                    <pic:cNvPicPr/>
                  </pic:nvPicPr>
                  <pic:blipFill>
                    <a:blip r:embed="rId42"/>
                    <a:stretch>
                      <a:fillRect/>
                    </a:stretch>
                  </pic:blipFill>
                  <pic:spPr>
                    <a:xfrm rot="0">
                      <a:off x="0" y="0"/>
                      <a:ext cx="7775447" cy="10908791"/>
                    </a:xfrm>
                    <a:prstGeom prst="rect">
                      <a:avLst/>
                    </a:prstGeom>
                  </pic:spPr>
                </pic:pic>
              </a:graphicData>
            </a:graphic>
          </wp:anchor>
        </w:drawing>
      </w:r>
      <w:r>
        <w:rPr>
          <w:rFonts w:ascii="Microsoft YaHei" w:hAnsi="Microsoft YaHei" w:eastAsia="Microsoft YaHei" w:cs="Microsoft YaHei"/>
          <w:sz w:val="108"/>
          <w:szCs w:val="108"/>
          <w:b/>
          <w:bCs/>
          <w:color w:val="00338D"/>
          <w:spacing w:val="-39"/>
          <w:position w:val="-8"/>
        </w:rPr>
        <w:t>目录</w:t>
      </w:r>
    </w:p>
    <w:p>
      <w:pPr>
        <w:ind w:firstLine="8716"/>
        <w:spacing w:line="110" w:lineRule="exact"/>
        <w:rPr/>
      </w:pPr>
      <w:r>
        <w:rPr>
          <w:position w:val="-2"/>
        </w:rPr>
        <w:pict>
          <v:shape id="_x0000_s88" style="mso-position-vertical-relative:line;mso-position-horizontal-relative:char;width:26.65pt;height:5.55pt;" fillcolor="#00B8F5" filled="true" stroked="false" coordsize="532,111" coordorigin="0,0" path="m192,67l532,67l532,28l192,28em0,54l55,110l139,27l112,0l55,56l27,28l0,54xe"/>
        </w:pict>
      </w:r>
    </w:p>
    <w:p>
      <w:pPr>
        <w:ind w:firstLine="8716"/>
        <w:spacing w:before="100" w:line="264" w:lineRule="exact"/>
        <w:rPr/>
      </w:pPr>
      <w:r>
        <w:rPr>
          <w:position w:val="-5"/>
        </w:rPr>
        <w:pict>
          <v:shape id="_x0000_s90" style="mso-position-vertical-relative:line;mso-position-horizontal-relative:char;width:26.65pt;height:13.2pt;" fillcolor="#00B8F5" filled="true" stroked="false" coordsize="532,263" coordorigin="0,0" path="m192,38l532,38l532,0l192,0em192,220l532,220l532,182l192,182em0,208l55,263l139,180l112,153l55,210l27,181l0,208xe"/>
        </w:pict>
      </w:r>
    </w:p>
    <w:p>
      <w:pPr>
        <w:pStyle w:val="BodyText"/>
        <w:spacing w:line="251"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ind w:left="2665"/>
        <w:spacing w:before="138" w:line="180" w:lineRule="auto"/>
        <w:rPr>
          <w:rFonts w:ascii="Microsoft YaHei" w:hAnsi="Microsoft YaHei" w:eastAsia="Microsoft YaHei" w:cs="Microsoft YaHei"/>
          <w:sz w:val="22"/>
          <w:szCs w:val="22"/>
        </w:rPr>
      </w:pPr>
      <w:r>
        <mc:AlternateContent xmlns:mc="http://schemas.openxmlformats.org/markup-compatibility/2006">
          <mc:Choice Requires="wps">
            <w:drawing>
              <wp:anchor distT="0" distB="0" distL="0" distR="0" simplePos="0" relativeHeight="251723776" behindDoc="1" locked="0" layoutInCell="1" allowOverlap="1">
                <wp:simplePos x="0" y="0"/>
                <wp:positionH relativeFrom="column">
                  <wp:posOffset>755263</wp:posOffset>
                </wp:positionH>
                <wp:positionV relativeFrom="paragraph">
                  <wp:posOffset>-923738</wp:posOffset>
                </wp:positionV>
                <wp:extent cx="6210300" cy="7118350"/>
                <wp:effectExtent l="0" t="0" r="0" b="0"/>
                <wp:wrapNone/>
                <wp:docPr id="108" name="Rect 108"/>
                <wp:cNvGraphicFramePr/>
                <a:graphic>
                  <a:graphicData uri="http://schemas.microsoft.com/office/word/2010/wordprocessingShape">
                    <wps:wsp>
                      <wps:cNvPr id="108" name="Rect 108"/>
                      <wps:cNvSpPr/>
                      <wps:spPr>
                        <a:xfrm>
                          <a:off x="755263" y="-923738"/>
                          <a:ext cx="6210300" cy="7118350"/>
                        </a:xfrm>
                        <a:prstGeom prst="rect">
                          <a:avLst/>
                        </a:prstGeom>
                        <a:solidFill>
                          <a:srgbClr val="00338D">
                            <a:alpha val="50196"/>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92" style="position:absolute;margin-left:59.4696pt;margin-top:-72.7353pt;mso-position-vertical-relative:text;mso-position-horizontal-relative:text;width:489pt;height:560.5pt;z-index:-251592704;" fillcolor="#00338D" filled="true" stroked="false">
                <v:fill opacity="0.501961"/>
              </v:rect>
            </w:pict>
          </mc:Fallback>
        </mc:AlternateContent>
      </w:r>
      <w:r>
        <w:drawing>
          <wp:anchor distT="0" distB="0" distL="0" distR="0" simplePos="0" relativeHeight="251724800" behindDoc="1" locked="0" layoutInCell="1" allowOverlap="1">
            <wp:simplePos x="0" y="0"/>
            <wp:positionH relativeFrom="column">
              <wp:posOffset>826008</wp:posOffset>
            </wp:positionH>
            <wp:positionV relativeFrom="paragraph">
              <wp:posOffset>-1599752</wp:posOffset>
            </wp:positionV>
            <wp:extent cx="6123432" cy="7723555"/>
            <wp:effectExtent l="0" t="0" r="0" b="0"/>
            <wp:wrapNone/>
            <wp:docPr id="110" name="IM 110"/>
            <wp:cNvGraphicFramePr/>
            <a:graphic>
              <a:graphicData uri="http://schemas.openxmlformats.org/drawingml/2006/picture">
                <pic:pic>
                  <pic:nvPicPr>
                    <pic:cNvPr id="110" name="IM 110"/>
                    <pic:cNvPicPr/>
                  </pic:nvPicPr>
                  <pic:blipFill>
                    <a:blip r:embed="rId43"/>
                    <a:stretch>
                      <a:fillRect/>
                    </a:stretch>
                  </pic:blipFill>
                  <pic:spPr>
                    <a:xfrm rot="0">
                      <a:off x="0" y="0"/>
                      <a:ext cx="6123432" cy="7723555"/>
                    </a:xfrm>
                    <a:prstGeom prst="rect">
                      <a:avLst/>
                    </a:prstGeom>
                  </pic:spPr>
                </pic:pic>
              </a:graphicData>
            </a:graphic>
          </wp:anchor>
        </w:drawing>
      </w:r>
      <w:r>
        <w:pict>
          <v:shape id="_x0000_s94" style="position:absolute;margin-left:89.8524pt;margin-top:-1.62973pt;mso-position-vertical-relative:text;mso-position-horizontal-relative:text;width:29.6pt;height:32.45pt;z-index:251725824;" filled="false" stroked="false" type="#_x0000_t202">
            <v:fill on="false"/>
            <v:stroke on="false"/>
            <v:path/>
            <v:imagedata o:title=""/>
            <o:lock v:ext="edit" aspectratio="false"/>
            <v:textbox inset="0mm,0mm,0mm,0mm">
              <w:txbxContent>
                <w:p>
                  <w:pPr>
                    <w:spacing w:before="20" w:line="608" w:lineRule="exact"/>
                    <w:jc w:val="right"/>
                    <w:rPr>
                      <w:rFonts w:ascii="Trebuchet MS" w:hAnsi="Trebuchet MS" w:eastAsia="Trebuchet MS" w:cs="Trebuchet MS"/>
                      <w:sz w:val="87"/>
                      <w:szCs w:val="87"/>
                    </w:rPr>
                  </w:pPr>
                  <w:r>
                    <w:rPr>
                      <w:rFonts w:ascii="Trebuchet MS" w:hAnsi="Trebuchet MS" w:eastAsia="Trebuchet MS" w:cs="Trebuchet MS"/>
                      <w:sz w:val="87"/>
                      <w:szCs w:val="87"/>
                      <w:b/>
                      <w:bCs/>
                      <w:color w:val="00338D"/>
                      <w:spacing w:val="-111"/>
                      <w:w w:val="75"/>
                      <w:position w:val="-11"/>
                    </w:rPr>
                    <w:t>01</w:t>
                  </w:r>
                </w:p>
              </w:txbxContent>
            </v:textbox>
          </v:shape>
        </w:pict>
      </w:r>
      <w:r>
        <w:rPr>
          <w:rFonts w:ascii="Microsoft YaHei" w:hAnsi="Microsoft YaHei" w:eastAsia="Microsoft YaHei" w:cs="Microsoft YaHei"/>
          <w:sz w:val="32"/>
          <w:szCs w:val="32"/>
          <w:b/>
          <w:bCs/>
          <w:color w:val="00338D"/>
        </w:rPr>
        <w:t>摘要                                                                      </w:t>
      </w:r>
      <w:r>
        <w:rPr>
          <w:rFonts w:ascii="Microsoft YaHei" w:hAnsi="Microsoft YaHei" w:eastAsia="Microsoft YaHei" w:cs="Microsoft YaHei"/>
          <w:sz w:val="32"/>
          <w:szCs w:val="32"/>
          <w:b/>
          <w:bCs/>
          <w:color w:val="00338D"/>
          <w:spacing w:val="-1"/>
        </w:rPr>
        <w:t xml:space="preserve">    </w:t>
      </w:r>
      <w:r>
        <w:rPr>
          <w:rFonts w:ascii="Microsoft YaHei" w:hAnsi="Microsoft YaHei" w:eastAsia="Microsoft YaHei" w:cs="Microsoft YaHei"/>
          <w:sz w:val="22"/>
          <w:szCs w:val="22"/>
          <w:color w:val="00338D"/>
          <w:spacing w:val="-1"/>
          <w:position w:val="3"/>
        </w:rPr>
        <w:t>1</w:t>
      </w:r>
    </w:p>
    <w:p>
      <w:pPr>
        <w:spacing w:line="223" w:lineRule="exact"/>
        <w:rPr/>
      </w:pPr>
      <w:r/>
    </w:p>
    <w:tbl>
      <w:tblPr>
        <w:tblStyle w:val="TableNormal"/>
        <w:tblW w:w="8887" w:type="dxa"/>
        <w:tblInd w:w="1732"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91"/>
        <w:gridCol w:w="5678"/>
        <w:gridCol w:w="2318"/>
      </w:tblGrid>
      <w:tr>
        <w:trPr>
          <w:trHeight w:val="1230" w:hRule="atLeast"/>
        </w:trPr>
        <w:tc>
          <w:tcPr>
            <w:tcW w:w="891" w:type="dxa"/>
            <w:vAlign w:val="top"/>
            <w:tcBorders>
              <w:bottom w:val="single" w:color="BFBFBF" w:sz="8" w:space="0"/>
              <w:top w:val="single" w:color="BFBFBF" w:sz="8" w:space="0"/>
            </w:tcBorders>
          </w:tcPr>
          <w:p>
            <w:pPr>
              <w:spacing w:before="282" w:line="189" w:lineRule="auto"/>
              <w:jc w:val="right"/>
              <w:rPr>
                <w:rFonts w:ascii="Trebuchet MS" w:hAnsi="Trebuchet MS" w:eastAsia="Trebuchet MS" w:cs="Trebuchet MS"/>
                <w:sz w:val="87"/>
                <w:szCs w:val="87"/>
              </w:rPr>
            </w:pPr>
            <w:r>
              <w:rPr>
                <w:rFonts w:ascii="Trebuchet MS" w:hAnsi="Trebuchet MS" w:eastAsia="Trebuchet MS" w:cs="Trebuchet MS"/>
                <w:sz w:val="87"/>
                <w:szCs w:val="87"/>
                <w:b/>
                <w:bCs/>
                <w:color w:val="00338D"/>
                <w:spacing w:val="-59"/>
                <w:w w:val="71"/>
              </w:rPr>
              <w:t>0</w:t>
            </w:r>
            <w:r>
              <w:rPr>
                <w:rFonts w:ascii="Trebuchet MS" w:hAnsi="Trebuchet MS" w:eastAsia="Trebuchet MS" w:cs="Trebuchet MS"/>
                <w:sz w:val="87"/>
                <w:szCs w:val="87"/>
                <w:b/>
                <w:bCs/>
                <w:color w:val="00338D"/>
                <w:spacing w:val="-37"/>
                <w:w w:val="71"/>
              </w:rPr>
              <w:t>2</w:t>
            </w:r>
          </w:p>
        </w:tc>
        <w:tc>
          <w:tcPr>
            <w:tcW w:w="5678" w:type="dxa"/>
            <w:vAlign w:val="top"/>
            <w:tcBorders>
              <w:bottom w:val="single" w:color="BFBFBF" w:sz="8" w:space="0"/>
              <w:top w:val="single" w:color="BFBFBF" w:sz="8" w:space="0"/>
            </w:tcBorders>
          </w:tcPr>
          <w:p>
            <w:pPr>
              <w:spacing w:line="298" w:lineRule="auto"/>
              <w:rPr>
                <w:rFonts w:ascii="Arial"/>
                <w:sz w:val="21"/>
              </w:rPr>
            </w:pPr>
            <w:r/>
          </w:p>
          <w:p>
            <w:pPr>
              <w:pStyle w:val="TableText"/>
              <w:ind w:left="99"/>
              <w:spacing w:before="137" w:line="179" w:lineRule="auto"/>
              <w:rPr>
                <w:sz w:val="32"/>
                <w:szCs w:val="32"/>
              </w:rPr>
            </w:pPr>
            <w:r>
              <w:rPr>
                <w:sz w:val="32"/>
                <w:szCs w:val="32"/>
                <w:b/>
                <w:bCs/>
                <w:color w:val="00338D"/>
              </w:rPr>
              <w:t>储能发展背景</w:t>
            </w:r>
          </w:p>
        </w:tc>
        <w:tc>
          <w:tcPr>
            <w:tcW w:w="2318" w:type="dxa"/>
            <w:vAlign w:val="top"/>
            <w:tcBorders>
              <w:bottom w:val="single" w:color="BFBFBF" w:sz="8" w:space="0"/>
              <w:top w:val="single" w:color="BFBFBF" w:sz="8" w:space="0"/>
            </w:tcBorders>
          </w:tcPr>
          <w:p>
            <w:pPr>
              <w:spacing w:line="415" w:lineRule="auto"/>
              <w:rPr>
                <w:rFonts w:ascii="Arial"/>
                <w:sz w:val="21"/>
              </w:rPr>
            </w:pPr>
            <w:r/>
          </w:p>
          <w:p>
            <w:pPr>
              <w:pStyle w:val="TableText"/>
              <w:ind w:left="1964"/>
              <w:spacing w:before="94" w:line="171" w:lineRule="auto"/>
              <w:rPr/>
            </w:pPr>
            <w:r>
              <w:rPr>
                <w:color w:val="00338D"/>
                <w:spacing w:val="-8"/>
              </w:rPr>
              <w:t>13</w:t>
            </w:r>
          </w:p>
        </w:tc>
      </w:tr>
      <w:tr>
        <w:trPr>
          <w:trHeight w:val="1109" w:hRule="atLeast"/>
        </w:trPr>
        <w:tc>
          <w:tcPr>
            <w:tcW w:w="891" w:type="dxa"/>
            <w:vAlign w:val="top"/>
            <w:tcBorders>
              <w:top w:val="single" w:color="BFBFBF" w:sz="8" w:space="0"/>
            </w:tcBorders>
          </w:tcPr>
          <w:p>
            <w:pPr>
              <w:spacing w:before="292" w:line="189" w:lineRule="auto"/>
              <w:jc w:val="right"/>
              <w:rPr>
                <w:rFonts w:ascii="Trebuchet MS" w:hAnsi="Trebuchet MS" w:eastAsia="Trebuchet MS" w:cs="Trebuchet MS"/>
                <w:sz w:val="87"/>
                <w:szCs w:val="87"/>
              </w:rPr>
            </w:pPr>
            <w:r>
              <w:rPr>
                <w:rFonts w:ascii="Trebuchet MS" w:hAnsi="Trebuchet MS" w:eastAsia="Trebuchet MS" w:cs="Trebuchet MS"/>
                <w:sz w:val="87"/>
                <w:szCs w:val="87"/>
                <w:b/>
                <w:bCs/>
                <w:color w:val="00338D"/>
                <w:spacing w:val="-73"/>
                <w:w w:val="77"/>
              </w:rPr>
              <w:t>0</w:t>
            </w:r>
            <w:r>
              <w:rPr>
                <w:rFonts w:ascii="Trebuchet MS" w:hAnsi="Trebuchet MS" w:eastAsia="Trebuchet MS" w:cs="Trebuchet MS"/>
                <w:sz w:val="87"/>
                <w:szCs w:val="87"/>
                <w:b/>
                <w:bCs/>
                <w:color w:val="00338D"/>
                <w:spacing w:val="-67"/>
                <w:w w:val="77"/>
              </w:rPr>
              <w:t>3</w:t>
            </w:r>
          </w:p>
        </w:tc>
        <w:tc>
          <w:tcPr>
            <w:tcW w:w="5678" w:type="dxa"/>
            <w:vAlign w:val="top"/>
            <w:tcBorders>
              <w:top w:val="single" w:color="BFBFBF" w:sz="8" w:space="0"/>
            </w:tcBorders>
          </w:tcPr>
          <w:p>
            <w:pPr>
              <w:pStyle w:val="TableText"/>
              <w:ind w:left="99"/>
              <w:spacing w:before="305" w:line="180" w:lineRule="auto"/>
              <w:rPr>
                <w:sz w:val="32"/>
                <w:szCs w:val="32"/>
              </w:rPr>
            </w:pPr>
            <w:r>
              <w:rPr>
                <w:sz w:val="32"/>
                <w:szCs w:val="32"/>
                <w:b/>
                <w:bCs/>
                <w:color w:val="00338D"/>
              </w:rPr>
              <w:t>储能市场概况</w:t>
            </w:r>
          </w:p>
          <w:p>
            <w:pPr>
              <w:pStyle w:val="TableText"/>
              <w:ind w:left="159"/>
              <w:spacing w:before="102" w:line="176" w:lineRule="auto"/>
              <w:rPr/>
            </w:pPr>
            <w:r>
              <w:rPr>
                <w:color w:val="00338D"/>
                <w:spacing w:val="-3"/>
              </w:rPr>
              <w:t>1.</w:t>
            </w:r>
            <w:r>
              <w:rPr>
                <w:color w:val="00338D"/>
                <w:spacing w:val="38"/>
              </w:rPr>
              <w:t xml:space="preserve"> </w:t>
            </w:r>
            <w:r>
              <w:rPr>
                <w:color w:val="00338D"/>
                <w:spacing w:val="-3"/>
              </w:rPr>
              <w:t>储能方式</w:t>
            </w:r>
          </w:p>
        </w:tc>
        <w:tc>
          <w:tcPr>
            <w:tcW w:w="2318" w:type="dxa"/>
            <w:vAlign w:val="top"/>
            <w:tcBorders>
              <w:top w:val="single" w:color="BFBFBF" w:sz="8" w:space="0"/>
            </w:tcBorders>
          </w:tcPr>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pStyle w:val="TableText"/>
              <w:ind w:left="1964"/>
              <w:spacing w:before="94" w:line="164" w:lineRule="auto"/>
              <w:rPr/>
            </w:pPr>
            <w:r>
              <w:rPr>
                <w:color w:val="00338D"/>
                <w:spacing w:val="-8"/>
              </w:rPr>
              <w:t>16</w:t>
            </w:r>
          </w:p>
        </w:tc>
      </w:tr>
      <w:tr>
        <w:trPr>
          <w:trHeight w:val="383" w:hRule="atLeast"/>
        </w:trPr>
        <w:tc>
          <w:tcPr>
            <w:tcW w:w="891" w:type="dxa"/>
            <w:vAlign w:val="top"/>
          </w:tcPr>
          <w:p>
            <w:pPr>
              <w:rPr>
                <w:rFonts w:ascii="Arial"/>
                <w:sz w:val="21"/>
              </w:rPr>
            </w:pPr>
            <w:r/>
          </w:p>
        </w:tc>
        <w:tc>
          <w:tcPr>
            <w:tcW w:w="5678" w:type="dxa"/>
            <w:vAlign w:val="top"/>
          </w:tcPr>
          <w:p>
            <w:pPr>
              <w:pStyle w:val="TableText"/>
              <w:ind w:left="148"/>
              <w:spacing w:before="95" w:line="176" w:lineRule="auto"/>
              <w:rPr/>
            </w:pPr>
            <w:r>
              <w:rPr>
                <w:color w:val="00338D"/>
                <w:spacing w:val="-1"/>
              </w:rPr>
              <w:t>2.</w:t>
            </w:r>
            <w:r>
              <w:rPr>
                <w:color w:val="00338D"/>
                <w:spacing w:val="44"/>
              </w:rPr>
              <w:t xml:space="preserve"> </w:t>
            </w:r>
            <w:r>
              <w:rPr>
                <w:color w:val="00338D"/>
                <w:spacing w:val="-1"/>
              </w:rPr>
              <w:t>储能产业规模及预测</w:t>
            </w:r>
          </w:p>
        </w:tc>
        <w:tc>
          <w:tcPr>
            <w:tcW w:w="2318" w:type="dxa"/>
            <w:vAlign w:val="top"/>
          </w:tcPr>
          <w:p>
            <w:pPr>
              <w:pStyle w:val="TableText"/>
              <w:ind w:left="1954"/>
              <w:spacing w:before="116" w:line="163" w:lineRule="auto"/>
              <w:rPr/>
            </w:pPr>
            <w:r>
              <w:rPr>
                <w:color w:val="00338D"/>
                <w:spacing w:val="-5"/>
              </w:rPr>
              <w:t>23</w:t>
            </w:r>
          </w:p>
        </w:tc>
      </w:tr>
      <w:tr>
        <w:trPr>
          <w:trHeight w:val="556" w:hRule="atLeast"/>
        </w:trPr>
        <w:tc>
          <w:tcPr>
            <w:tcW w:w="891" w:type="dxa"/>
            <w:vAlign w:val="top"/>
            <w:tcBorders>
              <w:bottom w:val="single" w:color="BFBFBF" w:sz="8" w:space="0"/>
            </w:tcBorders>
          </w:tcPr>
          <w:p>
            <w:pPr>
              <w:rPr>
                <w:rFonts w:ascii="Arial"/>
                <w:sz w:val="21"/>
              </w:rPr>
            </w:pPr>
            <w:r/>
          </w:p>
        </w:tc>
        <w:tc>
          <w:tcPr>
            <w:tcW w:w="5678" w:type="dxa"/>
            <w:vAlign w:val="top"/>
            <w:tcBorders>
              <w:bottom w:val="single" w:color="BFBFBF" w:sz="8" w:space="0"/>
            </w:tcBorders>
          </w:tcPr>
          <w:p>
            <w:pPr>
              <w:pStyle w:val="TableText"/>
              <w:ind w:left="146"/>
              <w:spacing w:before="95" w:line="177" w:lineRule="auto"/>
              <w:rPr/>
            </w:pPr>
            <w:r>
              <w:rPr>
                <w:color w:val="00338D"/>
                <w:spacing w:val="-1"/>
              </w:rPr>
              <w:t>3.</w:t>
            </w:r>
            <w:r>
              <w:rPr>
                <w:color w:val="00338D"/>
                <w:spacing w:val="51"/>
                <w:w w:val="101"/>
              </w:rPr>
              <w:t xml:space="preserve"> </w:t>
            </w:r>
            <w:r>
              <w:rPr>
                <w:color w:val="00338D"/>
                <w:spacing w:val="-1"/>
              </w:rPr>
              <w:t>国内外新型储能发展比较</w:t>
            </w:r>
          </w:p>
        </w:tc>
        <w:tc>
          <w:tcPr>
            <w:tcW w:w="2318" w:type="dxa"/>
            <w:vAlign w:val="top"/>
            <w:tcBorders>
              <w:bottom w:val="single" w:color="BFBFBF" w:sz="8" w:space="0"/>
            </w:tcBorders>
          </w:tcPr>
          <w:p>
            <w:pPr>
              <w:pStyle w:val="TableText"/>
              <w:ind w:left="1954"/>
              <w:spacing w:before="116" w:line="171" w:lineRule="auto"/>
              <w:rPr/>
            </w:pPr>
            <w:r>
              <w:rPr>
                <w:color w:val="00338D"/>
                <w:spacing w:val="-5"/>
              </w:rPr>
              <w:t>27</w:t>
            </w:r>
          </w:p>
        </w:tc>
      </w:tr>
      <w:tr>
        <w:trPr>
          <w:trHeight w:val="2024" w:hRule="atLeast"/>
        </w:trPr>
        <w:tc>
          <w:tcPr>
            <w:tcW w:w="891" w:type="dxa"/>
            <w:vAlign w:val="top"/>
            <w:tcBorders>
              <w:bottom w:val="single" w:color="BFBFBF" w:sz="8" w:space="0"/>
              <w:top w:val="single" w:color="BFBFBF" w:sz="8" w:space="0"/>
            </w:tcBorders>
          </w:tcPr>
          <w:p>
            <w:pPr>
              <w:spacing w:before="305" w:line="189" w:lineRule="auto"/>
              <w:jc w:val="right"/>
              <w:rPr>
                <w:rFonts w:ascii="Trebuchet MS" w:hAnsi="Trebuchet MS" w:eastAsia="Trebuchet MS" w:cs="Trebuchet MS"/>
                <w:sz w:val="87"/>
                <w:szCs w:val="87"/>
              </w:rPr>
            </w:pPr>
            <w:r>
              <w:rPr>
                <w:rFonts w:ascii="Trebuchet MS" w:hAnsi="Trebuchet MS" w:eastAsia="Trebuchet MS" w:cs="Trebuchet MS"/>
                <w:sz w:val="87"/>
                <w:szCs w:val="87"/>
                <w:b/>
                <w:bCs/>
                <w:color w:val="00338D"/>
                <w:spacing w:val="-59"/>
                <w:w w:val="73"/>
              </w:rPr>
              <w:t>0</w:t>
            </w:r>
            <w:r>
              <w:rPr>
                <w:rFonts w:ascii="Trebuchet MS" w:hAnsi="Trebuchet MS" w:eastAsia="Trebuchet MS" w:cs="Trebuchet MS"/>
                <w:sz w:val="87"/>
                <w:szCs w:val="87"/>
                <w:b/>
                <w:bCs/>
                <w:color w:val="00338D"/>
                <w:spacing w:val="-29"/>
                <w:w w:val="73"/>
              </w:rPr>
              <w:t>4</w:t>
            </w:r>
          </w:p>
        </w:tc>
        <w:tc>
          <w:tcPr>
            <w:tcW w:w="5678" w:type="dxa"/>
            <w:vAlign w:val="top"/>
            <w:tcBorders>
              <w:bottom w:val="single" w:color="BFBFBF" w:sz="8" w:space="0"/>
              <w:top w:val="single" w:color="BFBFBF" w:sz="8" w:space="0"/>
            </w:tcBorders>
          </w:tcPr>
          <w:p>
            <w:pPr>
              <w:pStyle w:val="TableText"/>
              <w:ind w:left="99"/>
              <w:spacing w:before="321" w:line="178" w:lineRule="auto"/>
              <w:rPr>
                <w:sz w:val="32"/>
                <w:szCs w:val="32"/>
              </w:rPr>
            </w:pPr>
            <w:r>
              <w:rPr>
                <w:sz w:val="32"/>
                <w:szCs w:val="32"/>
                <w:b/>
                <w:bCs/>
                <w:color w:val="00338D"/>
              </w:rPr>
              <w:t>储能商业模式</w:t>
            </w:r>
          </w:p>
          <w:p>
            <w:pPr>
              <w:pStyle w:val="TableText"/>
              <w:ind w:left="159"/>
              <w:spacing w:before="105" w:line="176" w:lineRule="auto"/>
              <w:rPr/>
            </w:pPr>
            <w:r>
              <w:rPr>
                <w:color w:val="00338D"/>
                <w:spacing w:val="-4"/>
              </w:rPr>
              <w:t>1.</w:t>
            </w:r>
            <w:r>
              <w:rPr>
                <w:color w:val="00338D"/>
                <w:spacing w:val="39"/>
                <w:w w:val="101"/>
              </w:rPr>
              <w:t xml:space="preserve"> </w:t>
            </w:r>
            <w:r>
              <w:rPr>
                <w:color w:val="00338D"/>
                <w:spacing w:val="-4"/>
              </w:rPr>
              <w:t>发电侧</w:t>
            </w:r>
          </w:p>
          <w:p>
            <w:pPr>
              <w:pStyle w:val="TableText"/>
              <w:ind w:left="148"/>
              <w:spacing w:before="106" w:line="176" w:lineRule="auto"/>
              <w:rPr/>
            </w:pPr>
            <w:r>
              <w:rPr>
                <w:color w:val="00338D"/>
                <w:spacing w:val="-5"/>
              </w:rPr>
              <w:t>2.</w:t>
            </w:r>
            <w:r>
              <w:rPr>
                <w:color w:val="00338D"/>
                <w:spacing w:val="62"/>
              </w:rPr>
              <w:t xml:space="preserve"> </w:t>
            </w:r>
            <w:r>
              <w:rPr>
                <w:color w:val="00338D"/>
                <w:spacing w:val="-5"/>
              </w:rPr>
              <w:t>电网侧</w:t>
            </w:r>
          </w:p>
          <w:p>
            <w:pPr>
              <w:pStyle w:val="TableText"/>
              <w:ind w:left="146"/>
              <w:spacing w:before="106" w:line="176" w:lineRule="auto"/>
              <w:rPr/>
            </w:pPr>
            <w:r>
              <w:rPr>
                <w:color w:val="00338D"/>
                <w:spacing w:val="-2"/>
              </w:rPr>
              <w:t>3.</w:t>
            </w:r>
            <w:r>
              <w:rPr>
                <w:color w:val="00338D"/>
                <w:spacing w:val="42"/>
                <w:w w:val="101"/>
              </w:rPr>
              <w:t xml:space="preserve"> </w:t>
            </w:r>
            <w:r>
              <w:rPr>
                <w:color w:val="00338D"/>
                <w:spacing w:val="-2"/>
              </w:rPr>
              <w:t>用户侧</w:t>
            </w:r>
          </w:p>
        </w:tc>
        <w:tc>
          <w:tcPr>
            <w:tcW w:w="2318" w:type="dxa"/>
            <w:vAlign w:val="top"/>
            <w:tcBorders>
              <w:bottom w:val="single" w:color="BFBFBF" w:sz="8" w:space="0"/>
              <w:top w:val="single" w:color="BFBFBF" w:sz="8" w:space="0"/>
            </w:tcBorders>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pStyle w:val="TableText"/>
              <w:ind w:left="1951"/>
              <w:spacing w:before="95" w:line="171" w:lineRule="auto"/>
              <w:rPr/>
            </w:pPr>
            <w:r>
              <w:rPr>
                <w:color w:val="00338D"/>
                <w:spacing w:val="-5"/>
              </w:rPr>
              <w:t>33</w:t>
            </w:r>
          </w:p>
          <w:p>
            <w:pPr>
              <w:pStyle w:val="TableText"/>
              <w:ind w:left="1951"/>
              <w:spacing w:before="115" w:line="171" w:lineRule="auto"/>
              <w:rPr/>
            </w:pPr>
            <w:r>
              <w:rPr>
                <w:color w:val="00338D"/>
                <w:spacing w:val="-5"/>
              </w:rPr>
              <w:t>39</w:t>
            </w:r>
          </w:p>
          <w:p>
            <w:pPr>
              <w:pStyle w:val="TableText"/>
              <w:ind w:left="1951"/>
              <w:spacing w:before="114" w:line="171" w:lineRule="auto"/>
              <w:rPr/>
            </w:pPr>
            <w:r>
              <w:rPr>
                <w:color w:val="00338D"/>
                <w:spacing w:val="-5"/>
              </w:rPr>
              <w:t>53</w:t>
            </w:r>
          </w:p>
        </w:tc>
      </w:tr>
      <w:tr>
        <w:trPr>
          <w:trHeight w:val="2024" w:hRule="atLeast"/>
        </w:trPr>
        <w:tc>
          <w:tcPr>
            <w:tcW w:w="891" w:type="dxa"/>
            <w:vAlign w:val="top"/>
            <w:tcBorders>
              <w:bottom w:val="single" w:color="BFBFBF" w:sz="8" w:space="0"/>
              <w:top w:val="single" w:color="BFBFBF" w:sz="8" w:space="0"/>
            </w:tcBorders>
          </w:tcPr>
          <w:p>
            <w:pPr>
              <w:spacing w:before="279" w:line="189" w:lineRule="auto"/>
              <w:jc w:val="right"/>
              <w:rPr>
                <w:rFonts w:ascii="Trebuchet MS" w:hAnsi="Trebuchet MS" w:eastAsia="Trebuchet MS" w:cs="Trebuchet MS"/>
                <w:sz w:val="87"/>
                <w:szCs w:val="87"/>
              </w:rPr>
            </w:pPr>
            <w:r>
              <w:rPr>
                <w:rFonts w:ascii="Trebuchet MS" w:hAnsi="Trebuchet MS" w:eastAsia="Trebuchet MS" w:cs="Trebuchet MS"/>
                <w:sz w:val="87"/>
                <w:szCs w:val="87"/>
                <w:b/>
                <w:bCs/>
                <w:color w:val="00338D"/>
                <w:spacing w:val="-81"/>
                <w:w w:val="77"/>
              </w:rPr>
              <w:t>0</w:t>
            </w:r>
            <w:r>
              <w:rPr>
                <w:rFonts w:ascii="Trebuchet MS" w:hAnsi="Trebuchet MS" w:eastAsia="Trebuchet MS" w:cs="Trebuchet MS"/>
                <w:sz w:val="87"/>
                <w:szCs w:val="87"/>
                <w:b/>
                <w:bCs/>
                <w:color w:val="00338D"/>
                <w:spacing w:val="-59"/>
                <w:w w:val="77"/>
              </w:rPr>
              <w:t>5</w:t>
            </w:r>
          </w:p>
        </w:tc>
        <w:tc>
          <w:tcPr>
            <w:tcW w:w="5678" w:type="dxa"/>
            <w:vAlign w:val="top"/>
            <w:tcBorders>
              <w:bottom w:val="single" w:color="BFBFBF" w:sz="8" w:space="0"/>
              <w:top w:val="single" w:color="BFBFBF" w:sz="8" w:space="0"/>
            </w:tcBorders>
          </w:tcPr>
          <w:p>
            <w:pPr>
              <w:pStyle w:val="TableText"/>
              <w:ind w:left="99"/>
              <w:spacing w:before="242" w:line="180" w:lineRule="auto"/>
              <w:rPr>
                <w:sz w:val="32"/>
                <w:szCs w:val="32"/>
              </w:rPr>
            </w:pPr>
            <w:r>
              <w:rPr>
                <w:sz w:val="32"/>
                <w:szCs w:val="32"/>
                <w:b/>
                <w:bCs/>
                <w:color w:val="00338D"/>
              </w:rPr>
              <w:t>储能企业布局和融资</w:t>
            </w:r>
          </w:p>
          <w:p>
            <w:pPr>
              <w:pStyle w:val="TableText"/>
              <w:ind w:left="159"/>
              <w:spacing w:before="101" w:line="177" w:lineRule="auto"/>
              <w:rPr/>
            </w:pPr>
            <w:r>
              <w:rPr>
                <w:color w:val="00338D"/>
                <w:spacing w:val="-2"/>
              </w:rPr>
              <w:t>1.</w:t>
            </w:r>
            <w:r>
              <w:rPr>
                <w:color w:val="00338D"/>
                <w:spacing w:val="62"/>
              </w:rPr>
              <w:t xml:space="preserve"> </w:t>
            </w:r>
            <w:r>
              <w:rPr>
                <w:color w:val="00338D"/>
                <w:spacing w:val="-2"/>
              </w:rPr>
              <w:t>中国储能企业和储能基础研究爆发</w:t>
            </w:r>
          </w:p>
          <w:p>
            <w:pPr>
              <w:pStyle w:val="TableText"/>
              <w:ind w:left="148"/>
              <w:spacing w:before="104" w:line="177" w:lineRule="auto"/>
              <w:rPr/>
            </w:pPr>
            <w:r>
              <w:rPr>
                <w:color w:val="00338D"/>
                <w:spacing w:val="-1"/>
              </w:rPr>
              <w:t>2.</w:t>
            </w:r>
            <w:r>
              <w:rPr>
                <w:color w:val="00338D"/>
                <w:spacing w:val="42"/>
                <w:w w:val="101"/>
              </w:rPr>
              <w:t xml:space="preserve"> </w:t>
            </w:r>
            <w:r>
              <w:rPr>
                <w:color w:val="00338D"/>
                <w:spacing w:val="-1"/>
              </w:rPr>
              <w:t>全球储能行业融资</w:t>
            </w:r>
          </w:p>
          <w:p>
            <w:pPr>
              <w:pStyle w:val="TableText"/>
              <w:ind w:left="146"/>
              <w:spacing w:before="107" w:line="176" w:lineRule="auto"/>
              <w:rPr/>
            </w:pPr>
            <w:r>
              <w:rPr>
                <w:color w:val="00338D"/>
                <w:spacing w:val="-2"/>
              </w:rPr>
              <w:t>3.</w:t>
            </w:r>
            <w:r>
              <w:rPr>
                <w:color w:val="00338D"/>
                <w:spacing w:val="57"/>
              </w:rPr>
              <w:t xml:space="preserve"> </w:t>
            </w:r>
            <w:r>
              <w:rPr>
                <w:color w:val="00338D"/>
                <w:spacing w:val="-2"/>
              </w:rPr>
              <w:t>中国储能行业融资</w:t>
            </w:r>
          </w:p>
        </w:tc>
        <w:tc>
          <w:tcPr>
            <w:tcW w:w="2318" w:type="dxa"/>
            <w:vAlign w:val="top"/>
            <w:tcBorders>
              <w:bottom w:val="single" w:color="BFBFBF" w:sz="8" w:space="0"/>
              <w:top w:val="single" w:color="BFBFBF" w:sz="8" w:space="0"/>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pStyle w:val="TableText"/>
              <w:ind w:left="1957"/>
              <w:spacing w:before="94" w:line="171" w:lineRule="auto"/>
              <w:rPr/>
            </w:pPr>
            <w:r>
              <w:rPr>
                <w:color w:val="00338D"/>
                <w:spacing w:val="-6"/>
              </w:rPr>
              <w:t>64</w:t>
            </w:r>
          </w:p>
          <w:p>
            <w:pPr>
              <w:pStyle w:val="TableText"/>
              <w:ind w:left="1957"/>
              <w:spacing w:before="115" w:line="171" w:lineRule="auto"/>
              <w:rPr/>
            </w:pPr>
            <w:r>
              <w:rPr>
                <w:color w:val="00338D"/>
                <w:spacing w:val="-6"/>
              </w:rPr>
              <w:t>68</w:t>
            </w:r>
          </w:p>
          <w:p>
            <w:pPr>
              <w:pStyle w:val="TableText"/>
              <w:ind w:left="1957"/>
              <w:spacing w:before="115" w:line="171" w:lineRule="auto"/>
              <w:rPr/>
            </w:pPr>
            <w:r>
              <w:rPr>
                <w:color w:val="00338D"/>
                <w:spacing w:val="-6"/>
              </w:rPr>
              <w:t>69</w:t>
            </w:r>
          </w:p>
        </w:tc>
      </w:tr>
    </w:tbl>
    <w:p>
      <w:pPr>
        <w:ind w:left="1877"/>
        <w:spacing w:before="186" w:line="189" w:lineRule="auto"/>
        <w:rPr>
          <w:rFonts w:ascii="Microsoft YaHei" w:hAnsi="Microsoft YaHei" w:eastAsia="Microsoft YaHei" w:cs="Microsoft YaHei"/>
          <w:sz w:val="32"/>
          <w:szCs w:val="32"/>
        </w:rPr>
      </w:pPr>
      <w:r>
        <w:pict>
          <v:shape id="_x0000_s96" style="position:absolute;margin-left:511.908pt;margin-top:19.7594pt;mso-position-vertical-relative:text;mso-position-horizontal-relative:text;width:13.85pt;height:15.45pt;z-index:251726848;" filled="false" stroked="false" type="#_x0000_t202">
            <v:fill on="false"/>
            <v:stroke on="false"/>
            <v:path/>
            <v:imagedata o:title=""/>
            <o:lock v:ext="edit" aspectratio="false"/>
            <v:textbox inset="0mm,0mm,0mm,0mm">
              <w:txbxContent>
                <w:p>
                  <w:pPr>
                    <w:ind w:left="20"/>
                    <w:spacing w:before="19" w:line="171" w:lineRule="auto"/>
                    <w:rPr>
                      <w:rFonts w:ascii="Microsoft YaHei" w:hAnsi="Microsoft YaHei" w:eastAsia="Microsoft YaHei" w:cs="Microsoft YaHei"/>
                      <w:sz w:val="22"/>
                      <w:szCs w:val="22"/>
                    </w:rPr>
                  </w:pPr>
                  <w:r>
                    <w:rPr>
                      <w:rFonts w:ascii="Microsoft YaHei" w:hAnsi="Microsoft YaHei" w:eastAsia="Microsoft YaHei" w:cs="Microsoft YaHei"/>
                      <w:sz w:val="22"/>
                      <w:szCs w:val="22"/>
                      <w:color w:val="00338D"/>
                      <w:spacing w:val="-6"/>
                    </w:rPr>
                    <w:t>73</w:t>
                  </w:r>
                </w:p>
              </w:txbxContent>
            </v:textbox>
          </v:shape>
        </w:pict>
      </w:r>
      <w:r>
        <w:rPr>
          <w:rFonts w:ascii="Trebuchet MS" w:hAnsi="Trebuchet MS" w:eastAsia="Trebuchet MS" w:cs="Trebuchet MS"/>
          <w:sz w:val="87"/>
          <w:szCs w:val="87"/>
          <w:b/>
          <w:bCs/>
          <w:color w:val="00338D"/>
          <w:spacing w:val="-57"/>
          <w:w w:val="76"/>
          <w:position w:val="-7"/>
        </w:rPr>
        <w:t>06</w:t>
      </w:r>
      <w:r>
        <w:rPr>
          <w:rFonts w:ascii="Trebuchet MS" w:hAnsi="Trebuchet MS" w:eastAsia="Trebuchet MS" w:cs="Trebuchet MS"/>
          <w:sz w:val="87"/>
          <w:szCs w:val="87"/>
          <w:b/>
          <w:bCs/>
          <w:color w:val="00338D"/>
          <w:spacing w:val="-74"/>
          <w:position w:val="-7"/>
        </w:rPr>
        <w:t xml:space="preserve"> </w:t>
      </w:r>
      <w:r>
        <w:rPr>
          <w:rFonts w:ascii="Microsoft YaHei" w:hAnsi="Microsoft YaHei" w:eastAsia="Microsoft YaHei" w:cs="Microsoft YaHei"/>
          <w:sz w:val="32"/>
          <w:szCs w:val="32"/>
          <w:b/>
          <w:bCs/>
          <w:color w:val="00338D"/>
          <w:position w:val="9"/>
        </w:rPr>
        <w:t>行业未来展望</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1805" w:right="1241" w:hanging="411"/>
        <w:spacing w:before="48"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F1F1F1"/>
          <w:spacing w:val="-1"/>
        </w:rPr>
        <w:t>© 2023</w:t>
      </w:r>
      <w:r>
        <w:rPr>
          <w:rFonts w:ascii="Microsoft YaHei" w:hAnsi="Microsoft YaHei" w:eastAsia="Microsoft YaHei" w:cs="Microsoft YaHei"/>
          <w:sz w:val="11"/>
          <w:szCs w:val="11"/>
          <w:color w:val="F1F1F1"/>
          <w:spacing w:val="-6"/>
        </w:rPr>
        <w:t xml:space="preserve"> </w:t>
      </w:r>
      <w:r>
        <w:rPr>
          <w:rFonts w:ascii="Microsoft YaHei" w:hAnsi="Microsoft YaHei" w:eastAsia="Microsoft YaHei" w:cs="Microsoft YaHei"/>
          <w:sz w:val="11"/>
          <w:szCs w:val="11"/>
          <w:color w:val="F1F1F1"/>
          <w:spacing w:val="-1"/>
        </w:rPr>
        <w:t>毕马威华振会计师事务所(特殊普通合伙)</w:t>
      </w:r>
      <w:r>
        <w:rPr>
          <w:rFonts w:ascii="Microsoft YaHei" w:hAnsi="Microsoft YaHei" w:eastAsia="Microsoft YaHei" w:cs="Microsoft YaHei"/>
          <w:sz w:val="11"/>
          <w:szCs w:val="11"/>
          <w:color w:val="F1F1F1"/>
          <w:spacing w:val="-12"/>
        </w:rPr>
        <w:t xml:space="preserve"> </w:t>
      </w:r>
      <w:r>
        <w:rPr>
          <w:rFonts w:ascii="Microsoft YaHei" w:hAnsi="Microsoft YaHei" w:eastAsia="Microsoft YaHei" w:cs="Microsoft YaHei"/>
          <w:sz w:val="11"/>
          <w:szCs w:val="11"/>
          <w:color w:val="F1F1F1"/>
          <w:spacing w:val="-1"/>
        </w:rPr>
        <w:t>— 中国合伙制会计师事务所，毕马威企业咨询</w:t>
      </w:r>
      <w:r>
        <w:rPr>
          <w:rFonts w:ascii="Microsoft YaHei" w:hAnsi="Microsoft YaHei" w:eastAsia="Microsoft YaHei" w:cs="Microsoft YaHei"/>
          <w:sz w:val="11"/>
          <w:szCs w:val="11"/>
          <w:color w:val="F1F1F1"/>
          <w:spacing w:val="-8"/>
        </w:rPr>
        <w:t xml:space="preserve"> </w:t>
      </w:r>
      <w:r>
        <w:rPr>
          <w:rFonts w:ascii="Microsoft YaHei" w:hAnsi="Microsoft YaHei" w:eastAsia="Microsoft YaHei" w:cs="Microsoft YaHei"/>
          <w:sz w:val="11"/>
          <w:szCs w:val="11"/>
          <w:color w:val="F1F1F1"/>
          <w:spacing w:val="-1"/>
        </w:rPr>
        <w:t>(中国)有限公司 — 中国有限责任公司，毕马威会计师事务所</w:t>
      </w:r>
      <w:r>
        <w:rPr>
          <w:rFonts w:ascii="Microsoft YaHei" w:hAnsi="Microsoft YaHei" w:eastAsia="Microsoft YaHei" w:cs="Microsoft YaHei"/>
          <w:sz w:val="11"/>
          <w:szCs w:val="11"/>
          <w:color w:val="F1F1F1"/>
          <w:spacing w:val="-8"/>
        </w:rPr>
        <w:t xml:space="preserve"> </w:t>
      </w:r>
      <w:r>
        <w:rPr>
          <w:rFonts w:ascii="Microsoft YaHei" w:hAnsi="Microsoft YaHei" w:eastAsia="Microsoft YaHei" w:cs="Microsoft YaHei"/>
          <w:sz w:val="11"/>
          <w:szCs w:val="11"/>
          <w:color w:val="F1F1F1"/>
          <w:spacing w:val="-1"/>
        </w:rPr>
        <w:t>— 澳门特别行政区合伙制事务所，</w:t>
      </w:r>
      <w:r>
        <w:rPr>
          <w:rFonts w:ascii="Microsoft YaHei" w:hAnsi="Microsoft YaHei" w:eastAsia="Microsoft YaHei" w:cs="Microsoft YaHei"/>
          <w:sz w:val="11"/>
          <w:szCs w:val="11"/>
          <w:color w:val="F1F1F1"/>
          <w:spacing w:val="-2"/>
        </w:rPr>
        <w:t>及毕马威</w:t>
      </w:r>
      <w:r>
        <w:rPr>
          <w:rFonts w:ascii="Microsoft YaHei" w:hAnsi="Microsoft YaHei" w:eastAsia="Microsoft YaHei" w:cs="Microsoft YaHei"/>
          <w:sz w:val="11"/>
          <w:szCs w:val="11"/>
          <w:color w:val="F1F1F1"/>
        </w:rPr>
        <w:t xml:space="preserve"> </w:t>
      </w:r>
      <w:r>
        <w:rPr>
          <w:rFonts w:ascii="Microsoft YaHei" w:hAnsi="Microsoft YaHei" w:eastAsia="Microsoft YaHei" w:cs="Microsoft YaHei"/>
          <w:sz w:val="11"/>
          <w:szCs w:val="11"/>
          <w:color w:val="F1F1F1"/>
        </w:rPr>
        <w:t>会计师事务所 —</w:t>
      </w:r>
      <w:r>
        <w:rPr>
          <w:rFonts w:ascii="Microsoft YaHei" w:hAnsi="Microsoft YaHei" w:eastAsia="Microsoft YaHei" w:cs="Microsoft YaHei"/>
          <w:sz w:val="11"/>
          <w:szCs w:val="11"/>
          <w:color w:val="F1F1F1"/>
          <w:spacing w:val="-6"/>
        </w:rPr>
        <w:t xml:space="preserve"> </w:t>
      </w:r>
      <w:r>
        <w:rPr>
          <w:rFonts w:ascii="Microsoft YaHei" w:hAnsi="Microsoft YaHei" w:eastAsia="Microsoft YaHei" w:cs="Microsoft YaHei"/>
          <w:sz w:val="11"/>
          <w:szCs w:val="11"/>
          <w:color w:val="F1F1F1"/>
        </w:rPr>
        <w:t>香港特别行政区合伙制事务所，</w:t>
      </w:r>
      <w:r>
        <w:rPr>
          <w:rFonts w:ascii="Microsoft YaHei" w:hAnsi="Microsoft YaHei" w:eastAsia="Microsoft YaHei" w:cs="Microsoft YaHei"/>
          <w:sz w:val="11"/>
          <w:szCs w:val="11"/>
          <w:color w:val="F1F1F1"/>
          <w:spacing w:val="-1"/>
        </w:rPr>
        <w:t>均是与英国私营担保有限公司</w:t>
      </w:r>
      <w:r>
        <w:rPr>
          <w:rFonts w:ascii="Microsoft YaHei" w:hAnsi="Microsoft YaHei" w:eastAsia="Microsoft YaHei" w:cs="Microsoft YaHei"/>
          <w:sz w:val="11"/>
          <w:szCs w:val="11"/>
          <w:color w:val="F1F1F1"/>
          <w:spacing w:val="-13"/>
        </w:rPr>
        <w:t xml:space="preserve"> </w:t>
      </w:r>
      <w:r>
        <w:rPr>
          <w:rFonts w:ascii="Microsoft YaHei" w:hAnsi="Microsoft YaHei" w:eastAsia="Microsoft YaHei" w:cs="Microsoft YaHei"/>
          <w:sz w:val="11"/>
          <w:szCs w:val="11"/>
          <w:color w:val="F1F1F1"/>
          <w:spacing w:val="-1"/>
        </w:rPr>
        <w:t>— 毕马威国际有限公司相关联的独立成员所全球性组织中的成员。版权所有，不得转载。在中国印刷。</w:t>
      </w:r>
    </w:p>
    <w:p>
      <w:pPr>
        <w:spacing w:line="172" w:lineRule="auto"/>
        <w:sectPr>
          <w:headerReference w:type="default" r:id="rId41"/>
          <w:pgSz w:w="12245" w:h="17180"/>
          <w:pgMar w:top="400" w:right="0" w:bottom="0" w:left="0" w:header="0" w:footer="0" w:gutter="0"/>
        </w:sectPr>
        <w:rPr>
          <w:rFonts w:ascii="Microsoft YaHei" w:hAnsi="Microsoft YaHei" w:eastAsia="Microsoft YaHei" w:cs="Microsoft YaHei"/>
          <w:sz w:val="11"/>
          <w:szCs w:val="11"/>
        </w:rPr>
      </w:pPr>
    </w:p>
    <w:p>
      <w:pPr>
        <w:pStyle w:val="BodyText"/>
        <w:rPr/>
      </w:pPr>
      <w:r>
        <mc:AlternateContent xmlns:mc="http://schemas.openxmlformats.org/markup-compatibility/2006">
          <mc:Choice Requires="wps">
            <w:drawing>
              <wp:anchor distT="0" distB="0" distL="0" distR="0" simplePos="0" relativeHeight="251728896" behindDoc="1" locked="0" layoutInCell="0" allowOverlap="1">
                <wp:simplePos x="0" y="0"/>
                <wp:positionH relativeFrom="page">
                  <wp:posOffset>7772272</wp:posOffset>
                </wp:positionH>
                <wp:positionV relativeFrom="page">
                  <wp:posOffset>0</wp:posOffset>
                </wp:positionV>
                <wp:extent cx="3175" cy="10909300"/>
                <wp:effectExtent l="0" t="0" r="0" b="0"/>
                <wp:wrapNone/>
                <wp:docPr id="112" name="Rect 112"/>
                <wp:cNvGraphicFramePr/>
                <a:graphic>
                  <a:graphicData uri="http://schemas.microsoft.com/office/word/2010/wordprocessingShape">
                    <wps:wsp>
                      <wps:cNvPr id="112" name="Rect 112"/>
                      <wps:cNvSpPr/>
                      <wps:spPr>
                        <a:xfrm>
                          <a:off x="7772272" y="0"/>
                          <a:ext cx="3175" cy="109093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02" style="position:absolute;margin-left:611.99pt;margin-top:0pt;mso-position-vertical-relative:page;mso-position-horizontal-relative:page;width:0.25pt;height:859pt;z-index:-251587584;" o:allowincell="f" fillcolor="#000000" filled="true" stroked="false"/>
            </w:pict>
          </mc:Fallback>
        </mc:AlternateContent>
      </w:r>
      <w:r/>
    </w:p>
    <w:p>
      <w:pPr>
        <w:pStyle w:val="BodyText"/>
        <w:rPr/>
      </w:pPr>
      <w:r>
        <w:pict>
          <v:shape id="_x0000_s104" style="position:absolute;margin-left:546.96pt;margin-top:3.96411pt;mso-position-vertical-relative:text;mso-position-horizontal-relative:text;width:0.5pt;height:10.25pt;z-index:-251586560;" filled="false" strokecolor="#A8A8A8" strokeweight="0.50pt" coordsize="10,205" coordorigin="0,0" path="m5,0l5,205e">
            <v:stroke joinstyle="miter"/>
          </v:shape>
        </w:pict>
      </w: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left="1805" w:right="1241" w:hanging="411"/>
        <w:spacing w:before="47" w:line="172" w:lineRule="auto"/>
        <w:rPr>
          <w:rFonts w:ascii="Microsoft YaHei" w:hAnsi="Microsoft YaHei" w:eastAsia="Microsoft YaHei" w:cs="Microsoft YaHei"/>
          <w:sz w:val="11"/>
          <w:szCs w:val="11"/>
        </w:rPr>
      </w:pPr>
      <w:r>
        <w:drawing>
          <wp:anchor distT="0" distB="0" distL="0" distR="0" simplePos="0" relativeHeight="251730944" behindDoc="1" locked="0" layoutInCell="1" allowOverlap="1">
            <wp:simplePos x="0" y="0"/>
            <wp:positionH relativeFrom="column">
              <wp:posOffset>0</wp:posOffset>
            </wp:positionH>
            <wp:positionV relativeFrom="paragraph">
              <wp:posOffset>-10568917</wp:posOffset>
            </wp:positionV>
            <wp:extent cx="7775447" cy="10908791"/>
            <wp:effectExtent l="0" t="0" r="0" b="0"/>
            <wp:wrapNone/>
            <wp:docPr id="114" name="IM 114"/>
            <wp:cNvGraphicFramePr/>
            <a:graphic>
              <a:graphicData uri="http://schemas.openxmlformats.org/drawingml/2006/picture">
                <pic:pic>
                  <pic:nvPicPr>
                    <pic:cNvPr id="114" name="IM 114"/>
                    <pic:cNvPicPr/>
                  </pic:nvPicPr>
                  <pic:blipFill>
                    <a:blip r:embed="rId42"/>
                    <a:stretch>
                      <a:fillRect/>
                    </a:stretch>
                  </pic:blipFill>
                  <pic:spPr>
                    <a:xfrm rot="0">
                      <a:off x="0" y="0"/>
                      <a:ext cx="7775447" cy="10908791"/>
                    </a:xfrm>
                    <a:prstGeom prst="rect">
                      <a:avLst/>
                    </a:prstGeom>
                  </pic:spPr>
                </pic:pic>
              </a:graphicData>
            </a:graphic>
          </wp:anchor>
        </w:drawing>
      </w:r>
      <w:r>
        <w:rPr>
          <w:rFonts w:ascii="Microsoft YaHei" w:hAnsi="Microsoft YaHei" w:eastAsia="Microsoft YaHei" w:cs="Microsoft YaHei"/>
          <w:sz w:val="11"/>
          <w:szCs w:val="11"/>
          <w:color w:val="F1F1F1"/>
          <w:spacing w:val="-1"/>
        </w:rPr>
        <w:t>© 2023</w:t>
      </w:r>
      <w:r>
        <w:rPr>
          <w:rFonts w:ascii="Microsoft YaHei" w:hAnsi="Microsoft YaHei" w:eastAsia="Microsoft YaHei" w:cs="Microsoft YaHei"/>
          <w:sz w:val="11"/>
          <w:szCs w:val="11"/>
          <w:color w:val="F1F1F1"/>
          <w:spacing w:val="-6"/>
        </w:rPr>
        <w:t xml:space="preserve"> </w:t>
      </w:r>
      <w:r>
        <w:rPr>
          <w:rFonts w:ascii="Microsoft YaHei" w:hAnsi="Microsoft YaHei" w:eastAsia="Microsoft YaHei" w:cs="Microsoft YaHei"/>
          <w:sz w:val="11"/>
          <w:szCs w:val="11"/>
          <w:color w:val="F1F1F1"/>
          <w:spacing w:val="-1"/>
        </w:rPr>
        <w:t>毕马威华振会计师事务所(特殊普通合伙)</w:t>
      </w:r>
      <w:r>
        <w:rPr>
          <w:rFonts w:ascii="Microsoft YaHei" w:hAnsi="Microsoft YaHei" w:eastAsia="Microsoft YaHei" w:cs="Microsoft YaHei"/>
          <w:sz w:val="11"/>
          <w:szCs w:val="11"/>
          <w:color w:val="F1F1F1"/>
          <w:spacing w:val="-12"/>
        </w:rPr>
        <w:t xml:space="preserve"> </w:t>
      </w:r>
      <w:r>
        <w:rPr>
          <w:rFonts w:ascii="Microsoft YaHei" w:hAnsi="Microsoft YaHei" w:eastAsia="Microsoft YaHei" w:cs="Microsoft YaHei"/>
          <w:sz w:val="11"/>
          <w:szCs w:val="11"/>
          <w:color w:val="F1F1F1"/>
          <w:spacing w:val="-1"/>
        </w:rPr>
        <w:t>— 中国合伙制会计师事务所，毕马威企业咨询</w:t>
      </w:r>
      <w:r>
        <w:rPr>
          <w:rFonts w:ascii="Microsoft YaHei" w:hAnsi="Microsoft YaHei" w:eastAsia="Microsoft YaHei" w:cs="Microsoft YaHei"/>
          <w:sz w:val="11"/>
          <w:szCs w:val="11"/>
          <w:color w:val="F1F1F1"/>
          <w:spacing w:val="-8"/>
        </w:rPr>
        <w:t xml:space="preserve"> </w:t>
      </w:r>
      <w:r>
        <w:rPr>
          <w:rFonts w:ascii="Microsoft YaHei" w:hAnsi="Microsoft YaHei" w:eastAsia="Microsoft YaHei" w:cs="Microsoft YaHei"/>
          <w:sz w:val="11"/>
          <w:szCs w:val="11"/>
          <w:color w:val="F1F1F1"/>
          <w:spacing w:val="-1"/>
        </w:rPr>
        <w:t>(中国)有限公司 — 中国有限责任公司，毕马威会计师事务所</w:t>
      </w:r>
      <w:r>
        <w:rPr>
          <w:rFonts w:ascii="Microsoft YaHei" w:hAnsi="Microsoft YaHei" w:eastAsia="Microsoft YaHei" w:cs="Microsoft YaHei"/>
          <w:sz w:val="11"/>
          <w:szCs w:val="11"/>
          <w:color w:val="F1F1F1"/>
          <w:spacing w:val="-8"/>
        </w:rPr>
        <w:t xml:space="preserve"> </w:t>
      </w:r>
      <w:r>
        <w:rPr>
          <w:rFonts w:ascii="Microsoft YaHei" w:hAnsi="Microsoft YaHei" w:eastAsia="Microsoft YaHei" w:cs="Microsoft YaHei"/>
          <w:sz w:val="11"/>
          <w:szCs w:val="11"/>
          <w:color w:val="F1F1F1"/>
          <w:spacing w:val="-1"/>
        </w:rPr>
        <w:t>— 澳门特别行政区合伙制事务所，</w:t>
      </w:r>
      <w:r>
        <w:rPr>
          <w:rFonts w:ascii="Microsoft YaHei" w:hAnsi="Microsoft YaHei" w:eastAsia="Microsoft YaHei" w:cs="Microsoft YaHei"/>
          <w:sz w:val="11"/>
          <w:szCs w:val="11"/>
          <w:color w:val="F1F1F1"/>
          <w:spacing w:val="-2"/>
        </w:rPr>
        <w:t>及毕马威</w:t>
      </w:r>
      <w:r>
        <w:rPr>
          <w:rFonts w:ascii="Microsoft YaHei" w:hAnsi="Microsoft YaHei" w:eastAsia="Microsoft YaHei" w:cs="Microsoft YaHei"/>
          <w:sz w:val="11"/>
          <w:szCs w:val="11"/>
          <w:color w:val="F1F1F1"/>
        </w:rPr>
        <w:t xml:space="preserve"> </w:t>
      </w:r>
      <w:r>
        <w:rPr>
          <w:rFonts w:ascii="Microsoft YaHei" w:hAnsi="Microsoft YaHei" w:eastAsia="Microsoft YaHei" w:cs="Microsoft YaHei"/>
          <w:sz w:val="11"/>
          <w:szCs w:val="11"/>
          <w:color w:val="F1F1F1"/>
        </w:rPr>
        <w:t>会计师事务所 —</w:t>
      </w:r>
      <w:r>
        <w:rPr>
          <w:rFonts w:ascii="Microsoft YaHei" w:hAnsi="Microsoft YaHei" w:eastAsia="Microsoft YaHei" w:cs="Microsoft YaHei"/>
          <w:sz w:val="11"/>
          <w:szCs w:val="11"/>
          <w:color w:val="F1F1F1"/>
          <w:spacing w:val="-6"/>
        </w:rPr>
        <w:t xml:space="preserve"> </w:t>
      </w:r>
      <w:r>
        <w:rPr>
          <w:rFonts w:ascii="Microsoft YaHei" w:hAnsi="Microsoft YaHei" w:eastAsia="Microsoft YaHei" w:cs="Microsoft YaHei"/>
          <w:sz w:val="11"/>
          <w:szCs w:val="11"/>
          <w:color w:val="F1F1F1"/>
        </w:rPr>
        <w:t>香港特别行政区合伙制事务所，</w:t>
      </w:r>
      <w:r>
        <w:rPr>
          <w:rFonts w:ascii="Microsoft YaHei" w:hAnsi="Microsoft YaHei" w:eastAsia="Microsoft YaHei" w:cs="Microsoft YaHei"/>
          <w:sz w:val="11"/>
          <w:szCs w:val="11"/>
          <w:color w:val="F1F1F1"/>
          <w:spacing w:val="-1"/>
        </w:rPr>
        <w:t>均是与英国私营担保有限公司</w:t>
      </w:r>
      <w:r>
        <w:rPr>
          <w:rFonts w:ascii="Microsoft YaHei" w:hAnsi="Microsoft YaHei" w:eastAsia="Microsoft YaHei" w:cs="Microsoft YaHei"/>
          <w:sz w:val="11"/>
          <w:szCs w:val="11"/>
          <w:color w:val="F1F1F1"/>
          <w:spacing w:val="-13"/>
        </w:rPr>
        <w:t xml:space="preserve"> </w:t>
      </w:r>
      <w:r>
        <w:rPr>
          <w:rFonts w:ascii="Microsoft YaHei" w:hAnsi="Microsoft YaHei" w:eastAsia="Microsoft YaHei" w:cs="Microsoft YaHei"/>
          <w:sz w:val="11"/>
          <w:szCs w:val="11"/>
          <w:color w:val="F1F1F1"/>
          <w:spacing w:val="-1"/>
        </w:rPr>
        <w:t>— 毕马威国际有限公司相关联的独立成员所全球性组织中的成员。版权所有，不得转载。在中国印刷。</w:t>
      </w:r>
    </w:p>
    <w:p>
      <w:pPr>
        <w:spacing w:line="172" w:lineRule="auto"/>
        <w:sectPr>
          <w:headerReference w:type="default" r:id="rId44"/>
          <w:pgSz w:w="12245" w:h="17180"/>
          <w:pgMar w:top="400" w:right="0" w:bottom="0" w:left="0" w:header="0" w:footer="0" w:gutter="0"/>
        </w:sectPr>
        <w:rPr>
          <w:rFonts w:ascii="Microsoft YaHei" w:hAnsi="Microsoft YaHei" w:eastAsia="Microsoft YaHei" w:cs="Microsoft YaHei"/>
          <w:sz w:val="11"/>
          <w:szCs w:val="11"/>
        </w:rPr>
      </w:pPr>
    </w:p>
    <w:p>
      <w:pPr>
        <w:ind w:left="974"/>
        <w:spacing w:before="314" w:line="193" w:lineRule="auto"/>
        <w:rPr>
          <w:rFonts w:ascii="Microsoft YaHei" w:hAnsi="Microsoft YaHei" w:eastAsia="Microsoft YaHei" w:cs="Microsoft YaHei"/>
          <w:sz w:val="18"/>
          <w:szCs w:val="18"/>
        </w:rPr>
      </w:pPr>
      <w:r>
        <mc:AlternateContent xmlns:mc="http://schemas.openxmlformats.org/markup-compatibility/2006">
          <mc:Choice Requires="wps">
            <w:drawing>
              <wp:anchor distT="0" distB="0" distL="0" distR="0" simplePos="0" relativeHeight="251735040" behindDoc="1" locked="0" layoutInCell="0" allowOverlap="1">
                <wp:simplePos x="0" y="0"/>
                <wp:positionH relativeFrom="page">
                  <wp:posOffset>7772272</wp:posOffset>
                </wp:positionH>
                <wp:positionV relativeFrom="page">
                  <wp:posOffset>0</wp:posOffset>
                </wp:positionV>
                <wp:extent cx="3175" cy="10909300"/>
                <wp:effectExtent l="0" t="0" r="0" b="0"/>
                <wp:wrapNone/>
                <wp:docPr id="116" name="Rect 116"/>
                <wp:cNvGraphicFramePr/>
                <a:graphic>
                  <a:graphicData uri="http://schemas.microsoft.com/office/word/2010/wordprocessingShape">
                    <wps:wsp>
                      <wps:cNvPr id="116" name="Rect 116"/>
                      <wps:cNvSpPr/>
                      <wps:spPr>
                        <a:xfrm>
                          <a:off x="7772272" y="0"/>
                          <a:ext cx="3175" cy="109093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06" style="position:absolute;margin-left:611.99pt;margin-top:0pt;mso-position-vertical-relative:page;mso-position-horizontal-relative:page;width:0.25pt;height:859pt;z-index:-251581440;" o:allowincell="f" fillcolor="#000000" filled="true" stroked="false"/>
            </w:pict>
          </mc:Fallback>
        </mc:AlternateContent>
      </w:r>
      <w:r>
        <w:pict>
          <v:shape id="_x0000_s108" style="position:absolute;margin-left:47.7091pt;margin-top:14.7293pt;mso-position-vertical-relative:text;mso-position-horizontal-relative:text;width:117.4pt;height:14.4pt;z-index:-251580416;" filled="false" stroked="false" type="#_x0000_t202">
            <v:fill on="false"/>
            <v:stroke on="false"/>
            <v:path/>
            <v:imagedata o:title=""/>
            <o:lock v:ext="edit" aspectratio="false"/>
            <v:textbox inset="0mm,0mm,0mm,0mm">
              <w:txbxContent>
                <w:p>
                  <w:pPr>
                    <w:ind w:left="20"/>
                    <w:spacing w:before="19" w:line="193" w:lineRule="auto"/>
                    <w:rPr>
                      <w:rFonts w:ascii="Microsoft YaHei" w:hAnsi="Microsoft YaHei" w:eastAsia="Microsoft YaHei" w:cs="Microsoft YaHei"/>
                      <w:sz w:val="18"/>
                      <w:szCs w:val="18"/>
                    </w:rPr>
                  </w:pPr>
                  <w:r>
                    <w:rPr>
                      <w:rFonts w:ascii="Microsoft YaHei" w:hAnsi="Microsoft YaHei" w:eastAsia="Microsoft YaHei" w:cs="Microsoft YaHei"/>
                      <w:sz w:val="18"/>
                      <w:szCs w:val="18"/>
                      <w:b/>
                      <w:bCs/>
                      <w:color w:val="A8A8A8"/>
                      <w:spacing w:val="-2"/>
                    </w:rPr>
                    <w:t>13</w:t>
                  </w:r>
                  <w:r>
                    <w:rPr>
                      <w:rFonts w:ascii="Microsoft YaHei" w:hAnsi="Microsoft YaHei" w:eastAsia="Microsoft YaHei" w:cs="Microsoft YaHei"/>
                      <w:sz w:val="18"/>
                      <w:szCs w:val="18"/>
                      <w:b/>
                      <w:bCs/>
                      <w:color w:val="A8A8A8"/>
                      <w:spacing w:val="15"/>
                      <w:w w:val="101"/>
                    </w:rPr>
                    <w:t xml:space="preserve">  </w:t>
                  </w:r>
                  <w:r>
                    <w:rPr>
                      <w:sz w:val="18"/>
                      <w:szCs w:val="18"/>
                      <w:position w:val="-4"/>
                    </w:rPr>
                    <w:drawing>
                      <wp:inline distT="0" distB="0" distL="0" distR="0">
                        <wp:extent cx="6350" cy="130175"/>
                        <wp:effectExtent l="0" t="0" r="0" b="0"/>
                        <wp:docPr id="118" name="IM 118"/>
                        <wp:cNvGraphicFramePr/>
                        <a:graphic>
                          <a:graphicData uri="http://schemas.openxmlformats.org/drawingml/2006/picture">
                            <pic:pic>
                              <pic:nvPicPr>
                                <pic:cNvPr id="118" name="IM 118"/>
                                <pic:cNvPicPr/>
                              </pic:nvPicPr>
                              <pic:blipFill>
                                <a:blip r:embed="rId45"/>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A8A8A8"/>
                      <w:spacing w:val="26"/>
                    </w:rPr>
                    <w:t xml:space="preserve">  </w:t>
                  </w:r>
                  <w:r>
                    <w:rPr>
                      <w:rFonts w:ascii="Microsoft YaHei" w:hAnsi="Microsoft YaHei" w:eastAsia="Microsoft YaHei" w:cs="Microsoft YaHei"/>
                      <w:sz w:val="18"/>
                      <w:szCs w:val="18"/>
                      <w:color w:val="A8A8A8"/>
                      <w:spacing w:val="-2"/>
                    </w:rPr>
                    <w:t>新型储能助力能源转型</w:t>
                  </w:r>
                </w:p>
              </w:txbxContent>
            </v:textbox>
          </v:shape>
        </w:pict>
      </w:r>
      <w:r>
        <w:drawing>
          <wp:anchor distT="0" distB="0" distL="0" distR="0" simplePos="0" relativeHeight="251738112" behindDoc="1" locked="0" layoutInCell="1" allowOverlap="1">
            <wp:simplePos x="0" y="0"/>
            <wp:positionH relativeFrom="column">
              <wp:posOffset>0</wp:posOffset>
            </wp:positionH>
            <wp:positionV relativeFrom="paragraph">
              <wp:posOffset>-254388</wp:posOffset>
            </wp:positionV>
            <wp:extent cx="7775447" cy="10908789"/>
            <wp:effectExtent l="0" t="0" r="0" b="0"/>
            <wp:wrapNone/>
            <wp:docPr id="120" name="IM 120"/>
            <wp:cNvGraphicFramePr/>
            <a:graphic>
              <a:graphicData uri="http://schemas.openxmlformats.org/drawingml/2006/picture">
                <pic:pic>
                  <pic:nvPicPr>
                    <pic:cNvPr id="120" name="IM 120"/>
                    <pic:cNvPicPr/>
                  </pic:nvPicPr>
                  <pic:blipFill>
                    <a:blip r:embed="rId46"/>
                    <a:stretch>
                      <a:fillRect/>
                    </a:stretch>
                  </pic:blipFill>
                  <pic:spPr>
                    <a:xfrm rot="0">
                      <a:off x="0" y="0"/>
                      <a:ext cx="7775447" cy="10908789"/>
                    </a:xfrm>
                    <a:prstGeom prst="rect">
                      <a:avLst/>
                    </a:prstGeom>
                  </pic:spPr>
                </pic:pic>
              </a:graphicData>
            </a:graphic>
          </wp:anchor>
        </w:drawing>
      </w:r>
      <w:r>
        <w:rPr>
          <w:rFonts w:ascii="Microsoft YaHei" w:hAnsi="Microsoft YaHei" w:eastAsia="Microsoft YaHei" w:cs="Microsoft YaHei"/>
          <w:sz w:val="18"/>
          <w:szCs w:val="18"/>
          <w:b/>
          <w:bCs/>
          <w:color w:val="00338D"/>
          <w:spacing w:val="-2"/>
        </w:rPr>
        <w:t>13</w:t>
      </w:r>
      <w:r>
        <w:rPr>
          <w:rFonts w:ascii="Microsoft YaHei" w:hAnsi="Microsoft YaHei" w:eastAsia="Microsoft YaHei" w:cs="Microsoft YaHei"/>
          <w:sz w:val="18"/>
          <w:szCs w:val="18"/>
          <w:b/>
          <w:bCs/>
          <w:color w:val="00338D"/>
          <w:spacing w:val="15"/>
          <w:w w:val="101"/>
        </w:rPr>
        <w:t xml:space="preserve">  </w:t>
      </w:r>
      <w:r>
        <w:rPr>
          <w:sz w:val="18"/>
          <w:szCs w:val="18"/>
          <w:position w:val="-4"/>
        </w:rPr>
        <w:drawing>
          <wp:inline distT="0" distB="0" distL="0" distR="0">
            <wp:extent cx="6350" cy="130175"/>
            <wp:effectExtent l="0" t="0" r="0" b="0"/>
            <wp:docPr id="122" name="IM 122"/>
            <wp:cNvGraphicFramePr/>
            <a:graphic>
              <a:graphicData uri="http://schemas.openxmlformats.org/drawingml/2006/picture">
                <pic:pic>
                  <pic:nvPicPr>
                    <pic:cNvPr id="122" name="IM 122"/>
                    <pic:cNvPicPr/>
                  </pic:nvPicPr>
                  <pic:blipFill>
                    <a:blip r:embed="rId47"/>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00338D"/>
          <w:spacing w:val="26"/>
        </w:rPr>
        <w:t xml:space="preserve">  </w:t>
      </w:r>
      <w:r>
        <w:rPr>
          <w:rFonts w:ascii="Microsoft YaHei" w:hAnsi="Microsoft YaHei" w:eastAsia="Microsoft YaHei" w:cs="Microsoft YaHei"/>
          <w:sz w:val="18"/>
          <w:szCs w:val="18"/>
          <w:color w:val="00338D"/>
          <w:spacing w:val="-2"/>
        </w:rPr>
        <w:t>新型储能助力能源转型</w:t>
      </w:r>
    </w:p>
    <w:p>
      <w:pPr>
        <w:pStyle w:val="BodyText"/>
        <w:spacing w:line="258" w:lineRule="auto"/>
        <w:rPr/>
      </w:pPr>
      <w:r/>
    </w:p>
    <w:p>
      <w:pPr>
        <w:pStyle w:val="BodyText"/>
        <w:spacing w:line="258" w:lineRule="auto"/>
        <w:rPr/>
      </w:pPr>
      <w:r/>
    </w:p>
    <w:p>
      <w:pPr>
        <w:pStyle w:val="BodyText"/>
        <w:spacing w:line="258" w:lineRule="auto"/>
        <w:rPr/>
      </w:pPr>
      <w:r/>
    </w:p>
    <w:p>
      <w:pPr>
        <w:ind w:left="1275"/>
        <w:spacing w:before="964" w:line="187" w:lineRule="auto"/>
        <w:outlineLvl w:val="0"/>
        <w:rPr>
          <w:rFonts w:ascii="Trebuchet MS" w:hAnsi="Trebuchet MS" w:eastAsia="Trebuchet MS" w:cs="Trebuchet MS"/>
          <w:sz w:val="332"/>
          <w:szCs w:val="332"/>
        </w:rPr>
      </w:pPr>
      <w:r>
        <w:rPr>
          <w:rFonts w:ascii="Trebuchet MS" w:hAnsi="Trebuchet MS" w:eastAsia="Trebuchet MS" w:cs="Trebuchet MS"/>
          <w:sz w:val="332"/>
          <w:szCs w:val="332"/>
          <w:b/>
          <w:bCs/>
          <w:color w:val="00338D"/>
          <w:spacing w:val="-452"/>
        </w:rPr>
        <w:t>01</w:t>
      </w:r>
    </w:p>
    <w:p>
      <w:pPr>
        <w:ind w:left="1260"/>
        <w:spacing w:line="179" w:lineRule="auto"/>
        <w:rPr>
          <w:rFonts w:ascii="Microsoft YaHei" w:hAnsi="Microsoft YaHei" w:eastAsia="Microsoft YaHei" w:cs="Microsoft YaHei"/>
          <w:sz w:val="108"/>
          <w:szCs w:val="108"/>
        </w:rPr>
      </w:pPr>
      <w:r>
        <w:rPr>
          <w:rFonts w:ascii="Microsoft YaHei" w:hAnsi="Microsoft YaHei" w:eastAsia="Microsoft YaHei" w:cs="Microsoft YaHei"/>
          <w:sz w:val="108"/>
          <w:szCs w:val="108"/>
          <w:b/>
          <w:bCs/>
          <w:color w:val="00338D"/>
          <w:spacing w:val="-3"/>
        </w:rPr>
        <w:t>储能发展背景</w:t>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1805" w:right="1241" w:hanging="411"/>
        <w:spacing w:before="47" w:line="172" w:lineRule="auto"/>
        <w:rPr>
          <w:rFonts w:ascii="Microsoft YaHei" w:hAnsi="Microsoft YaHei" w:eastAsia="Microsoft YaHei" w:cs="Microsoft YaHei"/>
          <w:sz w:val="11"/>
          <w:szCs w:val="11"/>
        </w:rPr>
      </w:pPr>
      <w:r>
        <w:pict>
          <v:shape id="_x0000_s110" style="position:absolute;margin-left:68.7411pt;margin-top:1.39824pt;mso-position-vertical-relative:text;mso-position-horizontal-relative:text;width:482.45pt;height:15.6pt;z-index:-251579392;" filled="false" stroked="false" type="#_x0000_t202">
            <v:fill on="false"/>
            <v:stroke on="false"/>
            <v:path/>
            <v:imagedata o:title=""/>
            <o:lock v:ext="edit" aspectratio="false"/>
            <v:textbox inset="0mm,0mm,0mm,0mm">
              <w:txbxContent>
                <w:p>
                  <w:pPr>
                    <w:ind w:left="430" w:right="20" w:hanging="411"/>
                    <w:spacing w:before="20"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rPr>
                    <w:t>©         毕马威华振会计师事务所(特殊普通合伙)    中国合伙制会计师事务所，毕马威企业咨询</w:t>
                  </w:r>
                  <w:r>
                    <w:rPr>
                      <w:rFonts w:ascii="Microsoft YaHei" w:hAnsi="Microsoft YaHei" w:eastAsia="Microsoft YaHei" w:cs="Microsoft YaHei"/>
                      <w:sz w:val="11"/>
                      <w:szCs w:val="11"/>
                      <w:color w:val="BFBFBF"/>
                      <w:spacing w:val="-7"/>
                    </w:rPr>
                    <w:t xml:space="preserve"> </w:t>
                  </w:r>
                  <w:r>
                    <w:rPr>
                      <w:rFonts w:ascii="Microsoft YaHei" w:hAnsi="Microsoft YaHei" w:eastAsia="Microsoft YaHei" w:cs="Microsoft YaHei"/>
                      <w:sz w:val="11"/>
                      <w:szCs w:val="11"/>
                      <w:color w:val="BFBFBF"/>
                    </w:rPr>
                    <w:t>(中国)有限公司     中国有限责任公司，毕马威会计师事务所     澳门特别行政区合伙制事务所，及毕马威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txbxContent>
            </v:textbox>
          </v:shape>
        </w:pict>
      </w:r>
      <w:r>
        <w:rPr>
          <w:rFonts w:ascii="Microsoft YaHei" w:hAnsi="Microsoft YaHei" w:eastAsia="Microsoft YaHei" w:cs="Microsoft YaHei"/>
          <w:sz w:val="11"/>
          <w:szCs w:val="11"/>
          <w:color w:val="FFFFFF"/>
          <w:spacing w:val="-1"/>
        </w:rPr>
        <w:t>© 2023</w:t>
      </w:r>
      <w:r>
        <w:rPr>
          <w:rFonts w:ascii="Microsoft YaHei" w:hAnsi="Microsoft YaHei" w:eastAsia="Microsoft YaHei" w:cs="Microsoft YaHei"/>
          <w:sz w:val="11"/>
          <w:szCs w:val="11"/>
          <w:color w:val="FFFFFF"/>
          <w:spacing w:val="-6"/>
        </w:rPr>
        <w:t xml:space="preserve"> </w:t>
      </w:r>
      <w:r>
        <w:rPr>
          <w:rFonts w:ascii="Microsoft YaHei" w:hAnsi="Microsoft YaHei" w:eastAsia="Microsoft YaHei" w:cs="Microsoft YaHei"/>
          <w:sz w:val="11"/>
          <w:szCs w:val="11"/>
          <w:color w:val="FFFFFF"/>
          <w:spacing w:val="-1"/>
        </w:rPr>
        <w:t>毕马威华振会计师事务所(特殊普通合伙)</w:t>
      </w:r>
      <w:r>
        <w:rPr>
          <w:rFonts w:ascii="Microsoft YaHei" w:hAnsi="Microsoft YaHei" w:eastAsia="Microsoft YaHei" w:cs="Microsoft YaHei"/>
          <w:sz w:val="11"/>
          <w:szCs w:val="11"/>
          <w:color w:val="FFFFFF"/>
          <w:spacing w:val="-12"/>
        </w:rPr>
        <w:t xml:space="preserve"> </w:t>
      </w:r>
      <w:r>
        <w:rPr>
          <w:rFonts w:ascii="Microsoft YaHei" w:hAnsi="Microsoft YaHei" w:eastAsia="Microsoft YaHei" w:cs="Microsoft YaHei"/>
          <w:sz w:val="11"/>
          <w:szCs w:val="11"/>
          <w:color w:val="FFFFFF"/>
          <w:spacing w:val="-1"/>
        </w:rPr>
        <w:t>— 中国合伙制会计师事务所，毕马威企业咨询</w:t>
      </w:r>
      <w:r>
        <w:rPr>
          <w:rFonts w:ascii="Microsoft YaHei" w:hAnsi="Microsoft YaHei" w:eastAsia="Microsoft YaHei" w:cs="Microsoft YaHei"/>
          <w:sz w:val="11"/>
          <w:szCs w:val="11"/>
          <w:color w:val="FFFFFF"/>
          <w:spacing w:val="-8"/>
        </w:rPr>
        <w:t xml:space="preserve"> </w:t>
      </w:r>
      <w:r>
        <w:rPr>
          <w:rFonts w:ascii="Microsoft YaHei" w:hAnsi="Microsoft YaHei" w:eastAsia="Microsoft YaHei" w:cs="Microsoft YaHei"/>
          <w:sz w:val="11"/>
          <w:szCs w:val="11"/>
          <w:color w:val="FFFFFF"/>
          <w:spacing w:val="-1"/>
        </w:rPr>
        <w:t>(中国)有限公司 — 中国有限责任公司，毕马威会计师事务所</w:t>
      </w:r>
      <w:r>
        <w:rPr>
          <w:rFonts w:ascii="Microsoft YaHei" w:hAnsi="Microsoft YaHei" w:eastAsia="Microsoft YaHei" w:cs="Microsoft YaHei"/>
          <w:sz w:val="11"/>
          <w:szCs w:val="11"/>
          <w:color w:val="FFFFFF"/>
          <w:spacing w:val="-8"/>
        </w:rPr>
        <w:t xml:space="preserve"> </w:t>
      </w:r>
      <w:r>
        <w:rPr>
          <w:rFonts w:ascii="Microsoft YaHei" w:hAnsi="Microsoft YaHei" w:eastAsia="Microsoft YaHei" w:cs="Microsoft YaHei"/>
          <w:sz w:val="11"/>
          <w:szCs w:val="11"/>
          <w:color w:val="FFFFFF"/>
          <w:spacing w:val="-1"/>
        </w:rPr>
        <w:t>— 澳门特别行政区合伙制事务所，</w:t>
      </w:r>
      <w:r>
        <w:rPr>
          <w:rFonts w:ascii="Microsoft YaHei" w:hAnsi="Microsoft YaHei" w:eastAsia="Microsoft YaHei" w:cs="Microsoft YaHei"/>
          <w:sz w:val="11"/>
          <w:szCs w:val="11"/>
          <w:color w:val="FFFFFF"/>
          <w:spacing w:val="-2"/>
        </w:rPr>
        <w:t>及毕马威</w:t>
      </w:r>
      <w:r>
        <w:rPr>
          <w:rFonts w:ascii="Microsoft YaHei" w:hAnsi="Microsoft YaHei" w:eastAsia="Microsoft YaHei" w:cs="Microsoft YaHei"/>
          <w:sz w:val="11"/>
          <w:szCs w:val="11"/>
          <w:color w:val="FFFFFF"/>
        </w:rPr>
        <w:t xml:space="preserve"> </w:t>
      </w:r>
      <w:r>
        <w:rPr>
          <w:rFonts w:ascii="Microsoft YaHei" w:hAnsi="Microsoft YaHei" w:eastAsia="Microsoft YaHei" w:cs="Microsoft YaHei"/>
          <w:sz w:val="11"/>
          <w:szCs w:val="11"/>
          <w:color w:val="FFFFFF"/>
        </w:rPr>
        <w:t>会计师事务所 —</w:t>
      </w:r>
      <w:r>
        <w:rPr>
          <w:rFonts w:ascii="Microsoft YaHei" w:hAnsi="Microsoft YaHei" w:eastAsia="Microsoft YaHei" w:cs="Microsoft YaHei"/>
          <w:sz w:val="11"/>
          <w:szCs w:val="11"/>
          <w:color w:val="FFFFFF"/>
          <w:spacing w:val="-6"/>
        </w:rPr>
        <w:t xml:space="preserve"> </w:t>
      </w:r>
      <w:r>
        <w:rPr>
          <w:rFonts w:ascii="Microsoft YaHei" w:hAnsi="Microsoft YaHei" w:eastAsia="Microsoft YaHei" w:cs="Microsoft YaHei"/>
          <w:sz w:val="11"/>
          <w:szCs w:val="11"/>
          <w:color w:val="FFFFFF"/>
        </w:rPr>
        <w:t>香港特别行政区合伙制事务所，</w:t>
      </w:r>
      <w:r>
        <w:rPr>
          <w:rFonts w:ascii="Microsoft YaHei" w:hAnsi="Microsoft YaHei" w:eastAsia="Microsoft YaHei" w:cs="Microsoft YaHei"/>
          <w:sz w:val="11"/>
          <w:szCs w:val="11"/>
          <w:color w:val="FFFFFF"/>
          <w:spacing w:val="-1"/>
        </w:rPr>
        <w:t>均是与英国私营担保有限公司</w:t>
      </w:r>
      <w:r>
        <w:rPr>
          <w:rFonts w:ascii="Microsoft YaHei" w:hAnsi="Microsoft YaHei" w:eastAsia="Microsoft YaHei" w:cs="Microsoft YaHei"/>
          <w:sz w:val="11"/>
          <w:szCs w:val="11"/>
          <w:color w:val="FFFFFF"/>
          <w:spacing w:val="-13"/>
        </w:rPr>
        <w:t xml:space="preserve"> </w:t>
      </w:r>
      <w:r>
        <w:rPr>
          <w:rFonts w:ascii="Microsoft YaHei" w:hAnsi="Microsoft YaHei" w:eastAsia="Microsoft YaHei" w:cs="Microsoft YaHei"/>
          <w:sz w:val="11"/>
          <w:szCs w:val="11"/>
          <w:color w:val="FFFFFF"/>
          <w:spacing w:val="-1"/>
        </w:rPr>
        <w:t>— 毕马威国际有限公司相关联的独立成员所全球性组织中的成员。版权所有，不得转载。在中国印刷。</w:t>
      </w:r>
    </w:p>
    <w:p>
      <w:pPr>
        <w:spacing w:line="172" w:lineRule="auto"/>
        <w:sectPr>
          <w:headerReference w:type="default" r:id="rId7"/>
          <w:pgSz w:w="12245" w:h="17180"/>
          <w:pgMar w:top="400" w:right="0" w:bottom="0" w:left="0" w:header="0" w:footer="0" w:gutter="0"/>
        </w:sectPr>
        <w:rPr>
          <w:rFonts w:ascii="Microsoft YaHei" w:hAnsi="Microsoft YaHei" w:eastAsia="Microsoft YaHei" w:cs="Microsoft YaHei"/>
          <w:sz w:val="11"/>
          <w:szCs w:val="11"/>
        </w:rPr>
      </w:pPr>
    </w:p>
    <w:p>
      <w:pPr>
        <w:ind w:left="7667"/>
        <w:spacing w:before="314" w:line="193" w:lineRule="auto"/>
        <w:outlineLvl w:val="0"/>
        <w:rPr>
          <w:rFonts w:ascii="Microsoft YaHei" w:hAnsi="Microsoft YaHei" w:eastAsia="Microsoft YaHei" w:cs="Microsoft YaHei"/>
          <w:sz w:val="18"/>
          <w:szCs w:val="18"/>
        </w:rPr>
      </w:pPr>
      <w:r>
        <w:pict>
          <v:rect id="_x0000_s112" style="position:absolute;margin-left:611.99pt;margin-top:0pt;mso-position-vertical-relative:page;mso-position-horizontal-relative:page;width:0.25pt;height:859pt;z-index:251742208;" o:allowincell="f" fillcolor="#000000" filled="true" stroked="false"/>
        </w:pict>
      </w:r>
      <w:r>
        <w:rPr>
          <w:rFonts w:ascii="Microsoft YaHei" w:hAnsi="Microsoft YaHei" w:eastAsia="Microsoft YaHei" w:cs="Microsoft YaHei"/>
          <w:sz w:val="18"/>
          <w:szCs w:val="18"/>
          <w:color w:val="A8A8A8"/>
          <w:spacing w:val="-1"/>
        </w:rPr>
        <w:t>新型储能助力能源转型</w:t>
      </w:r>
      <w:r>
        <w:rPr>
          <w:rFonts w:ascii="Microsoft YaHei" w:hAnsi="Microsoft YaHei" w:eastAsia="Microsoft YaHei" w:cs="Microsoft YaHei"/>
          <w:sz w:val="18"/>
          <w:szCs w:val="18"/>
          <w:color w:val="A8A8A8"/>
          <w:spacing w:val="23"/>
          <w:w w:val="101"/>
        </w:rPr>
        <w:t xml:space="preserve">  </w:t>
      </w:r>
      <w:r>
        <w:rPr>
          <w:sz w:val="18"/>
          <w:szCs w:val="18"/>
          <w:position w:val="-4"/>
        </w:rPr>
        <w:drawing>
          <wp:inline distT="0" distB="0" distL="0" distR="0">
            <wp:extent cx="6350" cy="130175"/>
            <wp:effectExtent l="0" t="0" r="0" b="0"/>
            <wp:docPr id="124" name="IM 124"/>
            <wp:cNvGraphicFramePr/>
            <a:graphic>
              <a:graphicData uri="http://schemas.openxmlformats.org/drawingml/2006/picture">
                <pic:pic>
                  <pic:nvPicPr>
                    <pic:cNvPr id="124" name="IM 124"/>
                    <pic:cNvPicPr/>
                  </pic:nvPicPr>
                  <pic:blipFill>
                    <a:blip r:embed="rId48"/>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spacing w:val="20"/>
          <w:w w:val="101"/>
        </w:rPr>
        <w:t xml:space="preserve">  </w:t>
      </w:r>
      <w:r>
        <w:rPr>
          <w:rFonts w:ascii="Microsoft YaHei" w:hAnsi="Microsoft YaHei" w:eastAsia="Microsoft YaHei" w:cs="Microsoft YaHei"/>
          <w:sz w:val="18"/>
          <w:szCs w:val="18"/>
          <w:b/>
          <w:bCs/>
          <w:color w:val="A8A8A8"/>
          <w:spacing w:val="-1"/>
        </w:rPr>
        <w:t>14</w:t>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ind w:left="2" w:right="2997" w:hanging="2"/>
        <w:spacing w:before="90" w:line="219"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储能是指通过介质或设备把能量存储起来</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4"/>
        </w:rPr>
        <w:t>，在需要时再释放的过</w:t>
      </w:r>
      <w:r>
        <w:rPr>
          <w:rFonts w:ascii="Microsoft YaHei" w:hAnsi="Microsoft YaHei" w:eastAsia="Microsoft YaHei" w:cs="Microsoft YaHei"/>
          <w:sz w:val="21"/>
          <w:szCs w:val="21"/>
          <w:spacing w:val="3"/>
        </w:rPr>
        <w:t>程。发改委《关于促</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进储能技术与产业发展的指导意见》</w:t>
      </w:r>
      <w:r>
        <w:rPr>
          <w:rFonts w:ascii="Microsoft YaHei" w:hAnsi="Microsoft YaHei" w:eastAsia="Microsoft YaHei" w:cs="Microsoft YaHei"/>
          <w:sz w:val="21"/>
          <w:szCs w:val="21"/>
          <w:spacing w:val="-26"/>
        </w:rPr>
        <w:t xml:space="preserve"> </w:t>
      </w:r>
      <w:r>
        <w:rPr>
          <w:rFonts w:ascii="Microsoft YaHei" w:hAnsi="Microsoft YaHei" w:eastAsia="Microsoft YaHei" w:cs="Microsoft YaHei"/>
          <w:sz w:val="21"/>
          <w:szCs w:val="21"/>
          <w:spacing w:val="3"/>
        </w:rPr>
        <w:t>中指出</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，储</w:t>
      </w:r>
      <w:r>
        <w:rPr>
          <w:rFonts w:ascii="Microsoft YaHei" w:hAnsi="Microsoft YaHei" w:eastAsia="Microsoft YaHei" w:cs="Microsoft YaHei"/>
          <w:sz w:val="21"/>
          <w:szCs w:val="21"/>
          <w:spacing w:val="2"/>
        </w:rPr>
        <w:t>能是智能电网、可再生能源高占比能</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源系统、“互联网+”智慧能源的重要组成部分和关键支撑技术。大力发展储能是</w:t>
      </w:r>
      <w:r>
        <w:rPr>
          <w:rFonts w:ascii="Microsoft YaHei" w:hAnsi="Microsoft YaHei" w:eastAsia="Microsoft YaHei" w:cs="Microsoft YaHei"/>
          <w:sz w:val="21"/>
          <w:szCs w:val="21"/>
          <w:spacing w:val="-1"/>
        </w:rPr>
        <w:t>提高</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可再生能源利用率，实现“双碳”</w:t>
      </w:r>
      <w:r>
        <w:rPr>
          <w:rFonts w:ascii="Microsoft YaHei" w:hAnsi="Microsoft YaHei" w:eastAsia="Microsoft YaHei" w:cs="Microsoft YaHei"/>
          <w:sz w:val="21"/>
          <w:szCs w:val="21"/>
          <w:spacing w:val="-22"/>
        </w:rPr>
        <w:t xml:space="preserve"> </w:t>
      </w:r>
      <w:r>
        <w:rPr>
          <w:rFonts w:ascii="Microsoft YaHei" w:hAnsi="Microsoft YaHei" w:eastAsia="Microsoft YaHei" w:cs="Microsoft YaHei"/>
          <w:sz w:val="21"/>
          <w:szCs w:val="21"/>
          <w:spacing w:val="-1"/>
        </w:rPr>
        <w:t>目标的必选项，其重要性主要体现在：</w:t>
      </w:r>
    </w:p>
    <w:p>
      <w:pPr>
        <w:ind w:left="398" w:right="2825" w:hanging="386"/>
        <w:spacing w:before="244" w:line="21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position w:val="-5"/>
        </w:rPr>
        <w:drawing>
          <wp:inline distT="0" distB="0" distL="0" distR="0">
            <wp:extent cx="160019" cy="160019"/>
            <wp:effectExtent l="0" t="0" r="0" b="0"/>
            <wp:docPr id="126" name="IM 126"/>
            <wp:cNvGraphicFramePr/>
            <a:graphic>
              <a:graphicData uri="http://schemas.openxmlformats.org/drawingml/2006/picture">
                <pic:pic>
                  <pic:nvPicPr>
                    <pic:cNvPr id="126" name="IM 126"/>
                    <pic:cNvPicPr/>
                  </pic:nvPicPr>
                  <pic:blipFill>
                    <a:blip r:embed="rId49"/>
                    <a:stretch>
                      <a:fillRect/>
                    </a:stretch>
                  </pic:blipFill>
                  <pic:spPr>
                    <a:xfrm rot="0">
                      <a:off x="0" y="0"/>
                      <a:ext cx="160019" cy="160019"/>
                    </a:xfrm>
                    <a:prstGeom prst="rect">
                      <a:avLst/>
                    </a:prstGeom>
                  </pic:spPr>
                </pic:pic>
              </a:graphicData>
            </a:graphic>
          </wp:inline>
        </w:drawing>
      </w:r>
      <w:r>
        <w:rPr>
          <w:rFonts w:ascii="Microsoft YaHei" w:hAnsi="Microsoft YaHei" w:eastAsia="Microsoft YaHei" w:cs="Microsoft YaHei"/>
          <w:sz w:val="21"/>
          <w:szCs w:val="21"/>
          <w:spacing w:val="10"/>
        </w:rPr>
        <w:t xml:space="preserve">  </w:t>
      </w:r>
      <w:r>
        <w:rPr>
          <w:rFonts w:ascii="Microsoft YaHei" w:hAnsi="Microsoft YaHei" w:eastAsia="Microsoft YaHei" w:cs="Microsoft YaHei"/>
          <w:sz w:val="21"/>
          <w:szCs w:val="21"/>
          <w:spacing w:val="2"/>
        </w:rPr>
        <w:t>其一</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，储能作为一种优质的灵活性资源</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，能够为电网运行提供调峰、调频、备用、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黑启动、需求响应支撑等多种服务</w:t>
      </w:r>
      <w:r>
        <w:rPr>
          <w:rFonts w:ascii="Microsoft YaHei" w:hAnsi="Microsoft YaHei" w:eastAsia="Microsoft YaHei" w:cs="Microsoft YaHei"/>
          <w:sz w:val="21"/>
          <w:szCs w:val="21"/>
          <w:spacing w:val="-14"/>
        </w:rPr>
        <w:t xml:space="preserve"> </w:t>
      </w:r>
      <w:r>
        <w:rPr>
          <w:rFonts w:ascii="Microsoft YaHei" w:hAnsi="Microsoft YaHei" w:eastAsia="Microsoft YaHei" w:cs="Microsoft YaHei"/>
          <w:sz w:val="21"/>
          <w:szCs w:val="21"/>
          <w:spacing w:val="4"/>
        </w:rPr>
        <w:t>，是提升传统电力系统灵活性、经济性和安全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性的重要手段。未来储能的经济性将在持续的示范与应用中得到逐步提升</w:t>
      </w:r>
      <w:r>
        <w:rPr>
          <w:rFonts w:ascii="Microsoft YaHei" w:hAnsi="Microsoft YaHei" w:eastAsia="Microsoft YaHei" w:cs="Microsoft YaHei"/>
          <w:sz w:val="21"/>
          <w:szCs w:val="21"/>
          <w:spacing w:val="-15"/>
        </w:rPr>
        <w:t xml:space="preserve"> </w:t>
      </w:r>
      <w:r>
        <w:rPr>
          <w:rFonts w:ascii="Microsoft YaHei" w:hAnsi="Microsoft YaHei" w:eastAsia="Microsoft YaHei" w:cs="Microsoft YaHei"/>
          <w:sz w:val="21"/>
          <w:szCs w:val="21"/>
          <w:spacing w:val="4"/>
        </w:rPr>
        <w:t>，解决</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能源生产和使用的空间不匹配、时间不同步问题。</w:t>
      </w:r>
    </w:p>
    <w:p>
      <w:pPr>
        <w:ind w:left="399" w:right="2997" w:hanging="387"/>
        <w:spacing w:before="260" w:line="21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position w:val="-5"/>
        </w:rPr>
        <w:drawing>
          <wp:inline distT="0" distB="0" distL="0" distR="0">
            <wp:extent cx="160019" cy="163067"/>
            <wp:effectExtent l="0" t="0" r="0" b="0"/>
            <wp:docPr id="128" name="IM 128"/>
            <wp:cNvGraphicFramePr/>
            <a:graphic>
              <a:graphicData uri="http://schemas.openxmlformats.org/drawingml/2006/picture">
                <pic:pic>
                  <pic:nvPicPr>
                    <pic:cNvPr id="128" name="IM 128"/>
                    <pic:cNvPicPr/>
                  </pic:nvPicPr>
                  <pic:blipFill>
                    <a:blip r:embed="rId50"/>
                    <a:stretch>
                      <a:fillRect/>
                    </a:stretch>
                  </pic:blipFill>
                  <pic:spPr>
                    <a:xfrm rot="0">
                      <a:off x="0" y="0"/>
                      <a:ext cx="160019" cy="163067"/>
                    </a:xfrm>
                    <a:prstGeom prst="rect">
                      <a:avLst/>
                    </a:prstGeom>
                  </pic:spPr>
                </pic:pic>
              </a:graphicData>
            </a:graphic>
          </wp:inline>
        </w:drawing>
      </w:r>
      <w:r>
        <w:rPr>
          <w:rFonts w:ascii="Microsoft YaHei" w:hAnsi="Microsoft YaHei" w:eastAsia="Microsoft YaHei" w:cs="Microsoft YaHei"/>
          <w:sz w:val="21"/>
          <w:szCs w:val="21"/>
          <w:spacing w:val="12"/>
        </w:rPr>
        <w:t xml:space="preserve">  </w:t>
      </w:r>
      <w:r>
        <w:rPr>
          <w:rFonts w:ascii="Microsoft YaHei" w:hAnsi="Microsoft YaHei" w:eastAsia="Microsoft YaHei" w:cs="Microsoft YaHei"/>
          <w:sz w:val="21"/>
          <w:szCs w:val="21"/>
          <w:spacing w:val="1"/>
        </w:rPr>
        <w:t>其二</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，为实现“双碳”</w:t>
      </w:r>
      <w:r>
        <w:rPr>
          <w:rFonts w:ascii="Microsoft YaHei" w:hAnsi="Microsoft YaHei" w:eastAsia="Microsoft YaHei" w:cs="Microsoft YaHei"/>
          <w:sz w:val="21"/>
          <w:szCs w:val="21"/>
          <w:spacing w:val="-23"/>
        </w:rPr>
        <w:t xml:space="preserve"> </w:t>
      </w:r>
      <w:r>
        <w:rPr>
          <w:rFonts w:ascii="Microsoft YaHei" w:hAnsi="Microsoft YaHei" w:eastAsia="Microsoft YaHei" w:cs="Microsoft YaHei"/>
          <w:sz w:val="21"/>
          <w:szCs w:val="21"/>
          <w:spacing w:val="1"/>
        </w:rPr>
        <w:t>目标</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，可再生能源将迎来规模化发展</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，但风电、光伏发电</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出力的波动性和随机性特征</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4"/>
        </w:rPr>
        <w:t>，增加了调峰调频</w:t>
      </w:r>
      <w:r>
        <w:rPr>
          <w:rFonts w:ascii="Microsoft YaHei" w:hAnsi="Microsoft YaHei" w:eastAsia="Microsoft YaHei" w:cs="Microsoft YaHei"/>
          <w:sz w:val="21"/>
          <w:szCs w:val="21"/>
          <w:spacing w:val="3"/>
        </w:rPr>
        <w:t>压力</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，引发了电网电压质量下降等</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问题。在此背景下</w:t>
      </w:r>
      <w:r>
        <w:rPr>
          <w:rFonts w:ascii="Microsoft YaHei" w:hAnsi="Microsoft YaHei" w:eastAsia="Microsoft YaHei" w:cs="Microsoft YaHei"/>
          <w:sz w:val="21"/>
          <w:szCs w:val="21"/>
          <w:spacing w:val="-15"/>
        </w:rPr>
        <w:t xml:space="preserve"> </w:t>
      </w:r>
      <w:r>
        <w:rPr>
          <w:rFonts w:ascii="Microsoft YaHei" w:hAnsi="Microsoft YaHei" w:eastAsia="Microsoft YaHei" w:cs="Microsoft YaHei"/>
          <w:sz w:val="21"/>
          <w:szCs w:val="21"/>
          <w:spacing w:val="4"/>
        </w:rPr>
        <w:t>，储能是有效缓解大规模可再生能源并网压力的一种有效技术</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手段</w:t>
      </w:r>
      <w:r>
        <w:rPr>
          <w:rFonts w:ascii="Microsoft YaHei" w:hAnsi="Microsoft YaHei" w:eastAsia="Microsoft YaHei" w:cs="Microsoft YaHei"/>
          <w:sz w:val="21"/>
          <w:szCs w:val="21"/>
          <w:spacing w:val="-12"/>
        </w:rPr>
        <w:t xml:space="preserve"> </w:t>
      </w:r>
      <w:r>
        <w:rPr>
          <w:rFonts w:ascii="Microsoft YaHei" w:hAnsi="Microsoft YaHei" w:eastAsia="Microsoft YaHei" w:cs="Microsoft YaHei"/>
          <w:sz w:val="21"/>
          <w:szCs w:val="21"/>
          <w:spacing w:val="2"/>
        </w:rPr>
        <w:t>，能够显著提高风、光等可再生能源的消纳水平</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，支撑分布式电力及微网</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是推动主体能源由化石能源向可再生能源更替的关键技术。</w:t>
      </w:r>
    </w:p>
    <w:p>
      <w:pPr>
        <w:ind w:left="399" w:right="2998" w:hanging="387"/>
        <w:spacing w:before="259" w:line="20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position w:val="-5"/>
        </w:rPr>
        <w:drawing>
          <wp:inline distT="0" distB="0" distL="0" distR="0">
            <wp:extent cx="160019" cy="160019"/>
            <wp:effectExtent l="0" t="0" r="0" b="0"/>
            <wp:docPr id="130" name="IM 130"/>
            <wp:cNvGraphicFramePr/>
            <a:graphic>
              <a:graphicData uri="http://schemas.openxmlformats.org/drawingml/2006/picture">
                <pic:pic>
                  <pic:nvPicPr>
                    <pic:cNvPr id="130" name="IM 130"/>
                    <pic:cNvPicPr/>
                  </pic:nvPicPr>
                  <pic:blipFill>
                    <a:blip r:embed="rId51"/>
                    <a:stretch>
                      <a:fillRect/>
                    </a:stretch>
                  </pic:blipFill>
                  <pic:spPr>
                    <a:xfrm rot="0">
                      <a:off x="0" y="0"/>
                      <a:ext cx="160019" cy="160019"/>
                    </a:xfrm>
                    <a:prstGeom prst="rect">
                      <a:avLst/>
                    </a:prstGeom>
                  </pic:spPr>
                </pic:pic>
              </a:graphicData>
            </a:graphic>
          </wp:inline>
        </w:drawing>
      </w:r>
      <w:r>
        <w:rPr>
          <w:rFonts w:ascii="Microsoft YaHei" w:hAnsi="Microsoft YaHei" w:eastAsia="Microsoft YaHei" w:cs="Microsoft YaHei"/>
          <w:sz w:val="21"/>
          <w:szCs w:val="21"/>
          <w:spacing w:val="12"/>
        </w:rPr>
        <w:t xml:space="preserve">  </w:t>
      </w:r>
      <w:r>
        <w:rPr>
          <w:rFonts w:ascii="Microsoft YaHei" w:hAnsi="Microsoft YaHei" w:eastAsia="Microsoft YaHei" w:cs="Microsoft YaHei"/>
          <w:sz w:val="21"/>
          <w:szCs w:val="21"/>
          <w:spacing w:val="3"/>
        </w:rPr>
        <w:t>其三</w:t>
      </w:r>
      <w:r>
        <w:rPr>
          <w:rFonts w:ascii="Microsoft YaHei" w:hAnsi="Microsoft YaHei" w:eastAsia="Microsoft YaHei" w:cs="Microsoft YaHei"/>
          <w:sz w:val="21"/>
          <w:szCs w:val="21"/>
          <w:spacing w:val="-27"/>
        </w:rPr>
        <w:t xml:space="preserve"> </w:t>
      </w:r>
      <w:r>
        <w:rPr>
          <w:rFonts w:ascii="Microsoft YaHei" w:hAnsi="Microsoft YaHei" w:eastAsia="Microsoft YaHei" w:cs="Microsoft YaHei"/>
          <w:sz w:val="21"/>
          <w:szCs w:val="21"/>
          <w:spacing w:val="3"/>
        </w:rPr>
        <w:t>，储能可有效促进能源生产消费开放共享和灵活交易、实现多能协同</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，是构</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建能源互联网，推动电力体制改革和促进能</w:t>
      </w:r>
      <w:r>
        <w:rPr>
          <w:rFonts w:ascii="Microsoft YaHei" w:hAnsi="Microsoft YaHei" w:eastAsia="Microsoft YaHei" w:cs="Microsoft YaHei"/>
          <w:sz w:val="21"/>
          <w:szCs w:val="21"/>
          <w:spacing w:val="-1"/>
        </w:rPr>
        <w:t>源新业态发展的基础。</w:t>
      </w:r>
    </w:p>
    <w:p>
      <w:pPr>
        <w:ind w:right="2997" w:firstLine="20"/>
        <w:spacing w:before="311" w:line="217"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45"/>
        </w:rPr>
        <w:t xml:space="preserve"> </w:t>
      </w:r>
      <w:r>
        <w:rPr>
          <w:rFonts w:ascii="Microsoft YaHei" w:hAnsi="Microsoft YaHei" w:eastAsia="Microsoft YaHei" w:cs="Microsoft YaHei"/>
          <w:sz w:val="21"/>
          <w:szCs w:val="21"/>
          <w:spacing w:val="2"/>
        </w:rPr>
        <w:t>十四五”是加快构建新型电力系统</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，推动实现碳达峰目</w:t>
      </w:r>
      <w:r>
        <w:rPr>
          <w:rFonts w:ascii="Microsoft YaHei" w:hAnsi="Microsoft YaHei" w:eastAsia="Microsoft YaHei" w:cs="Microsoft YaHei"/>
          <w:sz w:val="21"/>
          <w:szCs w:val="21"/>
          <w:spacing w:val="1"/>
        </w:rPr>
        <w:t>标的关键时期</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，《中共中央</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5"/>
        </w:rPr>
        <w:t>国务院关于完整准确全面贯彻新发展理念做</w:t>
      </w:r>
      <w:r>
        <w:rPr>
          <w:rFonts w:ascii="Microsoft YaHei" w:hAnsi="Microsoft YaHei" w:eastAsia="Microsoft YaHei" w:cs="Microsoft YaHei"/>
          <w:sz w:val="21"/>
          <w:szCs w:val="21"/>
          <w:spacing w:val="4"/>
        </w:rPr>
        <w:t>好碳达峰碳中和工作的意见》提出了加快</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形成以储能和调峰能力为基础支撑的新增电力装机发展机制。近年</w:t>
      </w:r>
      <w:r>
        <w:rPr>
          <w:rFonts w:ascii="Microsoft YaHei" w:hAnsi="Microsoft YaHei" w:eastAsia="Microsoft YaHei" w:cs="Microsoft YaHei"/>
          <w:sz w:val="21"/>
          <w:szCs w:val="21"/>
          <w:spacing w:val="3"/>
        </w:rPr>
        <w:t>来</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3"/>
        </w:rPr>
        <w:t>，储能相关政策</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陆续出台标志着我国储能行业的发展进入了新阶段。2021年</w:t>
      </w:r>
      <w:r>
        <w:rPr>
          <w:rFonts w:ascii="Microsoft YaHei" w:hAnsi="Microsoft YaHei" w:eastAsia="Microsoft YaHei" w:cs="Microsoft YaHei"/>
          <w:sz w:val="21"/>
          <w:szCs w:val="21"/>
          <w:spacing w:val="-12"/>
        </w:rPr>
        <w:t xml:space="preserve"> </w:t>
      </w:r>
      <w:r>
        <w:rPr>
          <w:rFonts w:ascii="Microsoft YaHei" w:hAnsi="Microsoft YaHei" w:eastAsia="Microsoft YaHei" w:cs="Microsoft YaHei"/>
          <w:sz w:val="21"/>
          <w:szCs w:val="21"/>
          <w:spacing w:val="1"/>
        </w:rPr>
        <w:t>，国家发展改革委、国家</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能源局联合印发了《加快推动新型储能发展的指导意见》</w:t>
      </w:r>
      <w:r>
        <w:rPr>
          <w:rFonts w:ascii="Microsoft YaHei" w:hAnsi="Microsoft YaHei" w:eastAsia="Microsoft YaHei" w:cs="Microsoft YaHei"/>
          <w:sz w:val="21"/>
          <w:szCs w:val="21"/>
          <w:spacing w:val="-6"/>
        </w:rPr>
        <w:t xml:space="preserve"> </w:t>
      </w:r>
      <w:r>
        <w:rPr>
          <w:rFonts w:ascii="Microsoft YaHei" w:hAnsi="Microsoft YaHei" w:eastAsia="Microsoft YaHei" w:cs="Microsoft YaHei"/>
          <w:sz w:val="21"/>
          <w:szCs w:val="21"/>
          <w:spacing w:val="3"/>
        </w:rPr>
        <w:t>，提纲挈领指明了新型储能</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发展方向</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，要求强化规划的引领作用</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，加快完善政策体系</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，加速技术创新</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1"/>
        </w:rPr>
        <w:t>，推</w:t>
      </w:r>
      <w:r>
        <w:rPr>
          <w:rFonts w:ascii="Microsoft YaHei" w:hAnsi="Microsoft YaHei" w:eastAsia="Microsoft YaHei" w:cs="Microsoft YaHei"/>
          <w:sz w:val="21"/>
          <w:szCs w:val="21"/>
        </w:rPr>
        <w:t>动新型 </w:t>
      </w:r>
      <w:r>
        <w:rPr>
          <w:rFonts w:ascii="Microsoft YaHei" w:hAnsi="Microsoft YaHei" w:eastAsia="Microsoft YaHei" w:cs="Microsoft YaHei"/>
          <w:sz w:val="21"/>
          <w:szCs w:val="21"/>
          <w:spacing w:val="-4"/>
        </w:rPr>
        <w:t>储能高质量发展。</w:t>
      </w:r>
    </w:p>
    <w:p>
      <w:pPr>
        <w:ind w:left="1" w:right="2997"/>
        <w:spacing w:before="271" w:line="218"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2022年1月由发改委联合国家能源局发布的《“十四五”新型储能发展实施方案》指</w:t>
      </w:r>
      <w:r>
        <w:rPr>
          <w:rFonts w:ascii="Microsoft YaHei" w:hAnsi="Microsoft YaHei" w:eastAsia="Microsoft YaHei" w:cs="Microsoft YaHei"/>
          <w:sz w:val="21"/>
          <w:szCs w:val="21"/>
          <w:spacing w:val="13"/>
        </w:rPr>
        <w:t xml:space="preserve"> </w:t>
      </w:r>
      <w:r>
        <w:rPr>
          <w:rFonts w:ascii="Microsoft YaHei" w:hAnsi="Microsoft YaHei" w:eastAsia="Microsoft YaHei" w:cs="Microsoft YaHei"/>
          <w:sz w:val="21"/>
          <w:szCs w:val="21"/>
          <w:spacing w:val="3"/>
        </w:rPr>
        <w:t>出</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，新型储能是构建新型电力系统的重要技术和基础装</w:t>
      </w:r>
      <w:r>
        <w:rPr>
          <w:rFonts w:ascii="Microsoft YaHei" w:hAnsi="Microsoft YaHei" w:eastAsia="Microsoft YaHei" w:cs="Microsoft YaHei"/>
          <w:sz w:val="21"/>
          <w:szCs w:val="21"/>
          <w:spacing w:val="2"/>
        </w:rPr>
        <w:t>备</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，是实现碳达峰碳中和目标</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的重要支撑</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4"/>
        </w:rPr>
        <w:t>，也是催生国内能源新业态、抢占国际战略新高地</w:t>
      </w:r>
      <w:r>
        <w:rPr>
          <w:rFonts w:ascii="Microsoft YaHei" w:hAnsi="Microsoft YaHei" w:eastAsia="Microsoft YaHei" w:cs="Microsoft YaHei"/>
          <w:sz w:val="21"/>
          <w:szCs w:val="21"/>
          <w:spacing w:val="3"/>
        </w:rPr>
        <w:t>的重要领域。未来储能</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领域将持续聚焦六大方向</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，把握“十四五”新型储能发</w:t>
      </w:r>
      <w:r>
        <w:rPr>
          <w:rFonts w:ascii="Microsoft YaHei" w:hAnsi="Microsoft YaHei" w:eastAsia="Microsoft YaHei" w:cs="Microsoft YaHei"/>
          <w:sz w:val="21"/>
          <w:szCs w:val="21"/>
          <w:spacing w:val="2"/>
        </w:rPr>
        <w:t>展的战略窗口期</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，加快推动新</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型储能规模化、产业化和市场化发展，保障碳达峰、碳</w:t>
      </w:r>
      <w:r>
        <w:rPr>
          <w:rFonts w:ascii="Microsoft YaHei" w:hAnsi="Microsoft YaHei" w:eastAsia="Microsoft YaHei" w:cs="Microsoft YaHei"/>
          <w:sz w:val="21"/>
          <w:szCs w:val="21"/>
          <w:spacing w:val="-1"/>
        </w:rPr>
        <w:t>中和工作顺利开局。</w:t>
      </w:r>
    </w:p>
    <w:p>
      <w:pPr>
        <w:ind w:right="2997" w:firstLine="1"/>
        <w:spacing w:before="256" w:line="218"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2023年2月24日国家标准化管理委员会和国家能源局联合印发《新型储能标准体系建</w:t>
      </w:r>
      <w:r>
        <w:rPr>
          <w:rFonts w:ascii="Microsoft YaHei" w:hAnsi="Microsoft YaHei" w:eastAsia="Microsoft YaHei" w:cs="Microsoft YaHei"/>
          <w:sz w:val="21"/>
          <w:szCs w:val="21"/>
          <w:spacing w:val="17"/>
          <w:w w:val="101"/>
        </w:rPr>
        <w:t xml:space="preserve"> </w:t>
      </w:r>
      <w:r>
        <w:rPr>
          <w:rFonts w:ascii="Microsoft YaHei" w:hAnsi="Microsoft YaHei" w:eastAsia="Microsoft YaHei" w:cs="Microsoft YaHei"/>
          <w:sz w:val="21"/>
          <w:szCs w:val="21"/>
        </w:rPr>
        <w:t>设指南》</w:t>
      </w:r>
      <w:r>
        <w:rPr>
          <w:rFonts w:ascii="Microsoft YaHei" w:hAnsi="Microsoft YaHei" w:eastAsia="Microsoft YaHei" w:cs="Microsoft YaHei"/>
          <w:sz w:val="21"/>
          <w:szCs w:val="21"/>
          <w:spacing w:val="-19"/>
        </w:rPr>
        <w:t xml:space="preserve"> </w:t>
      </w:r>
      <w:r>
        <w:rPr>
          <w:rFonts w:ascii="Microsoft YaHei" w:hAnsi="Microsoft YaHei" w:eastAsia="Microsoft YaHei" w:cs="Microsoft YaHei"/>
          <w:sz w:val="21"/>
          <w:szCs w:val="21"/>
        </w:rPr>
        <w:t>，提出在2023年制修订100项以上新型储能重点标准</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rPr>
        <w:t>，到</w:t>
      </w:r>
      <w:r>
        <w:rPr>
          <w:rFonts w:ascii="Microsoft YaHei" w:hAnsi="Microsoft YaHei" w:eastAsia="Microsoft YaHei" w:cs="Microsoft YaHei"/>
          <w:sz w:val="21"/>
          <w:szCs w:val="21"/>
          <w:spacing w:val="-1"/>
        </w:rPr>
        <w:t>2025年在电化学储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5"/>
        </w:rPr>
        <w:t>能、压缩空气储能、可逆燃料电池储能、超</w:t>
      </w:r>
      <w:r>
        <w:rPr>
          <w:rFonts w:ascii="Microsoft YaHei" w:hAnsi="Microsoft YaHei" w:eastAsia="Microsoft YaHei" w:cs="Microsoft YaHei"/>
          <w:sz w:val="21"/>
          <w:szCs w:val="21"/>
          <w:spacing w:val="4"/>
        </w:rPr>
        <w:t>级电容储能、飞轮储能、超导储能等领域</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形成较为完善的系列标准等目标</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，进一步凸显出国家支撑新型储能技术创</w:t>
      </w:r>
      <w:r>
        <w:rPr>
          <w:rFonts w:ascii="Microsoft YaHei" w:hAnsi="Microsoft YaHei" w:eastAsia="Microsoft YaHei" w:cs="Microsoft YaHei"/>
          <w:sz w:val="21"/>
          <w:szCs w:val="21"/>
          <w:spacing w:val="2"/>
        </w:rPr>
        <w:t>新</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2"/>
        </w:rPr>
        <w:t>，产业安</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全、规模化发展。</w:t>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497" w:right="1241" w:hanging="411"/>
        <w:spacing w:before="47"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1308" w:header="0" w:footer="0" w:gutter="0"/>
        </w:sectPr>
        <w:rPr>
          <w:rFonts w:ascii="Microsoft YaHei" w:hAnsi="Microsoft YaHei" w:eastAsia="Microsoft YaHei" w:cs="Microsoft YaHei"/>
          <w:sz w:val="11"/>
          <w:szCs w:val="11"/>
        </w:rPr>
      </w:pPr>
    </w:p>
    <w:p>
      <w:pPr>
        <w:ind w:left="974"/>
        <w:spacing w:before="314" w:line="193" w:lineRule="auto"/>
        <w:rPr>
          <w:rFonts w:ascii="Microsoft YaHei" w:hAnsi="Microsoft YaHei" w:eastAsia="Microsoft YaHei" w:cs="Microsoft YaHei"/>
          <w:sz w:val="18"/>
          <w:szCs w:val="18"/>
        </w:rPr>
      </w:pPr>
      <w:r>
        <mc:AlternateContent xmlns:mc="http://schemas.openxmlformats.org/markup-compatibility/2006">
          <mc:Choice Requires="wps">
            <w:drawing>
              <wp:anchor distT="0" distB="0" distL="0" distR="0" simplePos="0" relativeHeight="251747328" behindDoc="1" locked="0" layoutInCell="0" allowOverlap="1">
                <wp:simplePos x="0" y="0"/>
                <wp:positionH relativeFrom="page">
                  <wp:posOffset>7772272</wp:posOffset>
                </wp:positionH>
                <wp:positionV relativeFrom="page">
                  <wp:posOffset>0</wp:posOffset>
                </wp:positionV>
                <wp:extent cx="3175" cy="10909300"/>
                <wp:effectExtent l="0" t="0" r="0" b="0"/>
                <wp:wrapNone/>
                <wp:docPr id="132" name="Rect 132"/>
                <wp:cNvGraphicFramePr/>
                <a:graphic>
                  <a:graphicData uri="http://schemas.microsoft.com/office/word/2010/wordprocessingShape">
                    <wps:wsp>
                      <wps:cNvPr id="132" name="Rect 132"/>
                      <wps:cNvSpPr/>
                      <wps:spPr>
                        <a:xfrm>
                          <a:off x="7772272" y="0"/>
                          <a:ext cx="3175" cy="109093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14" style="position:absolute;margin-left:611.99pt;margin-top:0pt;mso-position-vertical-relative:page;mso-position-horizontal-relative:page;width:0.25pt;height:859pt;z-index:-251569152;" o:allowincell="f" fillcolor="#000000" filled="true" stroked="false"/>
            </w:pict>
          </mc:Fallback>
        </mc:AlternateContent>
      </w:r>
      <w:r>
        <w:pict>
          <v:shape id="_x0000_s116" style="position:absolute;margin-left:65.03pt;margin-top:15.7293pt;mso-position-vertical-relative:text;mso-position-horizontal-relative:text;width:0.5pt;height:10.25pt;z-index:-251571200;" filled="false" strokecolor="#A8A8A8" strokeweight="0.50pt" coordsize="10,205" coordorigin="0,0" path="m5,0l5,205e">
            <v:stroke joinstyle="miter"/>
          </v:shape>
        </w:pict>
      </w:r>
      <w:r>
        <w:drawing>
          <wp:anchor distT="0" distB="0" distL="0" distR="0" simplePos="0" relativeHeight="251748352" behindDoc="1" locked="0" layoutInCell="1" allowOverlap="1">
            <wp:simplePos x="0" y="0"/>
            <wp:positionH relativeFrom="column">
              <wp:posOffset>0</wp:posOffset>
            </wp:positionH>
            <wp:positionV relativeFrom="paragraph">
              <wp:posOffset>-254388</wp:posOffset>
            </wp:positionV>
            <wp:extent cx="7775447" cy="10908789"/>
            <wp:effectExtent l="0" t="0" r="0" b="0"/>
            <wp:wrapNone/>
            <wp:docPr id="134" name="IM 134"/>
            <wp:cNvGraphicFramePr/>
            <a:graphic>
              <a:graphicData uri="http://schemas.openxmlformats.org/drawingml/2006/picture">
                <pic:pic>
                  <pic:nvPicPr>
                    <pic:cNvPr id="134" name="IM 134"/>
                    <pic:cNvPicPr/>
                  </pic:nvPicPr>
                  <pic:blipFill>
                    <a:blip r:embed="rId52"/>
                    <a:stretch>
                      <a:fillRect/>
                    </a:stretch>
                  </pic:blipFill>
                  <pic:spPr>
                    <a:xfrm rot="0">
                      <a:off x="0" y="0"/>
                      <a:ext cx="7775447" cy="10908789"/>
                    </a:xfrm>
                    <a:prstGeom prst="rect">
                      <a:avLst/>
                    </a:prstGeom>
                  </pic:spPr>
                </pic:pic>
              </a:graphicData>
            </a:graphic>
          </wp:anchor>
        </w:drawing>
      </w:r>
      <w:r>
        <w:rPr>
          <w:rFonts w:ascii="Microsoft YaHei" w:hAnsi="Microsoft YaHei" w:eastAsia="Microsoft YaHei" w:cs="Microsoft YaHei"/>
          <w:sz w:val="18"/>
          <w:szCs w:val="18"/>
          <w:b/>
          <w:bCs/>
          <w:color w:val="00338D"/>
          <w:spacing w:val="-2"/>
        </w:rPr>
        <w:t>15</w:t>
      </w:r>
      <w:r>
        <w:rPr>
          <w:rFonts w:ascii="Microsoft YaHei" w:hAnsi="Microsoft YaHei" w:eastAsia="Microsoft YaHei" w:cs="Microsoft YaHei"/>
          <w:sz w:val="18"/>
          <w:szCs w:val="18"/>
          <w:b/>
          <w:bCs/>
          <w:color w:val="00338D"/>
          <w:spacing w:val="15"/>
          <w:w w:val="101"/>
        </w:rPr>
        <w:t xml:space="preserve">  </w:t>
      </w:r>
      <w:r>
        <w:rPr>
          <w:sz w:val="18"/>
          <w:szCs w:val="18"/>
          <w:position w:val="-4"/>
        </w:rPr>
        <w:drawing>
          <wp:inline distT="0" distB="0" distL="0" distR="0">
            <wp:extent cx="6350" cy="130175"/>
            <wp:effectExtent l="0" t="0" r="0" b="0"/>
            <wp:docPr id="136" name="IM 136"/>
            <wp:cNvGraphicFramePr/>
            <a:graphic>
              <a:graphicData uri="http://schemas.openxmlformats.org/drawingml/2006/picture">
                <pic:pic>
                  <pic:nvPicPr>
                    <pic:cNvPr id="136" name="IM 136"/>
                    <pic:cNvPicPr/>
                  </pic:nvPicPr>
                  <pic:blipFill>
                    <a:blip r:embed="rId53"/>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00338D"/>
          <w:spacing w:val="26"/>
        </w:rPr>
        <w:t xml:space="preserve">  </w:t>
      </w:r>
      <w:r>
        <w:rPr>
          <w:rFonts w:ascii="Microsoft YaHei" w:hAnsi="Microsoft YaHei" w:eastAsia="Microsoft YaHei" w:cs="Microsoft YaHei"/>
          <w:sz w:val="18"/>
          <w:szCs w:val="18"/>
          <w:color w:val="00338D"/>
          <w:spacing w:val="-2"/>
        </w:rPr>
        <w:t>新型储能助力能源转型</w:t>
      </w:r>
    </w:p>
    <w:p>
      <w:pPr>
        <w:pStyle w:val="BodyText"/>
        <w:spacing w:line="257" w:lineRule="auto"/>
        <w:rPr/>
      </w:pPr>
      <w:r/>
    </w:p>
    <w:p>
      <w:pPr>
        <w:pStyle w:val="BodyText"/>
        <w:spacing w:line="258" w:lineRule="auto"/>
        <w:rPr/>
      </w:pPr>
      <w:r/>
    </w:p>
    <w:p>
      <w:pPr>
        <w:pStyle w:val="BodyText"/>
        <w:spacing w:line="258" w:lineRule="auto"/>
        <w:rPr/>
      </w:pPr>
      <w:r/>
    </w:p>
    <w:p>
      <w:pPr>
        <w:ind w:left="1275"/>
        <w:spacing w:before="963" w:line="187" w:lineRule="auto"/>
        <w:outlineLvl w:val="0"/>
        <w:rPr>
          <w:rFonts w:ascii="Trebuchet MS" w:hAnsi="Trebuchet MS" w:eastAsia="Trebuchet MS" w:cs="Trebuchet MS"/>
          <w:sz w:val="332"/>
          <w:szCs w:val="332"/>
        </w:rPr>
      </w:pPr>
      <w:r>
        <w:rPr>
          <w:rFonts w:ascii="Trebuchet MS" w:hAnsi="Trebuchet MS" w:eastAsia="Trebuchet MS" w:cs="Trebuchet MS"/>
          <w:sz w:val="332"/>
          <w:szCs w:val="332"/>
          <w:b/>
          <w:bCs/>
          <w:color w:val="00338D"/>
          <w:spacing w:val="-239"/>
          <w:w w:val="92"/>
        </w:rPr>
        <w:t>02</w:t>
      </w:r>
    </w:p>
    <w:p>
      <w:pPr>
        <w:ind w:left="1260"/>
        <w:spacing w:before="4" w:line="179" w:lineRule="auto"/>
        <w:rPr>
          <w:rFonts w:ascii="Microsoft YaHei" w:hAnsi="Microsoft YaHei" w:eastAsia="Microsoft YaHei" w:cs="Microsoft YaHei"/>
          <w:sz w:val="108"/>
          <w:szCs w:val="108"/>
        </w:rPr>
      </w:pPr>
      <w:r>
        <w:rPr>
          <w:rFonts w:ascii="Microsoft YaHei" w:hAnsi="Microsoft YaHei" w:eastAsia="Microsoft YaHei" w:cs="Microsoft YaHei"/>
          <w:sz w:val="108"/>
          <w:szCs w:val="108"/>
          <w:b/>
          <w:bCs/>
          <w:color w:val="00338D"/>
          <w:spacing w:val="-3"/>
        </w:rPr>
        <w:t>储能市场概况</w:t>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1805" w:right="1241" w:hanging="411"/>
        <w:spacing w:before="47" w:line="172" w:lineRule="auto"/>
        <w:rPr>
          <w:rFonts w:ascii="Microsoft YaHei" w:hAnsi="Microsoft YaHei" w:eastAsia="Microsoft YaHei" w:cs="Microsoft YaHei"/>
          <w:sz w:val="11"/>
          <w:szCs w:val="11"/>
        </w:rPr>
      </w:pPr>
      <w:r>
        <w:pict>
          <v:shape id="_x0000_s118" style="position:absolute;margin-left:87.9397pt;margin-top:1.39717pt;mso-position-vertical-relative:text;mso-position-horizontal-relative:text;width:463.25pt;height:15.6pt;z-index:-251570176;" filled="false" stroked="false" type="#_x0000_t202">
            <v:fill on="false"/>
            <v:stroke on="false"/>
            <v:path/>
            <v:imagedata o:title=""/>
            <o:lock v:ext="edit" aspectratio="false"/>
            <v:textbox inset="0mm,0mm,0mm,0mm">
              <w:txbxContent>
                <w:p>
                  <w:pPr>
                    <w:ind w:left="20"/>
                    <w:spacing w:before="19" w:line="165"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rPr>
                    <w:t>毕马威华振会计师事务所(                          中国合伙制会计师事务所，毕马威企业咨询                            中国有限责任公司，毕马威会计师事务所     澳门特别行政区合伙制事务所，及毕马威</w:t>
                  </w:r>
                </w:p>
                <w:p>
                  <w:pPr>
                    <w:ind w:left="853"/>
                    <w:spacing w:line="180"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rPr>
                    <w:t>香港特别行政区合伙制事务所，均是与英国私营担保有限公司    毕马威国际有限公司相关联的独立成员所全球性组织中的成员。版权所有，不得转载。在中国印刷。</w:t>
                  </w:r>
                </w:p>
              </w:txbxContent>
            </v:textbox>
          </v:shape>
        </w:pict>
      </w:r>
      <w:r>
        <w:rPr>
          <w:rFonts w:ascii="Microsoft YaHei" w:hAnsi="Microsoft YaHei" w:eastAsia="Microsoft YaHei" w:cs="Microsoft YaHei"/>
          <w:sz w:val="11"/>
          <w:szCs w:val="11"/>
          <w:color w:val="FFFFFF"/>
          <w:spacing w:val="-1"/>
        </w:rPr>
        <w:t>© 2023</w:t>
      </w:r>
      <w:r>
        <w:rPr>
          <w:rFonts w:ascii="Microsoft YaHei" w:hAnsi="Microsoft YaHei" w:eastAsia="Microsoft YaHei" w:cs="Microsoft YaHei"/>
          <w:sz w:val="11"/>
          <w:szCs w:val="11"/>
          <w:color w:val="FFFFFF"/>
          <w:spacing w:val="-6"/>
        </w:rPr>
        <w:t xml:space="preserve"> </w:t>
      </w:r>
      <w:r>
        <w:rPr>
          <w:rFonts w:ascii="Microsoft YaHei" w:hAnsi="Microsoft YaHei" w:eastAsia="Microsoft YaHei" w:cs="Microsoft YaHei"/>
          <w:sz w:val="11"/>
          <w:szCs w:val="11"/>
          <w:color w:val="FFFFFF"/>
          <w:spacing w:val="-1"/>
        </w:rPr>
        <w:t>毕马威华振会计师事务所(特殊普通合伙)</w:t>
      </w:r>
      <w:r>
        <w:rPr>
          <w:rFonts w:ascii="Microsoft YaHei" w:hAnsi="Microsoft YaHei" w:eastAsia="Microsoft YaHei" w:cs="Microsoft YaHei"/>
          <w:sz w:val="11"/>
          <w:szCs w:val="11"/>
          <w:color w:val="FFFFFF"/>
          <w:spacing w:val="-12"/>
        </w:rPr>
        <w:t xml:space="preserve"> </w:t>
      </w:r>
      <w:r>
        <w:rPr>
          <w:rFonts w:ascii="Microsoft YaHei" w:hAnsi="Microsoft YaHei" w:eastAsia="Microsoft YaHei" w:cs="Microsoft YaHei"/>
          <w:sz w:val="11"/>
          <w:szCs w:val="11"/>
          <w:color w:val="FFFFFF"/>
          <w:spacing w:val="-1"/>
        </w:rPr>
        <w:t>— 中国合伙制会计师事务所，毕马威企业咨询</w:t>
      </w:r>
      <w:r>
        <w:rPr>
          <w:rFonts w:ascii="Microsoft YaHei" w:hAnsi="Microsoft YaHei" w:eastAsia="Microsoft YaHei" w:cs="Microsoft YaHei"/>
          <w:sz w:val="11"/>
          <w:szCs w:val="11"/>
          <w:color w:val="FFFFFF"/>
          <w:spacing w:val="-8"/>
        </w:rPr>
        <w:t xml:space="preserve"> </w:t>
      </w:r>
      <w:r>
        <w:rPr>
          <w:rFonts w:ascii="Microsoft YaHei" w:hAnsi="Microsoft YaHei" w:eastAsia="Microsoft YaHei" w:cs="Microsoft YaHei"/>
          <w:sz w:val="11"/>
          <w:szCs w:val="11"/>
          <w:color w:val="FFFFFF"/>
          <w:spacing w:val="-1"/>
        </w:rPr>
        <w:t>(中国)有限公司 — 中国有限责任公司，毕马威会计师事务所</w:t>
      </w:r>
      <w:r>
        <w:rPr>
          <w:rFonts w:ascii="Microsoft YaHei" w:hAnsi="Microsoft YaHei" w:eastAsia="Microsoft YaHei" w:cs="Microsoft YaHei"/>
          <w:sz w:val="11"/>
          <w:szCs w:val="11"/>
          <w:color w:val="FFFFFF"/>
          <w:spacing w:val="-8"/>
        </w:rPr>
        <w:t xml:space="preserve"> </w:t>
      </w:r>
      <w:r>
        <w:rPr>
          <w:rFonts w:ascii="Microsoft YaHei" w:hAnsi="Microsoft YaHei" w:eastAsia="Microsoft YaHei" w:cs="Microsoft YaHei"/>
          <w:sz w:val="11"/>
          <w:szCs w:val="11"/>
          <w:color w:val="FFFFFF"/>
          <w:spacing w:val="-1"/>
        </w:rPr>
        <w:t>— 澳门特别行政区合伙制事务所，</w:t>
      </w:r>
      <w:r>
        <w:rPr>
          <w:rFonts w:ascii="Microsoft YaHei" w:hAnsi="Microsoft YaHei" w:eastAsia="Microsoft YaHei" w:cs="Microsoft YaHei"/>
          <w:sz w:val="11"/>
          <w:szCs w:val="11"/>
          <w:color w:val="FFFFFF"/>
          <w:spacing w:val="-2"/>
        </w:rPr>
        <w:t>及毕马威</w:t>
      </w:r>
      <w:r>
        <w:rPr>
          <w:rFonts w:ascii="Microsoft YaHei" w:hAnsi="Microsoft YaHei" w:eastAsia="Microsoft YaHei" w:cs="Microsoft YaHei"/>
          <w:sz w:val="11"/>
          <w:szCs w:val="11"/>
          <w:color w:val="FFFFFF"/>
        </w:rPr>
        <w:t xml:space="preserve"> </w:t>
      </w:r>
      <w:r>
        <w:rPr>
          <w:rFonts w:ascii="Microsoft YaHei" w:hAnsi="Microsoft YaHei" w:eastAsia="Microsoft YaHei" w:cs="Microsoft YaHei"/>
          <w:sz w:val="11"/>
          <w:szCs w:val="11"/>
          <w:color w:val="FFFFFF"/>
        </w:rPr>
        <w:t>会计师事务所 —</w:t>
      </w:r>
      <w:r>
        <w:rPr>
          <w:rFonts w:ascii="Microsoft YaHei" w:hAnsi="Microsoft YaHei" w:eastAsia="Microsoft YaHei" w:cs="Microsoft YaHei"/>
          <w:sz w:val="11"/>
          <w:szCs w:val="11"/>
          <w:color w:val="FFFFFF"/>
          <w:spacing w:val="-6"/>
        </w:rPr>
        <w:t xml:space="preserve"> </w:t>
      </w:r>
      <w:r>
        <w:rPr>
          <w:rFonts w:ascii="Microsoft YaHei" w:hAnsi="Microsoft YaHei" w:eastAsia="Microsoft YaHei" w:cs="Microsoft YaHei"/>
          <w:sz w:val="11"/>
          <w:szCs w:val="11"/>
          <w:color w:val="FFFFFF"/>
        </w:rPr>
        <w:t>香港特别行政区合伙制事务所，</w:t>
      </w:r>
      <w:r>
        <w:rPr>
          <w:rFonts w:ascii="Microsoft YaHei" w:hAnsi="Microsoft YaHei" w:eastAsia="Microsoft YaHei" w:cs="Microsoft YaHei"/>
          <w:sz w:val="11"/>
          <w:szCs w:val="11"/>
          <w:color w:val="FFFFFF"/>
          <w:spacing w:val="-1"/>
        </w:rPr>
        <w:t>均是与英国私营担保有限公司</w:t>
      </w:r>
      <w:r>
        <w:rPr>
          <w:rFonts w:ascii="Microsoft YaHei" w:hAnsi="Microsoft YaHei" w:eastAsia="Microsoft YaHei" w:cs="Microsoft YaHei"/>
          <w:sz w:val="11"/>
          <w:szCs w:val="11"/>
          <w:color w:val="FFFFFF"/>
          <w:spacing w:val="-13"/>
        </w:rPr>
        <w:t xml:space="preserve"> </w:t>
      </w:r>
      <w:r>
        <w:rPr>
          <w:rFonts w:ascii="Microsoft YaHei" w:hAnsi="Microsoft YaHei" w:eastAsia="Microsoft YaHei" w:cs="Microsoft YaHei"/>
          <w:sz w:val="11"/>
          <w:szCs w:val="11"/>
          <w:color w:val="FFFFFF"/>
          <w:spacing w:val="-1"/>
        </w:rPr>
        <w:t>— 毕马威国际有限公司相关联的独立成员所全球性组织中的成员。版权所有，不得转载。在中国印刷。</w:t>
      </w:r>
    </w:p>
    <w:p>
      <w:pPr>
        <w:spacing w:line="172" w:lineRule="auto"/>
        <w:sectPr>
          <w:pgSz w:w="12245" w:h="17180"/>
          <w:pgMar w:top="400" w:right="0" w:bottom="0" w:left="0" w:header="0" w:footer="0" w:gutter="0"/>
        </w:sectPr>
        <w:rPr>
          <w:rFonts w:ascii="Microsoft YaHei" w:hAnsi="Microsoft YaHei" w:eastAsia="Microsoft YaHei" w:cs="Microsoft YaHei"/>
          <w:sz w:val="11"/>
          <w:szCs w:val="11"/>
        </w:rPr>
      </w:pPr>
    </w:p>
    <w:p>
      <w:pPr>
        <w:ind w:left="7674"/>
        <w:spacing w:before="314" w:line="193" w:lineRule="auto"/>
        <w:rPr>
          <w:rFonts w:ascii="Microsoft YaHei" w:hAnsi="Microsoft YaHei" w:eastAsia="Microsoft YaHei" w:cs="Microsoft YaHei"/>
          <w:sz w:val="18"/>
          <w:szCs w:val="18"/>
        </w:rPr>
      </w:pPr>
      <w:r>
        <w:pict>
          <v:rect id="_x0000_s120" style="position:absolute;margin-left:67.92pt;margin-top:414.96pt;mso-position-vertical-relative:page;mso-position-horizontal-relative:page;width:91.7pt;height:80.9pt;z-index:251769856;" o:allowincell="f" fillcolor="#00338D" filled="true" stroked="false">
            <v:fill opacity="0.984314"/>
          </v:rect>
        </w:pict>
      </w:r>
      <w:r>
        <w:pict>
          <v:shape id="_x0000_s122" style="position:absolute;margin-left:88.898pt;margin-top:473.515pt;mso-position-vertical-relative:page;mso-position-horizontal-relative:page;width:49.8pt;height:17.35pt;z-index:251773952;" o:allowincell="f" filled="false" stroked="false" type="#_x0000_t202">
            <v:fill on="false"/>
            <v:stroke on="false"/>
            <v:path/>
            <v:imagedata o:title=""/>
            <o:lock v:ext="edit" aspectratio="false"/>
            <v:textbox inset="0mm,0mm,0mm,0mm">
              <w:txbxContent>
                <w:p>
                  <w:pPr>
                    <w:ind w:left="20"/>
                    <w:spacing w:before="19" w:line="179" w:lineRule="auto"/>
                    <w:rPr>
                      <w:rFonts w:ascii="Microsoft YaHei" w:hAnsi="Microsoft YaHei" w:eastAsia="Microsoft YaHei" w:cs="Microsoft YaHei"/>
                      <w:sz w:val="24"/>
                      <w:szCs w:val="24"/>
                    </w:rPr>
                  </w:pPr>
                  <w:r>
                    <w:rPr>
                      <w:rFonts w:ascii="Microsoft YaHei" w:hAnsi="Microsoft YaHei" w:eastAsia="Microsoft YaHei" w:cs="Microsoft YaHei"/>
                      <w:sz w:val="24"/>
                      <w:szCs w:val="24"/>
                      <w:b/>
                      <w:bCs/>
                      <w:color w:val="FFFFFF"/>
                      <w:spacing w:val="-1"/>
                    </w:rPr>
                    <w:t>储能技术</w:t>
                  </w:r>
                </w:p>
              </w:txbxContent>
            </v:textbox>
          </v:shape>
        </w:pict>
      </w:r>
      <w:r>
        <w:pict>
          <v:shape id="_x0000_s124" style="position:absolute;margin-left:90.9602pt;margin-top:425.28pt;mso-position-vertical-relative:page;mso-position-horizontal-relative:page;width:45.65pt;height:41.8pt;z-index:251770880;" o:allowincell="f" fillcolor="#FFFFFF" filled="true" stroked="false" coordsize="913,835" coordorigin="0,0" path="m503,159l556,130c556,130,560,134,563,136c555,196,540,307,540,353l540,367l569,367l569,353c569,323,576,259,583,203c590,259,597,323,597,353l597,367l625,367l625,353c625,308,610,196,602,136c605,135,608,133,610,131l662,160l677,136l625,107c625,107,626,101,626,98c626,80,614,64,597,58l597,0l569,0l569,59c552,65,540,80,540,99c540,102,540,104,541,107l489,136l503,160l503,159xm574,87c574,87,579,84,583,84c588,84,590,85,593,87c595,89,596,91,597,93c597,93,597,94,597,96l597,98l597,100c597,105,592,110,587,112l584,112l583,112l580,112l578,112c572,110,568,105,568,99l568,96c568,93,570,91,572,89l574,87xm717,216l769,187c769,187,772,189,775,191c766,236,754,310,754,352l754,366l782,366l782,352c782,322,789,272,796,231c803,272,810,321,810,352l810,366l838,366l838,352c838,310,826,236,818,191c820,189,822,188,824,187l875,216l890,192l838,163c838,163,839,157,839,154c839,136,827,120,811,114l811,55l782,55l782,115c766,121,754,136,754,155c754,158,754,160,754,163l702,192l716,216l717,216xm787,144c787,144,793,140,797,140c801,140,804,142,807,144c808,145,809,147,810,149c810,149,811,151,811,152l811,155c811,162,807,167,802,169l800,169l797,169l794,169l793,169c787,167,783,161,783,155l783,152c783,149,785,147,787,145l787,144xm289,216l341,187c341,187,345,189,347,191c339,236,326,310,326,352l326,366l355,366l355,352c355,322,362,272,369,231c376,272,383,321,383,352l383,366l411,366l411,352c411,310,398,236,390,191c392,189,394,188,396,187l448,216l462,192l411,163c411,163,412,157,412,154c412,136,400,120,383,114l383,55l355,55l355,115c338,121,326,136,326,155c326,158,326,160,327,163l275,192l289,216l289,216xm360,144c360,144,365,140,369,140c373,140,376,142,379,144c380,145,382,147,383,149c383,149,383,151,384,152l384,155c384,162,380,167,374,169l372,169l370,169l367,169l365,169c360,167,355,161,355,155l355,152c355,149,357,147,360,145l360,144xm896,721l896,579l868,579l868,721l811,721l811,692c827,692,839,680,839,664l839,424c839,408,827,395,811,395l312,395c296,395,284,408,284,424l284,509l255,509l255,367c255,336,230,310,198,310l141,310c110,310,84,336,84,367l84,665l70,665l70,721l42,721l42,580l13,580l13,721l0,721l0,750l912,750l912,721l898,721l896,721xm98,692l782,692l782,721l98,721l98,692xm112,367c112,351,125,339,141,339l198,339c214,339,226,351,226,367l226,381l112,381l112,367xm112,409l226,409l226,664l112,664l112,409xm312,509l312,424l810,424l810,664l781,664l781,565l582,565l582,664l540,664l540,565l340,565l340,664l312,664l312,509xm454,636l454,664l426,664l426,636l397,636l397,664l369,664l369,594l511,594l511,664l483,664l483,636l454,636xm697,636l697,664l668,664l668,636l640,636l640,664l611,664l611,594l754,594l754,664l725,664l725,636l697,636xm284,664l255,664l255,594l284,594l284,664xm284,565l255,565l255,537l284,537l284,565xm512,537l626,537c649,537,668,518,668,495c668,472,649,453,626,453l512,453c488,453,469,472,469,495c469,518,488,537,512,537m512,480l626,480c633,480,640,487,640,494c640,502,633,508,626,508l512,508c504,508,497,502,497,494c497,487,503,480,512,480m13,778l84,778l84,806l13,806l13,778xm155,806l226,806l226,835l155,835l155,806xm298,778l369,778l369,806l298,806l298,778xm469,792l540,792l540,820l469,820l469,792xm640,778l711,778l711,806l640,806l640,778xm796,806l868,806l868,835l796,835l796,806xe"/>
        </w:pict>
      </w:r>
      <w:r>
        <w:rPr>
          <w:rFonts w:ascii="Microsoft YaHei" w:hAnsi="Microsoft YaHei" w:eastAsia="Microsoft YaHei" w:cs="Microsoft YaHei"/>
          <w:sz w:val="18"/>
          <w:szCs w:val="18"/>
          <w:color w:val="A8A8A8"/>
          <w:spacing w:val="-1"/>
        </w:rPr>
        <w:t>新型储能助力能源转型</w:t>
      </w:r>
      <w:r>
        <w:rPr>
          <w:rFonts w:ascii="Microsoft YaHei" w:hAnsi="Microsoft YaHei" w:eastAsia="Microsoft YaHei" w:cs="Microsoft YaHei"/>
          <w:sz w:val="18"/>
          <w:szCs w:val="18"/>
          <w:color w:val="A8A8A8"/>
          <w:spacing w:val="23"/>
          <w:w w:val="101"/>
        </w:rPr>
        <w:t xml:space="preserve">  </w:t>
      </w:r>
      <w:r>
        <w:rPr>
          <w:sz w:val="18"/>
          <w:szCs w:val="18"/>
          <w:position w:val="-4"/>
        </w:rPr>
        <w:drawing>
          <wp:inline distT="0" distB="0" distL="0" distR="0">
            <wp:extent cx="6350" cy="130175"/>
            <wp:effectExtent l="0" t="0" r="0" b="0"/>
            <wp:docPr id="138" name="IM 138"/>
            <wp:cNvGraphicFramePr/>
            <a:graphic>
              <a:graphicData uri="http://schemas.openxmlformats.org/drawingml/2006/picture">
                <pic:pic>
                  <pic:nvPicPr>
                    <pic:cNvPr id="138" name="IM 138"/>
                    <pic:cNvPicPr/>
                  </pic:nvPicPr>
                  <pic:blipFill>
                    <a:blip r:embed="rId54"/>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spacing w:val="20"/>
          <w:w w:val="101"/>
        </w:rPr>
        <w:t xml:space="preserve">  </w:t>
      </w:r>
      <w:r>
        <w:rPr>
          <w:rFonts w:ascii="Microsoft YaHei" w:hAnsi="Microsoft YaHei" w:eastAsia="Microsoft YaHei" w:cs="Microsoft YaHei"/>
          <w:sz w:val="18"/>
          <w:szCs w:val="18"/>
          <w:b/>
          <w:bCs/>
          <w:color w:val="A8A8A8"/>
          <w:spacing w:val="-1"/>
        </w:rPr>
        <w:t>16</w:t>
      </w:r>
    </w:p>
    <w:p>
      <w:pPr>
        <w:pStyle w:val="BodyText"/>
        <w:spacing w:line="357" w:lineRule="auto"/>
        <w:rPr/>
      </w:pPr>
      <w:r/>
    </w:p>
    <w:p>
      <w:pPr>
        <w:pStyle w:val="BodyText"/>
        <w:spacing w:line="358" w:lineRule="auto"/>
        <w:rPr/>
      </w:pPr>
      <w:r/>
    </w:p>
    <w:p>
      <w:pPr>
        <w:ind w:left="37"/>
        <w:spacing w:before="309" w:line="180" w:lineRule="auto"/>
        <w:rPr>
          <w:rFonts w:ascii="Microsoft YaHei" w:hAnsi="Microsoft YaHei" w:eastAsia="Microsoft YaHei" w:cs="Microsoft YaHei"/>
          <w:sz w:val="72"/>
          <w:szCs w:val="72"/>
        </w:rPr>
      </w:pPr>
      <w:r>
        <w:rPr>
          <w:rFonts w:ascii="Microsoft YaHei" w:hAnsi="Microsoft YaHei" w:eastAsia="Microsoft YaHei" w:cs="Microsoft YaHei"/>
          <w:sz w:val="72"/>
          <w:szCs w:val="72"/>
          <w:b/>
          <w:bCs/>
          <w:color w:val="00338D"/>
          <w:spacing w:val="-3"/>
        </w:rPr>
        <w:t>储能方式</w:t>
      </w:r>
    </w:p>
    <w:p>
      <w:pPr>
        <w:ind w:left="8" w:right="2996" w:firstLine="1"/>
        <w:spacing w:before="158" w:line="217"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根据能量存储形式的不同</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，广义储能技术主要</w:t>
      </w:r>
      <w:r>
        <w:rPr>
          <w:rFonts w:ascii="Microsoft YaHei" w:hAnsi="Microsoft YaHei" w:eastAsia="Microsoft YaHei" w:cs="Microsoft YaHei"/>
          <w:sz w:val="21"/>
          <w:szCs w:val="21"/>
          <w:spacing w:val="1"/>
        </w:rPr>
        <w:t>分为热储能、</w:t>
      </w:r>
      <w:r>
        <w:rPr>
          <w:rFonts w:ascii="Microsoft YaHei" w:hAnsi="Microsoft YaHei" w:eastAsia="Microsoft YaHei" w:cs="Microsoft YaHei"/>
          <w:sz w:val="21"/>
          <w:szCs w:val="21"/>
          <w:spacing w:val="-38"/>
        </w:rPr>
        <w:t xml:space="preserve"> </w:t>
      </w:r>
      <w:r>
        <w:rPr>
          <w:rFonts w:ascii="Microsoft YaHei" w:hAnsi="Microsoft YaHei" w:eastAsia="Microsoft YaHei" w:cs="Microsoft YaHei"/>
          <w:sz w:val="21"/>
          <w:szCs w:val="21"/>
          <w:spacing w:val="1"/>
        </w:rPr>
        <w:t>电储能、氢</w:t>
      </w:r>
      <w:r>
        <w:rPr>
          <w:rFonts w:ascii="Microsoft YaHei" w:hAnsi="Microsoft YaHei" w:eastAsia="Microsoft YaHei" w:cs="Microsoft YaHei"/>
          <w:sz w:val="21"/>
          <w:szCs w:val="21"/>
          <w:spacing w:val="-40"/>
        </w:rPr>
        <w:t xml:space="preserve"> </w:t>
      </w:r>
      <w:r>
        <w:rPr>
          <w:rFonts w:ascii="Microsoft YaHei" w:hAnsi="Microsoft YaHei" w:eastAsia="Microsoft YaHei" w:cs="Microsoft YaHei"/>
          <w:sz w:val="21"/>
          <w:szCs w:val="21"/>
          <w:spacing w:val="1"/>
        </w:rPr>
        <w:t>（氨）</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1"/>
        </w:rPr>
        <w:t>储能三</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大类</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1"/>
        </w:rPr>
        <w:t>，其中</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1"/>
        </w:rPr>
        <w:t>电储能包括电化学储能、机械储能和电磁储能。</w:t>
      </w:r>
      <w:r>
        <w:rPr>
          <w:rFonts w:ascii="Microsoft YaHei" w:hAnsi="Microsoft YaHei" w:eastAsia="Microsoft YaHei" w:cs="Microsoft YaHei"/>
          <w:sz w:val="21"/>
          <w:szCs w:val="21"/>
          <w:spacing w:val="-22"/>
        </w:rPr>
        <w:t xml:space="preserve"> </w:t>
      </w:r>
      <w:r>
        <w:rPr>
          <w:rFonts w:ascii="Microsoft YaHei" w:hAnsi="Microsoft YaHei" w:eastAsia="Microsoft YaHei" w:cs="Microsoft YaHei"/>
          <w:sz w:val="21"/>
          <w:szCs w:val="21"/>
          <w:spacing w:val="1"/>
        </w:rPr>
        <w:t>目前在电力系统的储能</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项目中</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，抽水蓄能仍是主要方式</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，但以电化学储能为代表的</w:t>
      </w:r>
      <w:r>
        <w:rPr>
          <w:rFonts w:ascii="Microsoft YaHei" w:hAnsi="Microsoft YaHei" w:eastAsia="Microsoft YaHei" w:cs="Microsoft YaHei"/>
          <w:sz w:val="21"/>
          <w:szCs w:val="21"/>
          <w:spacing w:val="2"/>
        </w:rPr>
        <w:t>多种新型储能方式正迅猛</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7"/>
        </w:rPr>
        <w:t>发展（图</w:t>
      </w:r>
      <w:r>
        <w:rPr>
          <w:rFonts w:ascii="Microsoft YaHei" w:hAnsi="Microsoft YaHei" w:eastAsia="Microsoft YaHei" w:cs="Microsoft YaHei"/>
          <w:sz w:val="21"/>
          <w:szCs w:val="21"/>
          <w:spacing w:val="52"/>
          <w:w w:val="101"/>
        </w:rPr>
        <w:t xml:space="preserve"> </w:t>
      </w:r>
      <w:r>
        <w:rPr>
          <w:rFonts w:ascii="Microsoft YaHei" w:hAnsi="Microsoft YaHei" w:eastAsia="Microsoft YaHei" w:cs="Microsoft YaHei"/>
          <w:sz w:val="21"/>
          <w:szCs w:val="21"/>
          <w:spacing w:val="-7"/>
        </w:rPr>
        <w:t>1）。</w:t>
      </w:r>
    </w:p>
    <w:p>
      <w:pPr>
        <w:pStyle w:val="BodyText"/>
        <w:spacing w:line="275" w:lineRule="auto"/>
        <w:rPr/>
      </w:pPr>
      <w:r>
        <w:pict>
          <v:rect id="_x0000_s126" style="position:absolute;margin-left:0.119995pt;margin-top:7.10797pt;mso-position-vertical-relative:text;mso-position-horizontal-relative:text;width:30.5pt;height:5pt;z-index:251760640;" fillcolor="#00B8F5" filled="true" stroked="false"/>
        </w:pict>
      </w:r>
      <w:r>
        <w:pict>
          <v:shape id="_x0000_s128" style="position:absolute;margin-left:36.96pt;margin-top:17.1879pt;mso-position-vertical-relative:text;mso-position-horizontal-relative:text;width:1pt;height:13.85pt;z-index:251761664;" filled="false" strokecolor="#00B8F5" strokeweight="1.00pt" coordsize="20,277" coordorigin="0,0" path="m10,0l10,276e">
            <v:stroke joinstyle="miter"/>
          </v:shape>
        </w:pict>
      </w:r>
      <w:r/>
    </w:p>
    <w:p>
      <w:pPr>
        <w:ind w:left="916"/>
        <w:spacing w:before="90" w:line="179" w:lineRule="auto"/>
        <w:rPr>
          <w:rFonts w:ascii="Microsoft YaHei" w:hAnsi="Microsoft YaHei" w:eastAsia="Microsoft YaHei" w:cs="Microsoft YaHei"/>
          <w:sz w:val="21"/>
          <w:szCs w:val="21"/>
        </w:rPr>
      </w:pPr>
      <w:r>
        <mc:AlternateContent xmlns:mc="http://schemas.openxmlformats.org/markup-compatibility/2006">
          <mc:Choice Requires="wps">
            <w:drawing>
              <wp:anchor distT="0" distB="0" distL="0" distR="0" simplePos="0" relativeHeight="251752448" behindDoc="1" locked="0" layoutInCell="1" allowOverlap="1">
                <wp:simplePos x="0" y="0"/>
                <wp:positionH relativeFrom="column">
                  <wp:posOffset>0</wp:posOffset>
                </wp:positionH>
                <wp:positionV relativeFrom="paragraph">
                  <wp:posOffset>-43012</wp:posOffset>
                </wp:positionV>
                <wp:extent cx="6123940" cy="332740"/>
                <wp:effectExtent l="0" t="0" r="0" b="0"/>
                <wp:wrapNone/>
                <wp:docPr id="140" name="Rect 140"/>
                <wp:cNvGraphicFramePr/>
                <a:graphic>
                  <a:graphicData uri="http://schemas.microsoft.com/office/word/2010/wordprocessingShape">
                    <wps:wsp>
                      <wps:cNvPr id="140" name="Rect 140"/>
                      <wps:cNvSpPr/>
                      <wps:spPr>
                        <a:xfrm>
                          <a:off x="0" y="-43012"/>
                          <a:ext cx="6123940" cy="332740"/>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30" style="position:absolute;margin-left:0pt;margin-top:-3.38683pt;mso-position-vertical-relative:text;mso-position-horizontal-relative:text;width:482.2pt;height:26.2pt;z-index:-251564032;" fillcolor="#F1F1F1" filled="true" stroked="false"/>
            </w:pict>
          </mc:Fallback>
        </mc:AlternateContent>
      </w:r>
      <w:r>
        <w:pict>
          <v:shape id="_x0000_s132" style="position:absolute;margin-left:7.00914pt;margin-top:4.01368pt;mso-position-vertical-relative:text;mso-position-horizontal-relative:text;width:20.4pt;height:15.05pt;z-index:251759616;" filled="false" stroked="false" type="#_x0000_t202">
            <v:fill on="false"/>
            <v:stroke on="false"/>
            <v:path/>
            <v:imagedata o:title=""/>
            <o:lock v:ext="edit" aspectratio="false"/>
            <v:textbox inset="0mm,0mm,0mm,0mm">
              <w:txbxContent>
                <w:p>
                  <w:pPr>
                    <w:spacing w:before="19" w:line="174" w:lineRule="auto"/>
                    <w:jc w:val="right"/>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B8F5"/>
                      <w:spacing w:val="-19"/>
                    </w:rPr>
                    <w:t>图</w:t>
                  </w:r>
                  <w:r>
                    <w:rPr>
                      <w:rFonts w:ascii="Microsoft YaHei" w:hAnsi="Microsoft YaHei" w:eastAsia="Microsoft YaHei" w:cs="Microsoft YaHei"/>
                      <w:sz w:val="21"/>
                      <w:szCs w:val="21"/>
                      <w:b/>
                      <w:bCs/>
                      <w:color w:val="00B8F5"/>
                      <w:spacing w:val="2"/>
                    </w:rPr>
                    <w:t xml:space="preserve"> </w:t>
                  </w:r>
                  <w:r>
                    <w:rPr>
                      <w:rFonts w:ascii="Microsoft YaHei" w:hAnsi="Microsoft YaHei" w:eastAsia="Microsoft YaHei" w:cs="Microsoft YaHei"/>
                      <w:sz w:val="21"/>
                      <w:szCs w:val="21"/>
                      <w:b/>
                      <w:bCs/>
                      <w:color w:val="00B8F5"/>
                      <w:spacing w:val="-19"/>
                    </w:rPr>
                    <w:t>1</w:t>
                  </w:r>
                </w:p>
              </w:txbxContent>
            </v:textbox>
          </v:shape>
        </w:pict>
      </w:r>
      <w:r>
        <w:rPr>
          <w:rFonts w:ascii="Microsoft YaHei" w:hAnsi="Microsoft YaHei" w:eastAsia="Microsoft YaHei" w:cs="Microsoft YaHei"/>
          <w:sz w:val="21"/>
          <w:szCs w:val="21"/>
          <w:b/>
          <w:bCs/>
          <w:color w:val="00B8F5"/>
        </w:rPr>
        <w:t>储能技术分类</w:t>
      </w:r>
    </w:p>
    <w:p>
      <w:pPr>
        <w:spacing w:before="75"/>
        <w:rPr/>
      </w:pPr>
      <w:r/>
    </w:p>
    <w:p>
      <w:pPr>
        <w:sectPr>
          <w:pgSz w:w="12245" w:h="17180"/>
          <w:pgMar w:top="400" w:right="0" w:bottom="0" w:left="1300" w:header="0" w:footer="0" w:gutter="0"/>
          <w:cols w:equalWidth="0" w:num="1">
            <w:col w:w="10944" w:space="0"/>
          </w:cols>
        </w:sectPr>
        <w:rPr/>
      </w:pPr>
    </w:p>
    <w:p>
      <w:pPr>
        <w:rPr/>
      </w:pPr>
      <w:r/>
    </w:p>
    <w:p>
      <w:pPr>
        <w:pStyle w:val="BodyText"/>
        <w:spacing w:line="14" w:lineRule="auto"/>
        <w:rPr>
          <w:sz w:val="2"/>
        </w:rPr>
      </w:pPr>
      <w:r>
        <w:rPr>
          <w:sz w:val="2"/>
          <w:szCs w:val="2"/>
        </w:rPr>
        <w:br w:type="column"/>
      </w:r>
    </w:p>
    <w:p>
      <w:pPr>
        <w:pStyle w:val="BodyText"/>
        <w:rPr/>
      </w:pPr>
      <w:r/>
    </w:p>
    <w:p>
      <w:pPr>
        <w:pStyle w:val="BodyText"/>
        <w:rPr/>
      </w:pPr>
      <w:r/>
    </w:p>
    <w:p>
      <w:pPr>
        <w:pStyle w:val="BodyText"/>
        <w:spacing w:line="241" w:lineRule="auto"/>
        <w:rPr/>
      </w:pPr>
      <w:r/>
    </w:p>
    <w:p>
      <w:pPr>
        <w:pStyle w:val="BodyText"/>
        <w:spacing w:line="241" w:lineRule="auto"/>
        <w:rPr/>
      </w:pPr>
      <w:r/>
    </w:p>
    <w:p>
      <w:pPr>
        <w:ind w:firstLine="62"/>
        <w:spacing w:line="5540" w:lineRule="exact"/>
        <w:rPr/>
      </w:pPr>
      <w:r>
        <w:pict>
          <v:shape id="_x0000_s134" style="position:absolute;margin-left:4.09pt;margin-top:141.614pt;mso-position-vertical-relative:text;mso-position-horizontal-relative:text;width:28.35pt;height:0.5pt;z-index:251768832;" filled="false" strokecolor="#BFBFBF" strokeweight="0.50pt" coordsize="567,10" coordorigin="0,0" path="m0,5l566,5e">
            <v:stroke joinstyle="miter"/>
          </v:shape>
        </w:pict>
      </w:r>
      <w:r>
        <w:rPr>
          <w:position w:val="-110"/>
        </w:rPr>
        <w:pict>
          <v:shape id="_x0000_s136" style="mso-position-vertical-relative:line;mso-position-horizontal-relative:char;width:27.4pt;height:277pt;" filled="false" strokecolor="#BFBFBF" strokeweight="0.50pt" coordsize="547,5540" coordorigin="0,0" path="m542,5534c394,5534,273,5325,273,5068l273,3301c273,3044,153,2835,5,2835c153,2835,273,2626,273,2369l273,471c273,213,394,5,542,5e">
            <v:stroke joinstyle="miter"/>
          </v:shape>
        </w:pict>
      </w:r>
    </w:p>
    <w:p>
      <w:pPr>
        <w:pStyle w:val="BodyText"/>
        <w:spacing w:line="14" w:lineRule="auto"/>
        <w:rPr>
          <w:sz w:val="2"/>
        </w:rPr>
      </w:pPr>
      <w:r>
        <w:rPr>
          <w:sz w:val="2"/>
          <w:szCs w:val="2"/>
        </w:rPr>
        <w:br w:type="column"/>
      </w:r>
      <w:r>
        <w:pict>
          <v:rect id="_x0000_s138" style="position:absolute;margin-left:0pt;margin-top:13.4399pt;mso-position-vertical-relative:text;mso-position-horizontal-relative:text;width:91.45pt;height:85.2pt;z-index:251766784;" fillcolor="#7F7F7F" filled="true" stroked="false">
            <v:fill opacity="0.988235"/>
          </v:rect>
        </w:pict>
      </w:r>
      <w:r>
        <w:pict>
          <v:rect id="_x0000_s140" style="position:absolute;margin-left:0pt;margin-top:145.92pt;mso-position-vertical-relative:text;mso-position-horizontal-relative:text;width:91.45pt;height:85.25pt;z-index:251764736;" fillcolor="#00B8F5" filled="true" stroked="false"/>
        </w:pict>
      </w:r>
      <w:r>
        <w:pict>
          <v:rect id="_x0000_s142" style="position:absolute;margin-left:0pt;margin-top:278.64pt;mso-position-vertical-relative:text;mso-position-horizontal-relative:text;width:91.45pt;height:85pt;z-index:251762688;" fillcolor="#00C0AE" filled="true" stroked="false">
            <v:fill opacity="0.941176"/>
          </v:rect>
        </w:pict>
      </w:r>
      <w:r>
        <w:pict>
          <v:shape id="_x0000_s144" style="position:absolute;margin-left:29.9511pt;margin-top:79.1141pt;mso-position-vertical-relative:text;mso-position-horizontal-relative:text;width:31.9pt;height:14.85pt;z-index:251774976;" filled="false" stroked="false" type="#_x0000_t202">
            <v:fill on="false"/>
            <v:stroke on="false"/>
            <v:path/>
            <v:imagedata o:title=""/>
            <o:lock v:ext="edit" aspectratio="false"/>
            <v:textbox inset="0mm,0mm,0mm,0mm">
              <w:txbxContent>
                <w:p>
                  <w:pPr>
                    <w:ind w:left="20"/>
                    <w:spacing w:before="20"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FFFFFF"/>
                      <w:spacing w:val="-1"/>
                    </w:rPr>
                    <w:t>热储能</w:t>
                  </w:r>
                </w:p>
              </w:txbxContent>
            </v:textbox>
          </v:shape>
        </w:pict>
      </w:r>
      <w:r>
        <w:pict>
          <v:shape id="_x0000_s146" style="position:absolute;margin-left:30.7371pt;margin-top:211.447pt;mso-position-vertical-relative:text;mso-position-horizontal-relative:text;width:31.15pt;height:14.9pt;z-index:251772928;" filled="false" stroked="false" type="#_x0000_t202">
            <v:fill on="false"/>
            <v:stroke on="false"/>
            <v:path/>
            <v:imagedata o:title=""/>
            <o:lock v:ext="edit" aspectratio="false"/>
            <v:textbox inset="0mm,0mm,0mm,0mm">
              <w:txbxContent>
                <w:p>
                  <w:pPr>
                    <w:ind w:left="20"/>
                    <w:spacing w:before="20"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FFFFFF"/>
                      <w:spacing w:val="-4"/>
                    </w:rPr>
                    <w:t>电储能</w:t>
                  </w:r>
                </w:p>
              </w:txbxContent>
            </v:textbox>
          </v:shape>
        </w:pict>
      </w:r>
      <w:r>
        <w:pict>
          <v:shape id="_x0000_s148" style="position:absolute;margin-left:21.0764pt;margin-top:343.76pt;mso-position-vertical-relative:text;mso-position-horizontal-relative:text;width:49.6pt;height:15.65pt;z-index:251771904;" filled="false" stroked="false" type="#_x0000_t202">
            <v:fill on="false"/>
            <v:stroke on="false"/>
            <v:path/>
            <v:imagedata o:title=""/>
            <o:lock v:ext="edit" aspectratio="false"/>
            <v:textbox inset="0mm,0mm,0mm,0mm">
              <w:txbxContent>
                <w:p>
                  <w:pPr>
                    <w:ind w:left="20"/>
                    <w:spacing w:before="19" w:line="19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FFFFFF"/>
                      <w:spacing w:val="-1"/>
                    </w:rPr>
                    <w:t>氢(氨)储能</w:t>
                  </w:r>
                </w:p>
              </w:txbxContent>
            </v:textbox>
          </v:shape>
        </w:pict>
      </w:r>
      <w:r>
        <w:pict>
          <v:shape id="_x0000_s150" style="position:absolute;margin-left:24.1213pt;margin-top:25.5679pt;mso-position-vertical-relative:text;mso-position-horizontal-relative:text;width:44pt;height:47.1pt;z-index:251767808;" filled="false" strokecolor="#FFFFFF" strokeweight="1.25pt" coordsize="880,941" coordorigin="0,0" path="m298,410l43,410l12,929l329,929l298,410xm310,316c345,340,399,338,433,319c451,309,468,288,490,294c516,301,536,318,565,314c600,310,628,279,663,283c689,285,707,305,730,315c752,325,777,326,799,319c824,311,843,293,862,276m439,314c461,296,474,269,473,242m564,97c542,10,374,-30,309,76c300,89,295,108,280,116c266,124,247,118,231,115c186,107,138,122,107,154c76,186,72,228,89,266m492,147c527,91,607,84,649,102c675,113,696,132,720,147c764,172,817,181,866,171m64,410c27,375,27,318,64,283c84,264,111,255,137,257m272,281c297,292,314,315,314,342c314,380,280,410,238,410m300,84c281,123,272,164,278,204m310,573l866,573l866,929l327,929m415,641l761,641l761,722l415,722l415,641xm502,641l502,722m588,641l588,722m674,641l674,722m415,789l761,789l761,924l415,924l415,789xm588,789l588,924e">
            <v:stroke joinstyle="miter"/>
          </v:shape>
        </w:pict>
      </w:r>
      <w:r>
        <w:pict>
          <v:shape id="_x0000_s152" style="position:absolute;margin-left:21.4801pt;margin-top:163.08pt;mso-position-vertical-relative:text;mso-position-horizontal-relative:text;width:50.7pt;height:38pt;z-index:251765760;" filled="false" strokecolor="#FFFFFF" strokeweight="1.25pt" coordsize="1014,760" coordorigin="0,0" path="m391,746l348,746l473,440l242,440l555,12l600,12l464,318l694,318l391,746xm600,142l900,142c913,142,924,152,924,165l924,598c924,611,913,622,900,622l550,622m396,142l36,142c23,142,12,152,12,165l12,598c12,611,23,622,36,622l337,622m924,271l995,271c998,271,1001,274,1001,277l1001,486c1001,489,998,492,995,492l924,492l924,271xm182,218c183,218,185,220,185,222l185,532c185,534,183,535,182,535l82,535c81,535,79,534,79,532l79,222c79,220,81,218,82,218l182,218xm252,492l252,531c252,533,254,535,257,535l357,535c360,535,362,533,362,531l362,492m334,218l257,218c254,218,252,220,252,223l252,324m684,425l684,530c684,533,682,535,679,535l602,535m578,276l578,223c578,221,580,218,583,218l679,218c682,218,684,221,684,223l684,276m858,218c860,218,862,220,862,222l862,532c862,534,860,535,858,535l754,535c753,535,751,534,751,532l751,222c751,220,753,218,754,218l858,218xm410,70l444,70m516,689l550,689e">
            <v:stroke joinstyle="miter"/>
          </v:shape>
        </w:pict>
      </w:r>
      <w:r>
        <w:drawing>
          <wp:anchor distT="0" distB="0" distL="0" distR="0" simplePos="0" relativeHeight="251763712" behindDoc="0" locked="0" layoutInCell="1" allowOverlap="1">
            <wp:simplePos x="0" y="0"/>
            <wp:positionH relativeFrom="column">
              <wp:posOffset>315404</wp:posOffset>
            </wp:positionH>
            <wp:positionV relativeFrom="paragraph">
              <wp:posOffset>3707827</wp:posOffset>
            </wp:positionV>
            <wp:extent cx="582295" cy="509142"/>
            <wp:effectExtent l="0" t="0" r="0" b="0"/>
            <wp:wrapNone/>
            <wp:docPr id="142" name="IM 142"/>
            <wp:cNvGraphicFramePr/>
            <a:graphic>
              <a:graphicData uri="http://schemas.openxmlformats.org/drawingml/2006/picture">
                <pic:pic>
                  <pic:nvPicPr>
                    <pic:cNvPr id="142" name="IM 142"/>
                    <pic:cNvPicPr/>
                  </pic:nvPicPr>
                  <pic:blipFill>
                    <a:blip r:embed="rId55"/>
                    <a:stretch>
                      <a:fillRect/>
                    </a:stretch>
                  </pic:blipFill>
                  <pic:spPr>
                    <a:xfrm rot="0">
                      <a:off x="0" y="0"/>
                      <a:ext cx="582295" cy="509142"/>
                    </a:xfrm>
                    <a:prstGeom prst="rect">
                      <a:avLst/>
                    </a:prstGeom>
                  </pic:spPr>
                </pic:pic>
              </a:graphicData>
            </a:graphic>
          </wp:anchor>
        </w:drawing>
      </w:r>
    </w:p>
    <w:p>
      <w:pPr>
        <w:pStyle w:val="BodyText"/>
        <w:spacing w:line="14" w:lineRule="auto"/>
        <w:rPr>
          <w:sz w:val="2"/>
        </w:rPr>
      </w:pPr>
      <w:r>
        <w:rPr>
          <w:sz w:val="2"/>
          <w:szCs w:val="2"/>
        </w:rPr>
        <w:br w:type="column"/>
      </w:r>
    </w:p>
    <w:p>
      <w:pPr>
        <w:pStyle w:val="BodyText"/>
        <w:ind w:left="29"/>
        <w:spacing w:before="155" w:line="209" w:lineRule="auto"/>
        <w:outlineLvl w:val="0"/>
        <w:tabs>
          <w:tab w:val="left" w:pos="2630"/>
        </w:tabs>
        <w:rPr>
          <w:sz w:val="145"/>
          <w:szCs w:val="145"/>
        </w:rPr>
      </w:pPr>
      <w:r>
        <w:rPr>
          <w:sz w:val="145"/>
          <w:szCs w:val="145"/>
          <w:strike/>
          <w:color w:val="BFBFBF"/>
        </w:rPr>
        <w:tab/>
      </w:r>
      <w:r>
        <w:rPr>
          <w:sz w:val="145"/>
          <w:szCs w:val="145"/>
          <w:color w:val="BFBFBF"/>
          <w:spacing w:val="-14"/>
        </w:rPr>
        <w:t>{</w:t>
      </w:r>
    </w:p>
    <w:p>
      <w:pPr>
        <w:pStyle w:val="BodyText"/>
        <w:spacing w:line="255" w:lineRule="auto"/>
        <w:rPr/>
      </w:pPr>
      <w:r/>
    </w:p>
    <w:p>
      <w:pPr>
        <w:pStyle w:val="BodyText"/>
        <w:spacing w:before="418" w:line="210" w:lineRule="auto"/>
        <w:jc w:val="right"/>
        <w:rPr>
          <w:sz w:val="145"/>
          <w:szCs w:val="145"/>
        </w:rPr>
      </w:pPr>
      <w:r>
        <w:pict>
          <v:shape id="_x0000_s154" style="position:absolute;margin-left:33.37pt;margin-top:42.9807pt;mso-position-vertical-relative:text;mso-position-horizontal-relative:text;width:91.45pt;height:25.95pt;z-index:-251560960;" fillcolor="#00B8F5" filled="true" stroked="false" coordsize="1828,519" coordorigin="0,0" path="m0,86m0,86c0,38,38,0,86,0l1742,0c1790,0,1828,38,1828,86l1828,432c1828,479,1790,518,1742,518l86,518c38,518,0,479,0,432l0,86xe"/>
        </w:pict>
      </w:r>
      <w:r>
        <w:pict>
          <v:shape id="_x0000_s156" style="position:absolute;margin-left:0.25pt;margin-top:48.9806pt;mso-position-vertical-relative:text;mso-position-horizontal-relative:text;width:29.55pt;height:200.9pt;z-index:251756544;" filled="false" strokecolor="#BFBFBF" strokeweight="0.50pt" coordsize="590,4017" coordorigin="0,0" path="m585,4012c425,4012,295,3934,295,3837l295,1282c295,1185,165,1106,5,1106c165,1106,295,1028,295,931l295,180c295,83,425,5,585,5e">
            <v:stroke joinstyle="miter"/>
          </v:shape>
        </w:pict>
      </w:r>
      <w:r>
        <w:rPr>
          <w:rFonts w:ascii="Microsoft YaHei" w:hAnsi="Microsoft YaHei" w:eastAsia="Microsoft YaHei" w:cs="Microsoft YaHei"/>
          <w:sz w:val="20"/>
          <w:szCs w:val="20"/>
          <w:color w:val="FFFFFF"/>
          <w:spacing w:val="-6"/>
          <w:position w:val="37"/>
        </w:rPr>
        <w:t>电化学储能</w:t>
      </w:r>
      <w:r>
        <w:rPr>
          <w:rFonts w:ascii="Microsoft YaHei" w:hAnsi="Microsoft YaHei" w:eastAsia="Microsoft YaHei" w:cs="Microsoft YaHei"/>
          <w:sz w:val="20"/>
          <w:szCs w:val="20"/>
          <w:color w:val="FFFFFF"/>
          <w:spacing w:val="8"/>
          <w:position w:val="37"/>
        </w:rPr>
        <w:t xml:space="preserve">      </w:t>
      </w:r>
      <w:r>
        <w:rPr>
          <w:sz w:val="145"/>
          <w:szCs w:val="145"/>
          <w:strike/>
          <w:color w:val="BFBFBF"/>
          <w:spacing w:val="-257"/>
          <w:position w:val="-3"/>
        </w:rPr>
        <w:t xml:space="preserve"> </w:t>
      </w:r>
      <w:r>
        <w:rPr>
          <w:sz w:val="145"/>
          <w:szCs w:val="145"/>
          <w:strike/>
          <w:color w:val="BFBFBF"/>
          <w:spacing w:val="-6"/>
          <w:position w:val="-3"/>
        </w:rPr>
        <w:t>{</w:t>
      </w:r>
    </w:p>
    <w:p>
      <w:pPr>
        <w:pStyle w:val="BodyText"/>
        <w:spacing w:before="542" w:line="210" w:lineRule="auto"/>
        <w:jc w:val="right"/>
        <w:rPr>
          <w:sz w:val="145"/>
          <w:szCs w:val="145"/>
        </w:rPr>
      </w:pPr>
      <w:r>
        <w:pict>
          <v:shape id="_x0000_s158" style="position:absolute;margin-left:33.37pt;margin-top:50.1832pt;mso-position-vertical-relative:text;mso-position-horizontal-relative:text;width:91.45pt;height:25.95pt;z-index:-251561984;" fillcolor="#ACEAFF" filled="true" stroked="false" coordsize="1828,519" coordorigin="0,0" path="m0,86m0,86c0,38,38,0,86,0l1742,0c1790,0,1828,38,1828,86l1828,432c1828,479,1790,518,1742,518l86,518c38,518,0,479,0,432l0,86xe"/>
        </w:pict>
      </w:r>
      <w:r>
        <w:pict>
          <v:shape id="_x0000_s160" style="position:absolute;margin-left:14.65pt;margin-top:48.9832pt;mso-position-vertical-relative:text;mso-position-horizontal-relative:text;width:15.15pt;height:15.15pt;z-index:251757568;" filled="false" strokecolor="#BFBFBF" strokeweight="0.50pt" coordsize="302,302" coordorigin="0,0" path="m5,5c5,166,136,297,297,297e">
            <v:stroke joinstyle="miter"/>
          </v:shape>
        </w:pict>
      </w:r>
      <w:r>
        <w:rPr>
          <w:rFonts w:ascii="Microsoft YaHei" w:hAnsi="Microsoft YaHei" w:eastAsia="Microsoft YaHei" w:cs="Microsoft YaHei"/>
          <w:sz w:val="20"/>
          <w:szCs w:val="20"/>
          <w:color w:val="00338D"/>
          <w:spacing w:val="-4"/>
          <w:position w:val="38"/>
        </w:rPr>
        <w:t>机械储能</w:t>
      </w:r>
      <w:r>
        <w:rPr>
          <w:rFonts w:ascii="Microsoft YaHei" w:hAnsi="Microsoft YaHei" w:eastAsia="Microsoft YaHei" w:cs="Microsoft YaHei"/>
          <w:sz w:val="20"/>
          <w:szCs w:val="20"/>
          <w:color w:val="00338D"/>
          <w:spacing w:val="4"/>
          <w:position w:val="38"/>
        </w:rPr>
        <w:t xml:space="preserve">        </w:t>
      </w:r>
      <w:r>
        <w:rPr>
          <w:sz w:val="145"/>
          <w:szCs w:val="145"/>
          <w:strike/>
          <w:color w:val="BFBFBF"/>
          <w:spacing w:val="-258"/>
          <w:position w:val="-2"/>
        </w:rPr>
        <w:t xml:space="preserve"> </w:t>
      </w:r>
      <w:r>
        <w:rPr>
          <w:sz w:val="145"/>
          <w:szCs w:val="145"/>
          <w:strike/>
          <w:color w:val="BFBFBF"/>
          <w:spacing w:val="-4"/>
          <w:position w:val="-2"/>
        </w:rPr>
        <w:t>{</w:t>
      </w:r>
    </w:p>
    <w:p>
      <w:pPr>
        <w:pStyle w:val="BodyText"/>
        <w:spacing w:line="308" w:lineRule="auto"/>
        <w:rPr/>
      </w:pPr>
      <w:r/>
    </w:p>
    <w:p>
      <w:pPr>
        <w:pStyle w:val="BodyText"/>
        <w:spacing w:before="266" w:line="196" w:lineRule="auto"/>
        <w:jc w:val="right"/>
        <w:rPr>
          <w:sz w:val="92"/>
          <w:szCs w:val="92"/>
        </w:rPr>
      </w:pPr>
      <w:r>
        <w:pict>
          <v:shape id="_x0000_s162" style="position:absolute;margin-left:33.37pt;margin-top:21.9184pt;mso-position-vertical-relative:text;mso-position-horizontal-relative:text;width:91.45pt;height:26.2pt;z-index:-251563008;" fillcolor="#FD349C" filled="true" stroked="false" coordsize="1828,524" coordorigin="0,0" path="m0,87m0,87c0,39,39,0,87,0l1741,0c1789,0,1828,39,1828,87l1828,435c1828,484,1789,523,1741,523l87,523c39,523,0,484,0,435l0,87xe"/>
        </w:pict>
      </w:r>
      <w:r>
        <w:rPr>
          <w:rFonts w:ascii="Microsoft YaHei" w:hAnsi="Microsoft YaHei" w:eastAsia="Microsoft YaHei" w:cs="Microsoft YaHei"/>
          <w:sz w:val="20"/>
          <w:szCs w:val="20"/>
          <w:color w:val="FFFFFF"/>
          <w:spacing w:val="20"/>
          <w:position w:val="16"/>
        </w:rPr>
        <w:t>电磁储能</w:t>
      </w:r>
      <w:r>
        <w:rPr>
          <w:rFonts w:ascii="Microsoft YaHei" w:hAnsi="Microsoft YaHei" w:eastAsia="Microsoft YaHei" w:cs="Microsoft YaHei"/>
          <w:sz w:val="20"/>
          <w:szCs w:val="20"/>
          <w:color w:val="FFFFFF"/>
          <w:spacing w:val="4"/>
          <w:position w:val="16"/>
        </w:rPr>
        <w:t xml:space="preserve">        </w:t>
      </w:r>
      <w:r>
        <w:rPr>
          <w:sz w:val="20"/>
          <w:szCs w:val="20"/>
          <w:position w:val="22"/>
        </w:rPr>
        <w:drawing>
          <wp:inline distT="0" distB="0" distL="0" distR="0">
            <wp:extent cx="116192" cy="6350"/>
            <wp:effectExtent l="0" t="0" r="0" b="0"/>
            <wp:docPr id="144" name="IM 144"/>
            <wp:cNvGraphicFramePr/>
            <a:graphic>
              <a:graphicData uri="http://schemas.openxmlformats.org/drawingml/2006/picture">
                <pic:pic>
                  <pic:nvPicPr>
                    <pic:cNvPr id="144" name="IM 144"/>
                    <pic:cNvPicPr/>
                  </pic:nvPicPr>
                  <pic:blipFill>
                    <a:blip r:embed="rId56"/>
                    <a:stretch>
                      <a:fillRect/>
                    </a:stretch>
                  </pic:blipFill>
                  <pic:spPr>
                    <a:xfrm rot="0">
                      <a:off x="0" y="0"/>
                      <a:ext cx="116192" cy="6350"/>
                    </a:xfrm>
                    <a:prstGeom prst="rect">
                      <a:avLst/>
                    </a:prstGeom>
                  </pic:spPr>
                </pic:pic>
              </a:graphicData>
            </a:graphic>
          </wp:inline>
        </w:drawing>
      </w:r>
      <w:r>
        <w:rPr>
          <w:sz w:val="92"/>
          <w:szCs w:val="92"/>
          <w:color w:val="BFBFBF"/>
          <w:spacing w:val="20"/>
          <w:position w:val="-3"/>
        </w:rPr>
        <w:t>{</w:t>
      </w:r>
    </w:p>
    <w:p>
      <w:pPr>
        <w:pStyle w:val="BodyText"/>
        <w:spacing w:line="14" w:lineRule="auto"/>
        <w:rPr>
          <w:sz w:val="2"/>
        </w:rPr>
      </w:pPr>
      <w:r>
        <w:rPr>
          <w:sz w:val="2"/>
          <w:szCs w:val="2"/>
        </w:rPr>
        <w:br w:type="column"/>
      </w:r>
    </w:p>
    <w:p>
      <w:pPr>
        <w:spacing w:line="459" w:lineRule="exact"/>
        <w:rPr/>
      </w:pPr>
      <w:r>
        <w:rPr>
          <w:position w:val="-9"/>
        </w:rPr>
        <w:pict>
          <v:shape id="_x0000_s164" style="mso-position-vertical-relative:line;mso-position-horizontal-relative:char;width:91.45pt;height:23.05pt;" fillcolor="#DADADA" filled="true" stroked="false" type="#_x0000_t202">
            <v:fill on="true"/>
            <v:stroke on="false"/>
            <v:path/>
            <v:imagedata o:title=""/>
            <o:lock v:ext="edit" aspectratio="false"/>
            <v:textbox inset="0mm,0mm,0mm,0mm">
              <w:txbxContent>
                <w:p>
                  <w:pPr>
                    <w:ind w:left="716"/>
                    <w:spacing w:before="124"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0338D"/>
                      <w:spacing w:val="-1"/>
                    </w:rPr>
                    <w:t>储热</w:t>
                  </w:r>
                </w:p>
              </w:txbxContent>
            </v:textbox>
          </v:shape>
        </w:pict>
      </w:r>
    </w:p>
    <w:p>
      <w:pPr>
        <w:spacing w:before="154" w:line="461" w:lineRule="exact"/>
        <w:rPr/>
      </w:pPr>
      <w:r>
        <w:rPr>
          <w:position w:val="-9"/>
        </w:rPr>
        <w:pict>
          <v:shape id="_x0000_s166" style="mso-position-vertical-relative:line;mso-position-horizontal-relative:char;width:91.45pt;height:23.05pt;" fillcolor="#DADADA" filled="true" stroked="false" type="#_x0000_t202">
            <v:fill on="true"/>
            <v:stroke on="false"/>
            <v:path/>
            <v:imagedata o:title=""/>
            <o:lock v:ext="edit" aspectratio="false"/>
            <v:textbox inset="0mm,0mm,0mm,0mm">
              <w:txbxContent>
                <w:p>
                  <w:pPr>
                    <w:ind w:left="716"/>
                    <w:spacing w:before="124"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0338D"/>
                      <w:spacing w:val="-1"/>
                    </w:rPr>
                    <w:t>储冷</w:t>
                  </w:r>
                </w:p>
              </w:txbxContent>
            </v:textbox>
          </v:shape>
        </w:pict>
      </w:r>
    </w:p>
    <w:p>
      <w:pPr>
        <w:spacing w:before="149" w:line="648" w:lineRule="exact"/>
        <w:rPr/>
      </w:pPr>
      <w:r>
        <w:rPr>
          <w:position w:val="-12"/>
        </w:rPr>
        <w:pict>
          <v:shape id="_x0000_s168" style="mso-position-vertical-relative:line;mso-position-horizontal-relative:char;width:91.45pt;height:32.45pt;" fillcolor="#DADADA" filled="true" stroked="false" type="#_x0000_t202">
            <v:fill on="true"/>
            <v:stroke on="false"/>
            <v:path/>
            <v:imagedata o:title=""/>
            <o:lock v:ext="edit" aspectratio="false"/>
            <v:textbox inset="0mm,0mm,0mm,0mm">
              <w:txbxContent>
                <w:p>
                  <w:pPr>
                    <w:ind w:left="285" w:right="274" w:hanging="1"/>
                    <w:spacing w:before="122" w:line="173"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00338D"/>
                      <w:spacing w:val="1"/>
                    </w:rPr>
                    <w:t>采用相变材料和 </w:t>
                  </w:r>
                  <w:r>
                    <w:rPr>
                      <w:rFonts w:ascii="Microsoft YaHei" w:hAnsi="Microsoft YaHei" w:eastAsia="Microsoft YaHei" w:cs="Microsoft YaHei"/>
                      <w:sz w:val="18"/>
                      <w:szCs w:val="18"/>
                      <w:color w:val="00338D"/>
                      <w:spacing w:val="1"/>
                    </w:rPr>
                    <w:t>热化学材料储能</w:t>
                  </w:r>
                </w:p>
              </w:txbxContent>
            </v:textbox>
          </v:shape>
        </w:pict>
      </w:r>
    </w:p>
    <w:p>
      <w:pPr>
        <w:spacing w:before="177" w:line="519" w:lineRule="exact"/>
        <w:rPr/>
      </w:pPr>
      <w:r>
        <w:rPr>
          <w:position w:val="-10"/>
        </w:rPr>
        <w:pict>
          <v:shape id="_x0000_s170" style="mso-position-vertical-relative:line;mso-position-horizontal-relative:char;width:91.45pt;height:25.95pt;" fillcolor="#00B8F5" filled="true" stroked="false" type="#_x0000_t202">
            <v:fill on="true"/>
            <v:stroke on="false"/>
            <v:path/>
            <v:imagedata o:title=""/>
            <o:lock v:ext="edit" aspectratio="false"/>
            <v:textbox inset="0mm,0mm,0mm,0mm">
              <w:txbxContent>
                <w:p>
                  <w:pPr>
                    <w:ind w:left="418"/>
                    <w:spacing w:before="152"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rPr>
                    <w:t>锂离子电池</w:t>
                  </w:r>
                </w:p>
              </w:txbxContent>
            </v:textbox>
          </v:shape>
        </w:pict>
      </w:r>
    </w:p>
    <w:p>
      <w:pPr>
        <w:spacing w:before="158" w:line="518" w:lineRule="exact"/>
        <w:rPr/>
      </w:pPr>
      <w:r>
        <w:rPr>
          <w:position w:val="-10"/>
        </w:rPr>
        <w:pict>
          <v:shape id="_x0000_s172" style="mso-position-vertical-relative:line;mso-position-horizontal-relative:char;width:91.45pt;height:25.95pt;" fillcolor="#00B8F5" filled="true" stroked="false" type="#_x0000_t202">
            <v:fill on="true"/>
            <v:stroke on="false"/>
            <v:path/>
            <v:imagedata o:title=""/>
            <o:lock v:ext="edit" aspectratio="false"/>
            <v:textbox inset="0mm,0mm,0mm,0mm">
              <w:txbxContent>
                <w:p>
                  <w:pPr>
                    <w:ind w:left="518"/>
                    <w:spacing w:before="156" w:line="17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1"/>
                    </w:rPr>
                    <w:t>铅蓄电池</w:t>
                  </w:r>
                </w:p>
              </w:txbxContent>
            </v:textbox>
          </v:shape>
        </w:pict>
      </w:r>
    </w:p>
    <w:p>
      <w:pPr>
        <w:spacing w:before="144" w:line="519" w:lineRule="exact"/>
        <w:rPr/>
      </w:pPr>
      <w:r>
        <w:rPr>
          <w:position w:val="-10"/>
        </w:rPr>
        <w:pict>
          <v:shape id="_x0000_s174" style="mso-position-vertical-relative:line;mso-position-horizontal-relative:char;width:91.45pt;height:25.95pt;" fillcolor="#00B8F5" filled="true" stroked="false" type="#_x0000_t202">
            <v:fill on="true"/>
            <v:stroke on="false"/>
            <v:path/>
            <v:imagedata o:title=""/>
            <o:lock v:ext="edit" aspectratio="false"/>
            <v:textbox inset="0mm,0mm,0mm,0mm">
              <w:txbxContent>
                <w:p>
                  <w:pPr>
                    <w:ind w:left="519"/>
                    <w:spacing w:before="153" w:line="17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1"/>
                    </w:rPr>
                    <w:t>钠硫电池</w:t>
                  </w:r>
                </w:p>
              </w:txbxContent>
            </v:textbox>
          </v:shape>
        </w:pict>
      </w:r>
    </w:p>
    <w:p>
      <w:pPr>
        <w:spacing w:before="153" w:line="524" w:lineRule="exact"/>
        <w:rPr/>
      </w:pPr>
      <w:r>
        <w:rPr>
          <w:position w:val="-10"/>
        </w:rPr>
        <w:pict>
          <v:shape id="_x0000_s176" style="mso-position-vertical-relative:line;mso-position-horizontal-relative:char;width:91.45pt;height:26.2pt;" fillcolor="#ACEAFF" filled="true" stroked="false" type="#_x0000_t202">
            <v:fill on="true"/>
            <v:stroke on="false"/>
            <v:path/>
            <v:imagedata o:title=""/>
            <o:lock v:ext="edit" aspectratio="false"/>
            <v:textbox inset="0mm,0mm,0mm,0mm">
              <w:txbxContent>
                <w:p>
                  <w:pPr>
                    <w:ind w:left="518"/>
                    <w:spacing w:before="155" w:line="17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0338D"/>
                      <w:spacing w:val="-1"/>
                    </w:rPr>
                    <w:t>抽水蓄能</w:t>
                  </w:r>
                </w:p>
              </w:txbxContent>
            </v:textbox>
          </v:shape>
        </w:pict>
      </w:r>
    </w:p>
    <w:p>
      <w:pPr>
        <w:spacing w:before="163" w:line="518" w:lineRule="exact"/>
        <w:rPr/>
      </w:pPr>
      <w:r>
        <w:rPr>
          <w:position w:val="-10"/>
        </w:rPr>
        <w:pict>
          <v:shape id="_x0000_s178" style="mso-position-vertical-relative:line;mso-position-horizontal-relative:char;width:91.45pt;height:25.95pt;" fillcolor="#ACEAFF" filled="true" stroked="false" type="#_x0000_t202">
            <v:fill on="true"/>
            <v:stroke on="false"/>
            <v:path/>
            <v:imagedata o:title=""/>
            <o:lock v:ext="edit" aspectratio="false"/>
            <v:textbox inset="0mm,0mm,0mm,0mm">
              <w:txbxContent>
                <w:p>
                  <w:pPr>
                    <w:ind w:left="317"/>
                    <w:spacing w:before="153"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0338D"/>
                    </w:rPr>
                    <w:t>压缩空气储能</w:t>
                  </w:r>
                </w:p>
              </w:txbxContent>
            </v:textbox>
          </v:shape>
        </w:pict>
      </w:r>
    </w:p>
    <w:p>
      <w:pPr>
        <w:spacing w:before="163" w:line="524" w:lineRule="exact"/>
        <w:rPr/>
      </w:pPr>
      <w:r>
        <w:rPr>
          <w:position w:val="-10"/>
        </w:rPr>
        <w:pict>
          <v:shape id="_x0000_s180" style="mso-position-vertical-relative:line;mso-position-horizontal-relative:char;width:91.45pt;height:26.2pt;" fillcolor="#ACEAFF" filled="true" stroked="false" type="#_x0000_t202">
            <v:fill on="true"/>
            <v:stroke on="false"/>
            <v:path/>
            <v:imagedata o:title=""/>
            <o:lock v:ext="edit" aspectratio="false"/>
            <v:textbox inset="0mm,0mm,0mm,0mm">
              <w:txbxContent>
                <w:p>
                  <w:pPr>
                    <w:ind w:left="526"/>
                    <w:spacing w:before="157"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0338D"/>
                      <w:spacing w:val="-2"/>
                    </w:rPr>
                    <w:t>飞轮储能</w:t>
                  </w:r>
                </w:p>
              </w:txbxContent>
            </v:textbox>
          </v:shape>
        </w:pict>
      </w:r>
    </w:p>
    <w:p>
      <w:pPr>
        <w:spacing w:before="192" w:line="518" w:lineRule="exact"/>
        <w:rPr/>
      </w:pPr>
      <w:r>
        <w:rPr>
          <w:position w:val="-10"/>
        </w:rPr>
        <w:pict>
          <v:shape id="_x0000_s182" style="mso-position-vertical-relative:line;mso-position-horizontal-relative:char;width:91.45pt;height:25.95pt;" fillcolor="#FD349C" filled="true" stroked="false" type="#_x0000_t202">
            <v:fill on="true"/>
            <v:stroke on="false"/>
            <v:path/>
            <v:imagedata o:title=""/>
            <o:lock v:ext="edit" aspectratio="false"/>
            <v:textbox inset="0mm,0mm,0mm,0mm">
              <w:txbxContent>
                <w:p>
                  <w:pPr>
                    <w:ind w:left="518"/>
                    <w:spacing w:before="154" w:line="17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rPr>
                    <w:t>超导储能</w:t>
                  </w:r>
                </w:p>
              </w:txbxContent>
            </v:textbox>
          </v:shape>
        </w:pict>
      </w:r>
    </w:p>
    <w:p>
      <w:pPr>
        <w:spacing w:before="192" w:line="518" w:lineRule="exact"/>
        <w:rPr/>
      </w:pPr>
      <w:r>
        <w:rPr>
          <w:position w:val="-10"/>
        </w:rPr>
        <w:pict>
          <v:shape id="_x0000_s184" style="mso-position-vertical-relative:line;mso-position-horizontal-relative:char;width:91.45pt;height:25.95pt;" fillcolor="#FD349C" filled="true" stroked="false" type="#_x0000_t202">
            <v:fill on="true"/>
            <v:stroke on="false"/>
            <v:path/>
            <v:imagedata o:title=""/>
            <o:lock v:ext="edit" aspectratio="false"/>
            <v:textbox inset="0mm,0mm,0mm,0mm">
              <w:txbxContent>
                <w:p>
                  <w:pPr>
                    <w:ind w:left="417"/>
                    <w:spacing w:before="154" w:line="17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rPr>
                    <w:t>超级电容器</w:t>
                  </w:r>
                </w:p>
              </w:txbxContent>
            </v:textbox>
          </v:shape>
        </w:pict>
      </w:r>
    </w:p>
    <w:p>
      <w:pPr>
        <w:spacing w:line="518" w:lineRule="exact"/>
        <w:sectPr>
          <w:type w:val="continuous"/>
          <w:pgSz w:w="12245" w:h="17180"/>
          <w:pgMar w:top="400" w:right="0" w:bottom="0" w:left="1300" w:header="0" w:footer="0" w:gutter="0"/>
          <w:cols w:equalWidth="0" w:num="5">
            <w:col w:w="1892" w:space="62"/>
            <w:col w:w="720" w:space="0"/>
            <w:col w:w="1839" w:space="100"/>
            <w:col w:w="3102" w:space="76"/>
            <w:col w:w="3154" w:space="0"/>
          </w:cols>
        </w:sectPr>
        <w:rPr/>
      </w:pPr>
    </w:p>
    <w:p>
      <w:pPr>
        <w:ind w:left="10"/>
        <w:spacing w:before="129" w:line="186" w:lineRule="auto"/>
        <w:rPr>
          <w:rFonts w:ascii="Microsoft YaHei" w:hAnsi="Microsoft YaHei" w:eastAsia="Microsoft YaHei" w:cs="Microsoft YaHei"/>
          <w:sz w:val="15"/>
          <w:szCs w:val="15"/>
        </w:rPr>
      </w:pPr>
      <w:r>
        <w:pict>
          <v:rect id="_x0000_s186" style="position:absolute;margin-left:546.95pt;margin-top:-635.278pt;mso-position-vertical-relative:text;mso-position-horizontal-relative:text;width:0.25pt;height:859pt;z-index:251758592;" fillcolor="#000000" filled="true" stroked="false"/>
        </w:pict>
      </w:r>
      <w:r>
        <w:rPr>
          <w:rFonts w:ascii="Microsoft YaHei" w:hAnsi="Microsoft YaHei" w:eastAsia="Microsoft YaHei" w:cs="Microsoft YaHei"/>
          <w:sz w:val="15"/>
          <w:szCs w:val="15"/>
          <w:spacing w:val="7"/>
        </w:rPr>
        <w:t>资料来源：公开资料，毕马威分析</w:t>
      </w:r>
    </w:p>
    <w:p>
      <w:pPr>
        <w:ind w:left="29"/>
        <w:spacing w:before="391" w:line="179" w:lineRule="auto"/>
        <w:rPr>
          <w:rFonts w:ascii="Microsoft YaHei" w:hAnsi="Microsoft YaHei" w:eastAsia="Microsoft YaHei" w:cs="Microsoft YaHei"/>
          <w:sz w:val="36"/>
          <w:szCs w:val="36"/>
        </w:rPr>
      </w:pPr>
      <w:r>
        <w:rPr>
          <w:rFonts w:ascii="Microsoft YaHei" w:hAnsi="Microsoft YaHei" w:eastAsia="Microsoft YaHei" w:cs="Microsoft YaHei"/>
          <w:sz w:val="36"/>
          <w:szCs w:val="36"/>
          <w:b/>
          <w:bCs/>
          <w:color w:val="00338D"/>
        </w:rPr>
        <w:t>传统储能：</w:t>
      </w:r>
      <w:r>
        <w:rPr>
          <w:rFonts w:ascii="Microsoft YaHei" w:hAnsi="Microsoft YaHei" w:eastAsia="Microsoft YaHei" w:cs="Microsoft YaHei"/>
          <w:sz w:val="36"/>
          <w:szCs w:val="36"/>
          <w:color w:val="00338D"/>
        </w:rPr>
        <w:t>抽水蓄能目前为主流但未来发展</w:t>
      </w:r>
      <w:r>
        <w:rPr>
          <w:rFonts w:ascii="Microsoft YaHei" w:hAnsi="Microsoft YaHei" w:eastAsia="Microsoft YaHei" w:cs="Microsoft YaHei"/>
          <w:sz w:val="36"/>
          <w:szCs w:val="36"/>
          <w:color w:val="00338D"/>
          <w:spacing w:val="-1"/>
        </w:rPr>
        <w:t>空间可能受限</w:t>
      </w:r>
    </w:p>
    <w:p>
      <w:pPr>
        <w:ind w:left="8" w:right="2996"/>
        <w:spacing w:before="206" w:line="218"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抽水蓄能</w:t>
      </w:r>
      <w:r>
        <w:rPr>
          <w:rFonts w:ascii="Microsoft YaHei" w:hAnsi="Microsoft YaHei" w:eastAsia="Microsoft YaHei" w:cs="Microsoft YaHei"/>
          <w:sz w:val="21"/>
          <w:szCs w:val="21"/>
          <w:spacing w:val="-26"/>
        </w:rPr>
        <w:t xml:space="preserve"> </w:t>
      </w:r>
      <w:r>
        <w:rPr>
          <w:rFonts w:ascii="Microsoft YaHei" w:hAnsi="Microsoft YaHei" w:eastAsia="Microsoft YaHei" w:cs="Microsoft YaHei"/>
          <w:sz w:val="21"/>
          <w:szCs w:val="21"/>
          <w:spacing w:val="2"/>
        </w:rPr>
        <w:t>，即利用水作为储能介质</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2"/>
        </w:rPr>
        <w:t>，通过电能与水的势能转化</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2"/>
        </w:rPr>
        <w:t>，实现电能的储存与释</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放。通常而言</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4"/>
        </w:rPr>
        <w:t>，抽水蓄能电站由存在一定落差的上水</w:t>
      </w:r>
      <w:r>
        <w:rPr>
          <w:rFonts w:ascii="Microsoft YaHei" w:hAnsi="Microsoft YaHei" w:eastAsia="Microsoft YaHei" w:cs="Microsoft YaHei"/>
          <w:sz w:val="21"/>
          <w:szCs w:val="21"/>
          <w:spacing w:val="3"/>
        </w:rPr>
        <w:t>库、下水库和连接两个水库的引</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水系统、地下厂房（可逆式水轮机组）</w:t>
      </w:r>
      <w:r>
        <w:rPr>
          <w:rFonts w:ascii="Microsoft YaHei" w:hAnsi="Microsoft YaHei" w:eastAsia="Microsoft YaHei" w:cs="Microsoft YaHei"/>
          <w:sz w:val="21"/>
          <w:szCs w:val="21"/>
          <w:spacing w:val="-39"/>
        </w:rPr>
        <w:t xml:space="preserve"> </w:t>
      </w:r>
      <w:r>
        <w:rPr>
          <w:rFonts w:ascii="Microsoft YaHei" w:hAnsi="Microsoft YaHei" w:eastAsia="Microsoft YaHei" w:cs="Microsoft YaHei"/>
          <w:sz w:val="21"/>
          <w:szCs w:val="21"/>
          <w:spacing w:val="2"/>
        </w:rPr>
        <w:t>组成。</w:t>
      </w:r>
      <w:r>
        <w:rPr>
          <w:rFonts w:ascii="Microsoft YaHei" w:hAnsi="Microsoft YaHei" w:eastAsia="Microsoft YaHei" w:cs="Microsoft YaHei"/>
          <w:sz w:val="21"/>
          <w:szCs w:val="21"/>
          <w:spacing w:val="-26"/>
        </w:rPr>
        <w:t xml:space="preserve"> </w:t>
      </w:r>
      <w:r>
        <w:rPr>
          <w:rFonts w:ascii="Microsoft YaHei" w:hAnsi="Microsoft YaHei" w:eastAsia="Microsoft YaHei" w:cs="Microsoft YaHei"/>
          <w:sz w:val="21"/>
          <w:szCs w:val="21"/>
          <w:spacing w:val="2"/>
        </w:rPr>
        <w:t>当电力负荷处于低谷</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，或风能、太阳能</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等新能源持续工作时</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w:t>
      </w:r>
      <w:r>
        <w:rPr>
          <w:rFonts w:ascii="Microsoft YaHei" w:hAnsi="Microsoft YaHei" w:eastAsia="Microsoft YaHei" w:cs="Microsoft YaHei"/>
          <w:sz w:val="21"/>
          <w:szCs w:val="21"/>
          <w:spacing w:val="-36"/>
        </w:rPr>
        <w:t xml:space="preserve"> </w:t>
      </w:r>
      <w:r>
        <w:rPr>
          <w:rFonts w:ascii="Microsoft YaHei" w:hAnsi="Microsoft YaHei" w:eastAsia="Microsoft YaHei" w:cs="Microsoft YaHei"/>
          <w:sz w:val="21"/>
          <w:szCs w:val="21"/>
          <w:spacing w:val="3"/>
        </w:rPr>
        <w:t>电站通过位于地下厂房的可逆式水轮机组利用电力系统</w:t>
      </w:r>
      <w:r>
        <w:rPr>
          <w:rFonts w:ascii="Microsoft YaHei" w:hAnsi="Microsoft YaHei" w:eastAsia="Microsoft YaHei" w:cs="Microsoft YaHei"/>
          <w:sz w:val="21"/>
          <w:szCs w:val="21"/>
          <w:spacing w:val="2"/>
        </w:rPr>
        <w:t>多余的</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电能把水抽至上水库以势能的形式储存起来。在电力</w:t>
      </w:r>
      <w:r>
        <w:rPr>
          <w:rFonts w:ascii="Microsoft YaHei" w:hAnsi="Microsoft YaHei" w:eastAsia="Microsoft YaHei" w:cs="Microsoft YaHei"/>
          <w:sz w:val="21"/>
          <w:szCs w:val="21"/>
          <w:spacing w:val="3"/>
        </w:rPr>
        <w:t>负荷高峰期</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，或风、光等新能源</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停止工作时，把上水库的水放至下水库发电，实现水能到电能的转化</w:t>
      </w:r>
      <w:r>
        <w:rPr>
          <w:rFonts w:ascii="Microsoft YaHei" w:hAnsi="Microsoft YaHei" w:eastAsia="Microsoft YaHei" w:cs="Microsoft YaHei"/>
          <w:sz w:val="21"/>
          <w:szCs w:val="21"/>
          <w:spacing w:val="-1"/>
        </w:rPr>
        <w:t>，输送给电网。</w:t>
      </w:r>
    </w:p>
    <w:p>
      <w:pPr>
        <w:pStyle w:val="BodyText"/>
        <w:spacing w:line="292" w:lineRule="auto"/>
        <w:rPr/>
      </w:pPr>
      <w:r/>
    </w:p>
    <w:p>
      <w:pPr>
        <w:pStyle w:val="BodyText"/>
        <w:spacing w:line="293" w:lineRule="auto"/>
        <w:rPr/>
      </w:pPr>
      <w:r/>
    </w:p>
    <w:p>
      <w:pPr>
        <w:ind w:left="505" w:right="1241" w:hanging="411"/>
        <w:spacing w:before="47" w:line="150"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50" w:lineRule="auto"/>
        <w:sectPr>
          <w:type w:val="continuous"/>
          <w:pgSz w:w="12245" w:h="17180"/>
          <w:pgMar w:top="400" w:right="0" w:bottom="0" w:left="1300" w:header="0" w:footer="0" w:gutter="0"/>
          <w:cols w:equalWidth="0" w:num="1">
            <w:col w:w="10944" w:space="0"/>
          </w:cols>
        </w:sectPr>
        <w:rPr>
          <w:rFonts w:ascii="Microsoft YaHei" w:hAnsi="Microsoft YaHei" w:eastAsia="Microsoft YaHei" w:cs="Microsoft YaHei"/>
          <w:sz w:val="11"/>
          <w:szCs w:val="11"/>
        </w:rPr>
      </w:pPr>
    </w:p>
    <w:p>
      <w:pPr>
        <w:spacing w:before="314" w:line="193" w:lineRule="auto"/>
        <w:outlineLvl w:val="0"/>
        <w:rPr>
          <w:rFonts w:ascii="Microsoft YaHei" w:hAnsi="Microsoft YaHei" w:eastAsia="Microsoft YaHei" w:cs="Microsoft YaHei"/>
          <w:sz w:val="18"/>
          <w:szCs w:val="18"/>
        </w:rPr>
      </w:pPr>
      <w:r>
        <w:pict>
          <v:rect id="_x0000_s188" style="position:absolute;margin-left:611.99pt;margin-top:0pt;mso-position-vertical-relative:page;mso-position-horizontal-relative:page;width:0.25pt;height:859pt;z-index:251779072;" o:allowincell="f" fillcolor="#000000" filled="true" stroked="false"/>
        </w:pict>
      </w:r>
      <w:r>
        <w:rPr>
          <w:rFonts w:ascii="Microsoft YaHei" w:hAnsi="Microsoft YaHei" w:eastAsia="Microsoft YaHei" w:cs="Microsoft YaHei"/>
          <w:sz w:val="18"/>
          <w:szCs w:val="18"/>
          <w:b/>
          <w:bCs/>
          <w:color w:val="A8A8A8"/>
          <w:spacing w:val="-2"/>
        </w:rPr>
        <w:t>17</w:t>
      </w:r>
      <w:r>
        <w:rPr>
          <w:rFonts w:ascii="Microsoft YaHei" w:hAnsi="Microsoft YaHei" w:eastAsia="Microsoft YaHei" w:cs="Microsoft YaHei"/>
          <w:sz w:val="18"/>
          <w:szCs w:val="18"/>
          <w:b/>
          <w:bCs/>
          <w:color w:val="A8A8A8"/>
          <w:spacing w:val="15"/>
          <w:w w:val="101"/>
        </w:rPr>
        <w:t xml:space="preserve">  </w:t>
      </w:r>
      <w:r>
        <w:rPr>
          <w:sz w:val="18"/>
          <w:szCs w:val="18"/>
          <w:position w:val="-4"/>
        </w:rPr>
        <w:drawing>
          <wp:inline distT="0" distB="0" distL="0" distR="0">
            <wp:extent cx="6350" cy="130175"/>
            <wp:effectExtent l="0" t="0" r="0" b="0"/>
            <wp:docPr id="146" name="IM 146"/>
            <wp:cNvGraphicFramePr/>
            <a:graphic>
              <a:graphicData uri="http://schemas.openxmlformats.org/drawingml/2006/picture">
                <pic:pic>
                  <pic:nvPicPr>
                    <pic:cNvPr id="146" name="IM 146"/>
                    <pic:cNvPicPr/>
                  </pic:nvPicPr>
                  <pic:blipFill>
                    <a:blip r:embed="rId57"/>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A8A8A8"/>
          <w:spacing w:val="26"/>
        </w:rPr>
        <w:t xml:space="preserve">  </w:t>
      </w:r>
      <w:r>
        <w:rPr>
          <w:rFonts w:ascii="Microsoft YaHei" w:hAnsi="Microsoft YaHei" w:eastAsia="Microsoft YaHei" w:cs="Microsoft YaHei"/>
          <w:sz w:val="18"/>
          <w:szCs w:val="18"/>
          <w:color w:val="A8A8A8"/>
          <w:spacing w:val="-2"/>
        </w:rPr>
        <w:t>新型储能助力能源转型</w:t>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60" w:lineRule="auto"/>
        <w:rPr/>
      </w:pPr>
      <w:r/>
    </w:p>
    <w:p>
      <w:pPr>
        <w:ind w:left="335" w:right="2996" w:firstLine="1"/>
        <w:spacing w:before="90" w:line="21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从组成结构来看</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4"/>
        </w:rPr>
        <w:t>，抽水蓄能电站在普通水力发</w:t>
      </w:r>
      <w:r>
        <w:rPr>
          <w:rFonts w:ascii="Microsoft YaHei" w:hAnsi="Microsoft YaHei" w:eastAsia="Microsoft YaHei" w:cs="Microsoft YaHei"/>
          <w:sz w:val="21"/>
          <w:szCs w:val="21"/>
          <w:spacing w:val="3"/>
        </w:rPr>
        <w:t>电站的基础上增设了实现下水库到上水</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库输水的管道和相应的水泵系统</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，其犹如一个大型清洁</w:t>
      </w:r>
      <w:r>
        <w:rPr>
          <w:rFonts w:ascii="Microsoft YaHei" w:hAnsi="Microsoft YaHei" w:eastAsia="Microsoft YaHei" w:cs="Microsoft YaHei"/>
          <w:sz w:val="21"/>
          <w:szCs w:val="21"/>
          <w:spacing w:val="2"/>
        </w:rPr>
        <w:t>能源“蓄电池”</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，在无过多燃</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料消耗的同时</w:t>
      </w:r>
      <w:r>
        <w:rPr>
          <w:rFonts w:ascii="Microsoft YaHei" w:hAnsi="Microsoft YaHei" w:eastAsia="Microsoft YaHei" w:cs="Microsoft YaHei"/>
          <w:sz w:val="21"/>
          <w:szCs w:val="21"/>
          <w:spacing w:val="-24"/>
        </w:rPr>
        <w:t xml:space="preserve"> </w:t>
      </w:r>
      <w:r>
        <w:rPr>
          <w:rFonts w:ascii="Microsoft YaHei" w:hAnsi="Microsoft YaHei" w:eastAsia="Microsoft YaHei" w:cs="Microsoft YaHei"/>
          <w:sz w:val="21"/>
          <w:szCs w:val="21"/>
          <w:spacing w:val="2"/>
        </w:rPr>
        <w:t>，有效地提高了电网的安全性、经济性和可靠性。</w:t>
      </w:r>
      <w:r>
        <w:rPr>
          <w:rFonts w:ascii="Microsoft YaHei" w:hAnsi="Microsoft YaHei" w:eastAsia="Microsoft YaHei" w:cs="Microsoft YaHei"/>
          <w:sz w:val="21"/>
          <w:szCs w:val="21"/>
          <w:spacing w:val="-37"/>
        </w:rPr>
        <w:t xml:space="preserve"> </w:t>
      </w:r>
      <w:r>
        <w:rPr>
          <w:rFonts w:ascii="Microsoft YaHei" w:hAnsi="Microsoft YaHei" w:eastAsia="Microsoft YaHei" w:cs="Microsoft YaHei"/>
          <w:sz w:val="21"/>
          <w:szCs w:val="21"/>
          <w:spacing w:val="2"/>
        </w:rPr>
        <w:t>同时</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2"/>
        </w:rPr>
        <w:t>，抽水蓄能具有</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技术成熟、储能容量大、系统效率高、运行寿命长、</w:t>
      </w:r>
      <w:r>
        <w:rPr>
          <w:rFonts w:ascii="Microsoft YaHei" w:hAnsi="Microsoft YaHei" w:eastAsia="Microsoft YaHei" w:cs="Microsoft YaHei"/>
          <w:sz w:val="21"/>
          <w:szCs w:val="21"/>
          <w:spacing w:val="-41"/>
        </w:rPr>
        <w:t xml:space="preserve"> </w:t>
      </w:r>
      <w:r>
        <w:rPr>
          <w:rFonts w:ascii="Microsoft YaHei" w:hAnsi="Microsoft YaHei" w:eastAsia="Microsoft YaHei" w:cs="Microsoft YaHei"/>
          <w:sz w:val="21"/>
          <w:szCs w:val="21"/>
          <w:spacing w:val="3"/>
        </w:rPr>
        <w:t>安全性能高等优势</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，是当前商业</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化程度较高、应用范围较广的主流储能技术</w:t>
      </w:r>
      <w:r>
        <w:rPr>
          <w:rFonts w:ascii="Microsoft YaHei" w:hAnsi="Microsoft YaHei" w:eastAsia="Microsoft YaHei" w:cs="Microsoft YaHei"/>
          <w:sz w:val="13"/>
          <w:szCs w:val="13"/>
          <w:spacing w:val="4"/>
          <w:position w:val="6"/>
        </w:rPr>
        <w:t>1,2</w:t>
      </w:r>
      <w:r>
        <w:rPr>
          <w:rFonts w:ascii="Microsoft YaHei" w:hAnsi="Microsoft YaHei" w:eastAsia="Microsoft YaHei" w:cs="Microsoft YaHei"/>
          <w:sz w:val="21"/>
          <w:szCs w:val="21"/>
          <w:spacing w:val="4"/>
        </w:rPr>
        <w:t>。从国际市场来看</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4"/>
        </w:rPr>
        <w:t>，抽水储能占据</w:t>
      </w:r>
      <w:r>
        <w:rPr>
          <w:rFonts w:ascii="Microsoft YaHei" w:hAnsi="Microsoft YaHei" w:eastAsia="Microsoft YaHei" w:cs="Microsoft YaHei"/>
          <w:sz w:val="21"/>
          <w:szCs w:val="21"/>
          <w:spacing w:val="3"/>
        </w:rPr>
        <w:t>绝对</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领先地位，截至2020年底，抽水蓄能装机规模占电力储能项目总规模的94%</w:t>
      </w:r>
      <w:r>
        <w:rPr>
          <w:rFonts w:ascii="Microsoft YaHei" w:hAnsi="Microsoft YaHei" w:eastAsia="Microsoft YaHei" w:cs="Microsoft YaHei"/>
          <w:sz w:val="13"/>
          <w:szCs w:val="13"/>
          <w:spacing w:val="-1"/>
          <w:position w:val="6"/>
        </w:rPr>
        <w:t>3</w:t>
      </w:r>
      <w:r>
        <w:rPr>
          <w:rFonts w:ascii="Microsoft YaHei" w:hAnsi="Microsoft YaHei" w:eastAsia="Microsoft YaHei" w:cs="Microsoft YaHei"/>
          <w:sz w:val="21"/>
          <w:szCs w:val="21"/>
          <w:spacing w:val="-1"/>
        </w:rPr>
        <w:t>。其中，</w:t>
      </w:r>
    </w:p>
    <w:p>
      <w:pPr>
        <w:ind w:left="332" w:right="2833" w:firstLine="16"/>
        <w:spacing w:before="8" w:line="22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中国已基本形成关于抽水蓄能的全产业链发展体系和专业化发展模式。据</w:t>
      </w:r>
      <w:r>
        <w:rPr>
          <w:rFonts w:ascii="Microsoft YaHei" w:hAnsi="Microsoft YaHei" w:eastAsia="Microsoft YaHei" w:cs="Microsoft YaHei"/>
          <w:sz w:val="21"/>
          <w:szCs w:val="21"/>
        </w:rPr>
        <w:t>IRENA</w:t>
      </w:r>
      <w:r>
        <w:rPr>
          <w:rFonts w:ascii="Microsoft YaHei" w:hAnsi="Microsoft YaHei" w:eastAsia="Microsoft YaHei" w:cs="Microsoft YaHei"/>
          <w:sz w:val="21"/>
          <w:szCs w:val="21"/>
          <w:spacing w:val="3"/>
        </w:rPr>
        <w:t>统计，</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截至2021年12月底，我国抽水蓄能累计装机容量已达36.4GW，同比增长15</w:t>
      </w:r>
      <w:r>
        <w:rPr>
          <w:rFonts w:ascii="Microsoft YaHei" w:hAnsi="Microsoft YaHei" w:eastAsia="Microsoft YaHei" w:cs="Microsoft YaHei"/>
          <w:sz w:val="21"/>
          <w:szCs w:val="21"/>
          <w:spacing w:val="-3"/>
        </w:rPr>
        <w:t>.6%，已建</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5"/>
        </w:rPr>
        <w:t>和</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5"/>
        </w:rPr>
        <w:t>在建规</w:t>
      </w:r>
      <w:r>
        <w:rPr>
          <w:rFonts w:ascii="Microsoft YaHei" w:hAnsi="Microsoft YaHei" w:eastAsia="Microsoft YaHei" w:cs="Microsoft YaHei"/>
          <w:sz w:val="21"/>
          <w:szCs w:val="21"/>
          <w:spacing w:val="-36"/>
        </w:rPr>
        <w:t xml:space="preserve"> </w:t>
      </w:r>
      <w:r>
        <w:rPr>
          <w:rFonts w:ascii="Microsoft YaHei" w:hAnsi="Microsoft YaHei" w:eastAsia="Microsoft YaHei" w:cs="Microsoft YaHei"/>
          <w:sz w:val="21"/>
          <w:szCs w:val="21"/>
          <w:spacing w:val="5"/>
        </w:rPr>
        <w:t>模位列</w:t>
      </w:r>
      <w:r>
        <w:rPr>
          <w:rFonts w:ascii="Microsoft YaHei" w:hAnsi="Microsoft YaHei" w:eastAsia="Microsoft YaHei" w:cs="Microsoft YaHei"/>
          <w:sz w:val="21"/>
          <w:szCs w:val="21"/>
          <w:spacing w:val="-31"/>
        </w:rPr>
        <w:t xml:space="preserve"> </w:t>
      </w:r>
      <w:r>
        <w:rPr>
          <w:rFonts w:ascii="Microsoft YaHei" w:hAnsi="Microsoft YaHei" w:eastAsia="Microsoft YaHei" w:cs="Microsoft YaHei"/>
          <w:sz w:val="21"/>
          <w:szCs w:val="21"/>
          <w:spacing w:val="5"/>
        </w:rPr>
        <w:t>世界首</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5"/>
        </w:rPr>
        <w:t>位。美</w:t>
      </w:r>
      <w:r>
        <w:rPr>
          <w:rFonts w:ascii="Microsoft YaHei" w:hAnsi="Microsoft YaHei" w:eastAsia="Microsoft YaHei" w:cs="Microsoft YaHei"/>
          <w:sz w:val="21"/>
          <w:szCs w:val="21"/>
          <w:spacing w:val="-24"/>
        </w:rPr>
        <w:t xml:space="preserve"> </w:t>
      </w:r>
      <w:r>
        <w:rPr>
          <w:rFonts w:ascii="Microsoft YaHei" w:hAnsi="Microsoft YaHei" w:eastAsia="Microsoft YaHei" w:cs="Microsoft YaHei"/>
          <w:sz w:val="21"/>
          <w:szCs w:val="21"/>
          <w:spacing w:val="5"/>
        </w:rPr>
        <w:t>国和日</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5"/>
        </w:rPr>
        <w:t>本分别</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5"/>
        </w:rPr>
        <w:t>位列</w:t>
      </w:r>
      <w:r>
        <w:rPr>
          <w:rFonts w:ascii="Microsoft YaHei" w:hAnsi="Microsoft YaHei" w:eastAsia="Microsoft YaHei" w:cs="Microsoft YaHei"/>
          <w:sz w:val="21"/>
          <w:szCs w:val="21"/>
          <w:spacing w:val="4"/>
        </w:rPr>
        <w:t>第</w:t>
      </w:r>
      <w:r>
        <w:rPr>
          <w:rFonts w:ascii="Microsoft YaHei" w:hAnsi="Microsoft YaHei" w:eastAsia="Microsoft YaHei" w:cs="Microsoft YaHei"/>
          <w:sz w:val="21"/>
          <w:szCs w:val="21"/>
          <w:spacing w:val="-31"/>
        </w:rPr>
        <w:t xml:space="preserve"> </w:t>
      </w:r>
      <w:r>
        <w:rPr>
          <w:rFonts w:ascii="Microsoft YaHei" w:hAnsi="Microsoft YaHei" w:eastAsia="Microsoft YaHei" w:cs="Microsoft YaHei"/>
          <w:sz w:val="21"/>
          <w:szCs w:val="21"/>
          <w:spacing w:val="4"/>
        </w:rPr>
        <w:t>二和第</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4"/>
        </w:rPr>
        <w:t>三</w:t>
      </w:r>
      <w:r>
        <w:rPr>
          <w:rFonts w:ascii="Microsoft YaHei" w:hAnsi="Microsoft YaHei" w:eastAsia="Microsoft YaHei" w:cs="Microsoft YaHei"/>
          <w:sz w:val="21"/>
          <w:szCs w:val="21"/>
          <w:spacing w:val="-19"/>
        </w:rPr>
        <w:t xml:space="preserve"> </w:t>
      </w:r>
      <w:r>
        <w:rPr>
          <w:rFonts w:ascii="Microsoft YaHei" w:hAnsi="Microsoft YaHei" w:eastAsia="Microsoft YaHei" w:cs="Microsoft YaHei"/>
          <w:sz w:val="21"/>
          <w:szCs w:val="21"/>
          <w:spacing w:val="4"/>
        </w:rPr>
        <w:t>，</w:t>
      </w:r>
      <w:r>
        <w:rPr>
          <w:rFonts w:ascii="Microsoft YaHei" w:hAnsi="Microsoft YaHei" w:eastAsia="Microsoft YaHei" w:cs="Microsoft YaHei"/>
          <w:sz w:val="21"/>
          <w:szCs w:val="21"/>
          <w:spacing w:val="-42"/>
        </w:rPr>
        <w:t xml:space="preserve"> </w:t>
      </w:r>
      <w:r>
        <w:rPr>
          <w:rFonts w:ascii="Microsoft YaHei" w:hAnsi="Microsoft YaHei" w:eastAsia="Microsoft YaHei" w:cs="Microsoft YaHei"/>
          <w:sz w:val="21"/>
          <w:szCs w:val="21"/>
          <w:spacing w:val="4"/>
        </w:rPr>
        <w:t>累</w:t>
      </w:r>
      <w:r>
        <w:rPr>
          <w:rFonts w:ascii="Microsoft YaHei" w:hAnsi="Microsoft YaHei" w:eastAsia="Microsoft YaHei" w:cs="Microsoft YaHei"/>
          <w:sz w:val="21"/>
          <w:szCs w:val="21"/>
          <w:spacing w:val="-32"/>
        </w:rPr>
        <w:t xml:space="preserve"> </w:t>
      </w:r>
      <w:r>
        <w:rPr>
          <w:rFonts w:ascii="Microsoft YaHei" w:hAnsi="Microsoft YaHei" w:eastAsia="Microsoft YaHei" w:cs="Microsoft YaHei"/>
          <w:sz w:val="21"/>
          <w:szCs w:val="21"/>
          <w:spacing w:val="4"/>
        </w:rPr>
        <w:t>计装机</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4"/>
        </w:rPr>
        <w:t>容量约</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4"/>
        </w:rPr>
        <w:t>达</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21.9GW</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1"/>
        </w:rPr>
        <w:t>，德国、印度、韩国等国家也在抽水蓄能领域有诸多实践，累计装机容量均达</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6"/>
        </w:rPr>
        <w:t>4.7GW以上(图</w:t>
      </w:r>
      <w:r>
        <w:rPr>
          <w:rFonts w:ascii="Microsoft YaHei" w:hAnsi="Microsoft YaHei" w:eastAsia="Microsoft YaHei" w:cs="Microsoft YaHei"/>
          <w:sz w:val="21"/>
          <w:szCs w:val="21"/>
          <w:spacing w:val="16"/>
        </w:rPr>
        <w:t xml:space="preserve">  </w:t>
      </w:r>
      <w:r>
        <w:rPr>
          <w:rFonts w:ascii="Microsoft YaHei" w:hAnsi="Microsoft YaHei" w:eastAsia="Microsoft YaHei" w:cs="Microsoft YaHei"/>
          <w:sz w:val="21"/>
          <w:szCs w:val="21"/>
          <w:spacing w:val="-6"/>
        </w:rPr>
        <w:t>2)。</w:t>
      </w:r>
    </w:p>
    <w:p>
      <w:pPr>
        <w:pStyle w:val="BodyText"/>
        <w:spacing w:line="401" w:lineRule="auto"/>
        <w:rPr/>
      </w:pPr>
      <w:r>
        <w:pict>
          <v:shape id="_x0000_s190" style="position:absolute;margin-left:53.2909pt;margin-top:23.5869pt;mso-position-vertical-relative:text;mso-position-horizontal-relative:text;width:1pt;height:13.85pt;z-index:251782144;" filled="false" strokecolor="#00B8F5" strokeweight="1.00pt" coordsize="20,277" coordorigin="0,0" path="m10,0l10,276e">
            <v:stroke joinstyle="miter"/>
          </v:shape>
        </w:pict>
      </w:r>
      <w:r/>
    </w:p>
    <w:p>
      <w:pPr>
        <w:ind w:left="1247"/>
        <w:spacing w:before="90" w:line="187" w:lineRule="auto"/>
        <w:rPr>
          <w:rFonts w:ascii="Microsoft YaHei" w:hAnsi="Microsoft YaHei" w:eastAsia="Microsoft YaHei" w:cs="Microsoft YaHei"/>
          <w:sz w:val="21"/>
          <w:szCs w:val="21"/>
        </w:rPr>
      </w:pPr>
      <w:r>
        <w:pict>
          <v:shape id="_x0000_s192" style="position:absolute;margin-left:23.3401pt;margin-top:4.07525pt;mso-position-vertical-relative:text;mso-position-horizontal-relative:text;width:20.4pt;height:15.05pt;z-index:251780096;" filled="false" stroked="false" type="#_x0000_t202">
            <v:fill on="false"/>
            <v:stroke on="false"/>
            <v:path/>
            <v:imagedata o:title=""/>
            <o:lock v:ext="edit" aspectratio="false"/>
            <v:textbox inset="0mm,0mm,0mm,0mm">
              <w:txbxContent>
                <w:p>
                  <w:pPr>
                    <w:ind w:left="20"/>
                    <w:spacing w:before="19" w:line="17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B8F5"/>
                      <w:spacing w:val="-8"/>
                    </w:rPr>
                    <w:t>图</w:t>
                  </w:r>
                  <w:r>
                    <w:rPr>
                      <w:rFonts w:ascii="Microsoft YaHei" w:hAnsi="Microsoft YaHei" w:eastAsia="Microsoft YaHei" w:cs="Microsoft YaHei"/>
                      <w:sz w:val="21"/>
                      <w:szCs w:val="21"/>
                      <w:b/>
                      <w:bCs/>
                      <w:color w:val="00B8F5"/>
                      <w:spacing w:val="-7"/>
                    </w:rPr>
                    <w:t xml:space="preserve"> </w:t>
                  </w:r>
                  <w:r>
                    <w:rPr>
                      <w:rFonts w:ascii="Microsoft YaHei" w:hAnsi="Microsoft YaHei" w:eastAsia="Microsoft YaHei" w:cs="Microsoft YaHei"/>
                      <w:sz w:val="21"/>
                      <w:szCs w:val="21"/>
                      <w:b/>
                      <w:bCs/>
                      <w:color w:val="00B8F5"/>
                      <w:spacing w:val="-8"/>
                    </w:rPr>
                    <w:t>2</w:t>
                  </w:r>
                </w:p>
              </w:txbxContent>
            </v:textbox>
          </v:shape>
        </w:pict>
      </w:r>
      <w:r>
        <w:pict>
          <v:group id="_x0000_s194" style="position:absolute;margin-left:16.3309pt;margin-top:-6.66676pt;mso-position-vertical-relative:text;mso-position-horizontal-relative:text;width:482.2pt;height:29.5pt;z-index:-251540480;" filled="false" stroked="false" coordsize="9644,590" coordorigin="0,0">
            <v:shape id="_x0000_s196" style="position:absolute;left:0;top:66;width:9644;height:524;" fillcolor="#F1F1F1" filled="true" stroked="false" coordsize="9644,524" coordorigin="0,0" path="m,l9643,0l9643,523l0,523l0,0xe"/>
            <v:shape id="_x0000_s198" style="position:absolute;left:2;top:0;width:610;height:100;" filled="false" strokecolor="#00B8F5" strokeweight="5.00pt" coordsize="610,100" coordorigin="0,0" path="m0,50l610,50e">
              <v:stroke joinstyle="miter"/>
            </v:shape>
          </v:group>
        </w:pict>
      </w:r>
      <w:r>
        <w:rPr>
          <w:rFonts w:ascii="Microsoft YaHei" w:hAnsi="Microsoft YaHei" w:eastAsia="Microsoft YaHei" w:cs="Microsoft YaHei"/>
          <w:sz w:val="21"/>
          <w:szCs w:val="21"/>
          <w:b/>
          <w:bCs/>
          <w:color w:val="00B8F5"/>
          <w:spacing w:val="-2"/>
        </w:rPr>
        <w:t>2021年全球主要国家的抽水蓄能累计装机容量，GW</w:t>
      </w:r>
    </w:p>
    <w:p>
      <w:pPr>
        <w:pStyle w:val="BodyText"/>
        <w:spacing w:line="428" w:lineRule="auto"/>
        <w:rPr/>
      </w:pPr>
      <w:r>
        <w:pict>
          <v:shape id="_x0000_s200" style="position:absolute;margin-left:451.621pt;margin-top:19.931pt;mso-position-vertical-relative:text;mso-position-horizontal-relative:text;width:25.45pt;height:18.05pt;z-index:251778048;" filled="false" stroked="false" type="#_x0000_t202">
            <v:fill on="false"/>
            <v:stroke on="false"/>
            <v:path/>
            <v:imagedata o:title=""/>
            <o:lock v:ext="edit" aspectratio="false"/>
            <v:textbox inset="0mm,0mm,0mm,0mm">
              <w:txbxContent>
                <w:p>
                  <w:pPr>
                    <w:spacing w:before="20" w:line="184" w:lineRule="auto"/>
                    <w:jc w:val="right"/>
                    <w:rPr>
                      <w:rFonts w:ascii="Trebuchet MS" w:hAnsi="Trebuchet MS" w:eastAsia="Trebuchet MS" w:cs="Trebuchet MS"/>
                      <w:sz w:val="36"/>
                      <w:szCs w:val="36"/>
                    </w:rPr>
                  </w:pPr>
                  <w:r>
                    <w:rPr>
                      <w:rFonts w:ascii="Trebuchet MS" w:hAnsi="Trebuchet MS" w:eastAsia="Trebuchet MS" w:cs="Trebuchet MS"/>
                      <w:sz w:val="36"/>
                      <w:szCs w:val="36"/>
                      <w:b/>
                      <w:bCs/>
                      <w:color w:val="00B8F5"/>
                      <w:spacing w:val="-40"/>
                      <w:w w:val="78"/>
                    </w:rPr>
                    <w:t>36.</w:t>
                  </w:r>
                  <w:r>
                    <w:rPr>
                      <w:rFonts w:ascii="Trebuchet MS" w:hAnsi="Trebuchet MS" w:eastAsia="Trebuchet MS" w:cs="Trebuchet MS"/>
                      <w:sz w:val="36"/>
                      <w:szCs w:val="36"/>
                      <w:b/>
                      <w:bCs/>
                      <w:color w:val="00B8F5"/>
                      <w:spacing w:val="-12"/>
                      <w:w w:val="78"/>
                    </w:rPr>
                    <w:t>4</w:t>
                  </w:r>
                </w:p>
              </w:txbxContent>
            </v:textbox>
          </v:shape>
        </w:pict>
      </w:r>
      <w:r>
        <w:pict>
          <v:shape id="_x0000_s202" style="position:absolute;margin-left:15.6449pt;margin-top:20.5324pt;mso-position-vertical-relative:text;mso-position-horizontal-relative:text;width:33.05pt;height:194.15pt;z-index:251777024;" filled="false" stroked="false" type="#_x0000_t202">
            <v:fill on="false"/>
            <v:stroke on="false"/>
            <v:path/>
            <v:imagedata o:title=""/>
            <o:lock v:ext="edit" aspectratio="false"/>
            <v:textbox inset="0mm,0mm,0mm,0mm">
              <w:txbxContent>
                <w:p>
                  <w:pPr>
                    <w:ind w:left="20" w:right="20" w:firstLine="218"/>
                    <w:spacing w:before="24" w:line="257" w:lineRule="auto"/>
                    <w:tabs>
                      <w:tab w:val="left" w:pos="230"/>
                      <w:tab w:val="left" w:pos="255"/>
                    </w:tabs>
                    <w:jc w:val="right"/>
                    <w:rPr>
                      <w:rFonts w:ascii="Microsoft YaHei" w:hAnsi="Microsoft YaHei" w:eastAsia="Microsoft YaHei" w:cs="Microsoft YaHei"/>
                      <w:sz w:val="21"/>
                      <w:szCs w:val="21"/>
                    </w:rPr>
                  </w:pPr>
                  <w:r>
                    <w:rPr>
                      <w:rFonts w:ascii="Microsoft YaHei" w:hAnsi="Microsoft YaHei" w:eastAsia="Microsoft YaHei" w:cs="Microsoft YaHei"/>
                      <w:sz w:val="21"/>
                      <w:szCs w:val="21"/>
                      <w:spacing w:val="-10"/>
                    </w:rPr>
                    <w:t>中国</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6"/>
                      <w:w w:val="130"/>
                    </w:rPr>
                    <w:t>美国</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ab/>
                  </w:r>
                  <w:r>
                    <w:rPr>
                      <w:rFonts w:ascii="Microsoft YaHei" w:hAnsi="Microsoft YaHei" w:eastAsia="Microsoft YaHei" w:cs="Microsoft YaHei"/>
                      <w:sz w:val="21"/>
                      <w:szCs w:val="21"/>
                    </w:rPr>
                    <w:tab/>
                  </w:r>
                  <w:r>
                    <w:rPr>
                      <w:rFonts w:ascii="Microsoft YaHei" w:hAnsi="Microsoft YaHei" w:eastAsia="Microsoft YaHei" w:cs="Microsoft YaHei"/>
                      <w:sz w:val="21"/>
                      <w:szCs w:val="21"/>
                      <w:spacing w:val="-18"/>
                    </w:rPr>
                    <w:t>日本</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4"/>
                      <w:w w:val="131"/>
                    </w:rPr>
                    <w:t>德国</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ab/>
                  </w:r>
                  <w:r>
                    <w:rPr>
                      <w:rFonts w:ascii="Microsoft YaHei" w:hAnsi="Microsoft YaHei" w:eastAsia="Microsoft YaHei" w:cs="Microsoft YaHei"/>
                      <w:sz w:val="21"/>
                      <w:szCs w:val="21"/>
                      <w:spacing w:val="-6"/>
                    </w:rPr>
                    <w:t>印度</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6"/>
                      <w:w w:val="130"/>
                    </w:rPr>
                    <w:t>韩国</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意大利</w:t>
                  </w:r>
                  <w:r>
                    <w:rPr>
                      <w:rFonts w:ascii="Microsoft YaHei" w:hAnsi="Microsoft YaHei" w:eastAsia="Microsoft YaHei" w:cs="Microsoft YaHei"/>
                      <w:sz w:val="21"/>
                      <w:szCs w:val="21"/>
                      <w:spacing w:val="1"/>
                    </w:rPr>
                    <w:t xml:space="preserve"> </w:t>
                  </w:r>
                  <w:r>
                    <w:rPr>
                      <w:rFonts w:ascii="Microsoft YaHei" w:hAnsi="Microsoft YaHei" w:eastAsia="Microsoft YaHei" w:cs="Microsoft YaHei"/>
                      <w:sz w:val="21"/>
                      <w:szCs w:val="21"/>
                      <w:spacing w:val="-4"/>
                    </w:rPr>
                    <w:t>西班牙</w:t>
                  </w:r>
                  <w:r>
                    <w:rPr>
                      <w:rFonts w:ascii="Microsoft YaHei" w:hAnsi="Microsoft YaHei" w:eastAsia="Microsoft YaHei" w:cs="Microsoft YaHei"/>
                      <w:sz w:val="21"/>
                      <w:szCs w:val="21"/>
                      <w:spacing w:val="1"/>
                    </w:rPr>
                    <w:t xml:space="preserve"> </w:t>
                  </w:r>
                  <w:r>
                    <w:rPr>
                      <w:rFonts w:ascii="Microsoft YaHei" w:hAnsi="Microsoft YaHei" w:eastAsia="Microsoft YaHei" w:cs="Microsoft YaHei"/>
                      <w:sz w:val="21"/>
                      <w:szCs w:val="21"/>
                    </w:rPr>
                    <w:tab/>
                  </w:r>
                  <w:r>
                    <w:rPr>
                      <w:rFonts w:ascii="Microsoft YaHei" w:hAnsi="Microsoft YaHei" w:eastAsia="Microsoft YaHei" w:cs="Microsoft YaHei"/>
                      <w:sz w:val="21"/>
                      <w:szCs w:val="21"/>
                      <w:spacing w:val="-6"/>
                    </w:rPr>
                    <w:t>南非</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英国</w:t>
                  </w:r>
                </w:p>
              </w:txbxContent>
            </v:textbox>
          </v:shape>
        </w:pict>
      </w:r>
      <w:r>
        <w:pict>
          <v:shape id="_x0000_s204" style="position:absolute;margin-left:55.7009pt;margin-top:17.4554pt;mso-position-vertical-relative:text;mso-position-horizontal-relative:text;width:4.35pt;height:199.25pt;z-index:251783168;" filled="false" strokecolor="#000000" strokeweight="0.50pt" coordsize="86,3985" coordorigin="0,0" path="m81,5l81,3979m0,5l81,5m0,398l81,398m0,797l81,797m0,1195l81,1195m0,1593l81,1593m0,1992l81,1992m0,2390l81,2390m0,2789l81,2789m0,3182l81,3182m0,3580l81,3580m0,3979l81,3979e">
            <v:stroke miterlimit="10"/>
          </v:shape>
        </w:pict>
      </w:r>
      <w:r/>
    </w:p>
    <w:p>
      <w:pPr>
        <w:pStyle w:val="BodyText"/>
        <w:ind w:firstLine="1190"/>
        <w:spacing w:line="3811" w:lineRule="exact"/>
        <w:rPr/>
      </w:pPr>
      <w:r>
        <w:rPr>
          <w:position w:val="-76"/>
        </w:rPr>
        <w:pict>
          <v:group id="_x0000_s206" style="mso-position-vertical-relative:line;mso-position-horizontal-relative:char;width:385pt;height:190.6pt;" filled="false" stroked="false" coordsize="7700,3812" coordorigin="0,0">
            <v:shape id="_x0000_s208" style="position:absolute;left:0;top:0;width:7700;height:3812;" filled="false" stroked="false" type="#_x0000_t75">
              <v:imagedata o:title="" r:id="rId58"/>
            </v:shape>
            <v:shape id="_x0000_s210" style="position:absolute;left:-20;top:-20;width:7740;height:3852;" filled="false" stroked="false" type="#_x0000_t202">
              <v:fill on="false"/>
              <v:stroke on="false"/>
              <v:path/>
              <v:imagedata o:title=""/>
              <o:lock v:ext="edit" aspectratio="false"/>
              <v:textbox inset="0mm,0mm,0mm,0mm">
                <w:txbxContent>
                  <w:p>
                    <w:pPr>
                      <w:spacing w:line="289" w:lineRule="auto"/>
                      <w:rPr>
                        <w:rFonts w:ascii="Arial"/>
                        <w:sz w:val="21"/>
                      </w:rPr>
                    </w:pPr>
                    <w:r/>
                  </w:p>
                  <w:p>
                    <w:pPr>
                      <w:ind w:left="4762" w:right="2562"/>
                      <w:spacing w:before="105" w:line="221" w:lineRule="auto"/>
                      <w:rPr>
                        <w:rFonts w:ascii="Trebuchet MS" w:hAnsi="Trebuchet MS" w:eastAsia="Trebuchet MS" w:cs="Trebuchet MS"/>
                        <w:sz w:val="36"/>
                        <w:szCs w:val="36"/>
                      </w:rPr>
                    </w:pPr>
                    <w:r>
                      <w:rPr>
                        <w:rFonts w:ascii="Trebuchet MS" w:hAnsi="Trebuchet MS" w:eastAsia="Trebuchet MS" w:cs="Trebuchet MS"/>
                        <w:sz w:val="36"/>
                        <w:szCs w:val="36"/>
                        <w:b/>
                        <w:bCs/>
                        <w:color w:val="00B8F5"/>
                        <w:spacing w:val="-43"/>
                        <w:w w:val="76"/>
                      </w:rPr>
                      <w:t>21.9</w:t>
                    </w:r>
                    <w:r>
                      <w:rPr>
                        <w:rFonts w:ascii="Trebuchet MS" w:hAnsi="Trebuchet MS" w:eastAsia="Trebuchet MS" w:cs="Trebuchet MS"/>
                        <w:sz w:val="36"/>
                        <w:szCs w:val="36"/>
                        <w:b/>
                        <w:bCs/>
                        <w:color w:val="00B8F5"/>
                        <w:spacing w:val="3"/>
                      </w:rPr>
                      <w:t xml:space="preserve"> </w:t>
                    </w:r>
                    <w:r>
                      <w:rPr>
                        <w:rFonts w:ascii="Trebuchet MS" w:hAnsi="Trebuchet MS" w:eastAsia="Trebuchet MS" w:cs="Trebuchet MS"/>
                        <w:sz w:val="36"/>
                        <w:szCs w:val="36"/>
                        <w:b/>
                        <w:bCs/>
                        <w:color w:val="00B8F5"/>
                        <w:spacing w:val="-43"/>
                        <w:w w:val="76"/>
                      </w:rPr>
                      <w:t>21.9</w:t>
                    </w:r>
                  </w:p>
                  <w:p>
                    <w:pPr>
                      <w:ind w:left="1134" w:right="6182" w:firstLine="110"/>
                      <w:spacing w:before="17" w:line="233" w:lineRule="auto"/>
                      <w:jc w:val="both"/>
                      <w:rPr>
                        <w:rFonts w:ascii="Trebuchet MS" w:hAnsi="Trebuchet MS" w:eastAsia="Trebuchet MS" w:cs="Trebuchet MS"/>
                        <w:sz w:val="36"/>
                        <w:szCs w:val="36"/>
                      </w:rPr>
                    </w:pPr>
                    <w:r>
                      <w:rPr>
                        <w:rFonts w:ascii="Trebuchet MS" w:hAnsi="Trebuchet MS" w:eastAsia="Trebuchet MS" w:cs="Trebuchet MS"/>
                        <w:sz w:val="36"/>
                        <w:szCs w:val="36"/>
                        <w:b/>
                        <w:bCs/>
                        <w:color w:val="00B8F5"/>
                        <w:spacing w:val="-34"/>
                        <w:w w:val="74"/>
                      </w:rPr>
                      <w:t>5.2</w:t>
                    </w:r>
                    <w:r>
                      <w:rPr>
                        <w:rFonts w:ascii="Trebuchet MS" w:hAnsi="Trebuchet MS" w:eastAsia="Trebuchet MS" w:cs="Trebuchet MS"/>
                        <w:sz w:val="36"/>
                        <w:szCs w:val="36"/>
                        <w:b/>
                        <w:bCs/>
                        <w:color w:val="00B8F5"/>
                        <w:spacing w:val="3"/>
                      </w:rPr>
                      <w:t xml:space="preserve"> </w:t>
                    </w:r>
                    <w:r>
                      <w:rPr>
                        <w:rFonts w:ascii="Trebuchet MS" w:hAnsi="Trebuchet MS" w:eastAsia="Trebuchet MS" w:cs="Trebuchet MS"/>
                        <w:sz w:val="36"/>
                        <w:szCs w:val="36"/>
                        <w:b/>
                        <w:bCs/>
                        <w:color w:val="00B8F5"/>
                        <w:spacing w:val="-33"/>
                        <w:w w:val="78"/>
                      </w:rPr>
                      <w:t>4.8</w:t>
                    </w:r>
                    <w:r>
                      <w:rPr>
                        <w:rFonts w:ascii="Trebuchet MS" w:hAnsi="Trebuchet MS" w:eastAsia="Trebuchet MS" w:cs="Trebuchet MS"/>
                        <w:sz w:val="36"/>
                        <w:szCs w:val="36"/>
                        <w:b/>
                        <w:bCs/>
                        <w:color w:val="00B8F5"/>
                        <w:spacing w:val="3"/>
                      </w:rPr>
                      <w:t xml:space="preserve"> </w:t>
                    </w:r>
                    <w:r>
                      <w:rPr>
                        <w:rFonts w:ascii="Trebuchet MS" w:hAnsi="Trebuchet MS" w:eastAsia="Trebuchet MS" w:cs="Trebuchet MS"/>
                        <w:sz w:val="36"/>
                        <w:szCs w:val="36"/>
                        <w:b/>
                        <w:bCs/>
                        <w:color w:val="00B8F5"/>
                        <w:spacing w:val="-30"/>
                        <w:w w:val="89"/>
                      </w:rPr>
                      <w:t>4.7</w:t>
                    </w:r>
                  </w:p>
                  <w:p>
                    <w:pPr>
                      <w:ind w:left="951"/>
                      <w:spacing w:line="184" w:lineRule="auto"/>
                      <w:rPr>
                        <w:rFonts w:ascii="Trebuchet MS" w:hAnsi="Trebuchet MS" w:eastAsia="Trebuchet MS" w:cs="Trebuchet MS"/>
                        <w:sz w:val="36"/>
                        <w:szCs w:val="36"/>
                      </w:rPr>
                    </w:pPr>
                    <w:r>
                      <w:rPr>
                        <w:rFonts w:ascii="Trebuchet MS" w:hAnsi="Trebuchet MS" w:eastAsia="Trebuchet MS" w:cs="Trebuchet MS"/>
                        <w:sz w:val="36"/>
                        <w:szCs w:val="36"/>
                        <w:b/>
                        <w:bCs/>
                        <w:color w:val="00B8F5"/>
                        <w:spacing w:val="-47"/>
                      </w:rPr>
                      <w:t>3.9</w:t>
                    </w:r>
                  </w:p>
                  <w:p>
                    <w:pPr>
                      <w:ind w:left="682" w:right="6585" w:firstLine="149"/>
                      <w:spacing w:before="66" w:line="217" w:lineRule="auto"/>
                      <w:rPr>
                        <w:rFonts w:ascii="Trebuchet MS" w:hAnsi="Trebuchet MS" w:eastAsia="Trebuchet MS" w:cs="Trebuchet MS"/>
                        <w:sz w:val="36"/>
                        <w:szCs w:val="36"/>
                      </w:rPr>
                    </w:pPr>
                    <w:r>
                      <w:rPr>
                        <w:rFonts w:ascii="Trebuchet MS" w:hAnsi="Trebuchet MS" w:eastAsia="Trebuchet MS" w:cs="Trebuchet MS"/>
                        <w:sz w:val="36"/>
                        <w:szCs w:val="36"/>
                        <w:b/>
                        <w:bCs/>
                        <w:color w:val="00B8F5"/>
                        <w:spacing w:val="-44"/>
                        <w:w w:val="81"/>
                      </w:rPr>
                      <w:t>3.3</w:t>
                    </w:r>
                    <w:r>
                      <w:rPr>
                        <w:rFonts w:ascii="Trebuchet MS" w:hAnsi="Trebuchet MS" w:eastAsia="Trebuchet MS" w:cs="Trebuchet MS"/>
                        <w:sz w:val="36"/>
                        <w:szCs w:val="36"/>
                        <w:b/>
                        <w:bCs/>
                        <w:color w:val="00B8F5"/>
                        <w:spacing w:val="4"/>
                      </w:rPr>
                      <w:t xml:space="preserve"> </w:t>
                    </w:r>
                    <w:r>
                      <w:rPr>
                        <w:rFonts w:ascii="Trebuchet MS" w:hAnsi="Trebuchet MS" w:eastAsia="Trebuchet MS" w:cs="Trebuchet MS"/>
                        <w:sz w:val="36"/>
                        <w:szCs w:val="36"/>
                        <w:b/>
                        <w:bCs/>
                        <w:color w:val="00B8F5"/>
                        <w:spacing w:val="-27"/>
                        <w:w w:val="76"/>
                      </w:rPr>
                      <w:t>2.7</w:t>
                    </w:r>
                    <w:r>
                      <w:rPr>
                        <w:rFonts w:ascii="Trebuchet MS" w:hAnsi="Trebuchet MS" w:eastAsia="Trebuchet MS" w:cs="Trebuchet MS"/>
                        <w:sz w:val="36"/>
                        <w:szCs w:val="36"/>
                        <w:b/>
                        <w:bCs/>
                        <w:color w:val="00B8F5"/>
                      </w:rPr>
                      <w:t xml:space="preserve">  </w:t>
                    </w:r>
                    <w:r>
                      <w:rPr>
                        <w:rFonts w:ascii="Trebuchet MS" w:hAnsi="Trebuchet MS" w:eastAsia="Trebuchet MS" w:cs="Trebuchet MS"/>
                        <w:sz w:val="36"/>
                        <w:szCs w:val="36"/>
                        <w:b/>
                        <w:bCs/>
                        <w:color w:val="00B8F5"/>
                        <w:spacing w:val="-38"/>
                        <w:w w:val="90"/>
                      </w:rPr>
                      <w:t>2.6</w:t>
                    </w:r>
                  </w:p>
                </w:txbxContent>
              </v:textbox>
            </v:shape>
          </v:group>
        </w:pict>
      </w:r>
    </w:p>
    <w:p>
      <w:pPr>
        <w:pStyle w:val="BodyText"/>
        <w:spacing w:line="360" w:lineRule="auto"/>
        <w:rPr/>
      </w:pPr>
      <w:r/>
    </w:p>
    <w:p>
      <w:pPr>
        <w:ind w:left="335"/>
        <w:spacing w:before="65" w:line="197"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4"/>
        </w:rPr>
        <w:t>数据来源： </w:t>
      </w:r>
      <w:r>
        <w:rPr>
          <w:rFonts w:ascii="Microsoft YaHei" w:hAnsi="Microsoft YaHei" w:eastAsia="Microsoft YaHei" w:cs="Microsoft YaHei"/>
          <w:sz w:val="15"/>
          <w:szCs w:val="15"/>
        </w:rPr>
        <w:t>IRENA</w:t>
      </w:r>
      <w:r>
        <w:rPr>
          <w:rFonts w:ascii="Microsoft YaHei" w:hAnsi="Microsoft YaHei" w:eastAsia="Microsoft YaHei" w:cs="Microsoft YaHei"/>
          <w:sz w:val="15"/>
          <w:szCs w:val="15"/>
          <w:spacing w:val="4"/>
        </w:rPr>
        <w:t>,</w:t>
      </w:r>
      <w:r>
        <w:rPr>
          <w:rFonts w:ascii="Microsoft YaHei" w:hAnsi="Microsoft YaHei" w:eastAsia="Microsoft YaHei" w:cs="Microsoft YaHei"/>
          <w:sz w:val="15"/>
          <w:szCs w:val="15"/>
          <w:spacing w:val="15"/>
        </w:rPr>
        <w:t xml:space="preserve"> </w:t>
      </w:r>
      <w:r>
        <w:rPr>
          <w:rFonts w:ascii="Microsoft YaHei" w:hAnsi="Microsoft YaHei" w:eastAsia="Microsoft YaHei" w:cs="Microsoft YaHei"/>
          <w:sz w:val="15"/>
          <w:szCs w:val="15"/>
        </w:rPr>
        <w:t>Statista</w:t>
      </w:r>
      <w:r>
        <w:rPr>
          <w:rFonts w:ascii="Microsoft YaHei" w:hAnsi="Microsoft YaHei" w:eastAsia="Microsoft YaHei" w:cs="Microsoft YaHei"/>
          <w:sz w:val="15"/>
          <w:szCs w:val="15"/>
          <w:spacing w:val="4"/>
        </w:rPr>
        <w:t>, 毕马威分析</w:t>
      </w:r>
    </w:p>
    <w:p>
      <w:pPr>
        <w:pStyle w:val="BodyText"/>
        <w:spacing w:line="417" w:lineRule="auto"/>
        <w:rPr/>
      </w:pPr>
      <w:r/>
    </w:p>
    <w:p>
      <w:pPr>
        <w:ind w:left="333" w:right="2835" w:firstLine="3"/>
        <w:spacing w:before="91" w:line="217" w:lineRule="auto"/>
        <w:tabs>
          <w:tab w:val="left" w:pos="8432"/>
        </w:tabs>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从行业格局来看</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，我国已投运的抽水蓄能电站</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38"/>
        </w:rPr>
        <w:t xml:space="preserve"> </w:t>
      </w:r>
      <w:r>
        <w:rPr>
          <w:rFonts w:ascii="Microsoft YaHei" w:hAnsi="Microsoft YaHei" w:eastAsia="Microsoft YaHei" w:cs="Microsoft YaHei"/>
          <w:sz w:val="21"/>
          <w:szCs w:val="21"/>
          <w:spacing w:val="2"/>
        </w:rPr>
        <w:t>由国家电网公司下属的国网新源和南</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方电网下属的双调公司占据主要份额</w:t>
      </w:r>
      <w:r>
        <w:rPr>
          <w:rFonts w:ascii="Microsoft YaHei" w:hAnsi="Microsoft YaHei" w:eastAsia="Microsoft YaHei" w:cs="Microsoft YaHei"/>
          <w:sz w:val="13"/>
          <w:szCs w:val="13"/>
          <w:position w:val="6"/>
        </w:rPr>
        <w:t>4</w:t>
      </w:r>
      <w:r>
        <w:rPr>
          <w:rFonts w:ascii="Microsoft YaHei" w:hAnsi="Microsoft YaHei" w:eastAsia="Microsoft YaHei" w:cs="Microsoft YaHei"/>
          <w:sz w:val="21"/>
          <w:szCs w:val="21"/>
        </w:rPr>
        <w:t>。截至2021年底，国网新源公司在运和在建抽水</w:t>
      </w:r>
      <w:r>
        <w:rPr>
          <w:rFonts w:ascii="Microsoft YaHei" w:hAnsi="Microsoft YaHei" w:eastAsia="Microsoft YaHei" w:cs="Microsoft YaHei"/>
          <w:sz w:val="21"/>
          <w:szCs w:val="21"/>
        </w:rPr>
        <w:tab/>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蓄能规模分别为2,351、4,578万KW，</w:t>
      </w:r>
      <w:r>
        <w:rPr>
          <w:rFonts w:ascii="Microsoft YaHei" w:hAnsi="Microsoft YaHei" w:eastAsia="Microsoft YaHei" w:cs="Microsoft YaHei"/>
          <w:sz w:val="21"/>
          <w:szCs w:val="21"/>
          <w:spacing w:val="-1"/>
        </w:rPr>
        <w:t>在抽水蓄能开发建设及运营市场中占据绝对领导</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地位</w:t>
      </w:r>
      <w:r>
        <w:rPr>
          <w:rFonts w:ascii="Microsoft YaHei" w:hAnsi="Microsoft YaHei" w:eastAsia="Microsoft YaHei" w:cs="Microsoft YaHei"/>
          <w:sz w:val="13"/>
          <w:szCs w:val="13"/>
          <w:position w:val="6"/>
        </w:rPr>
        <w:t>5</w:t>
      </w:r>
      <w:r>
        <w:rPr>
          <w:rFonts w:ascii="Microsoft YaHei" w:hAnsi="Microsoft YaHei" w:eastAsia="Microsoft YaHei" w:cs="Microsoft YaHei"/>
          <w:sz w:val="21"/>
          <w:szCs w:val="21"/>
        </w:rPr>
        <w:t>。冬奥期间，</w:t>
      </w:r>
      <w:r>
        <w:rPr>
          <w:rFonts w:ascii="Microsoft YaHei" w:hAnsi="Microsoft YaHei" w:eastAsia="Microsoft YaHei" w:cs="Microsoft YaHei"/>
          <w:sz w:val="21"/>
          <w:szCs w:val="21"/>
          <w:spacing w:val="-19"/>
        </w:rPr>
        <w:t xml:space="preserve"> </w:t>
      </w:r>
      <w:r>
        <w:rPr>
          <w:rFonts w:ascii="Microsoft YaHei" w:hAnsi="Microsoft YaHei" w:eastAsia="Microsoft YaHei" w:cs="Microsoft YaHei"/>
          <w:sz w:val="21"/>
          <w:szCs w:val="21"/>
        </w:rPr>
        <w:t>国网新源河北丰宁抽水蓄能电站投产发电，其装机容量、储能能力、 </w:t>
      </w:r>
      <w:r>
        <w:rPr>
          <w:rFonts w:ascii="Microsoft YaHei" w:hAnsi="Microsoft YaHei" w:eastAsia="Microsoft YaHei" w:cs="Microsoft YaHei"/>
          <w:sz w:val="21"/>
          <w:szCs w:val="21"/>
          <w:spacing w:val="1"/>
        </w:rPr>
        <w:t>地下厂房及洞室群规模均位列世界第一，成为北</w:t>
      </w:r>
      <w:r>
        <w:rPr>
          <w:rFonts w:ascii="Microsoft YaHei" w:hAnsi="Microsoft YaHei" w:eastAsia="Microsoft YaHei" w:cs="Microsoft YaHei"/>
          <w:sz w:val="21"/>
          <w:szCs w:val="21"/>
        </w:rPr>
        <w:t>京冬奥场馆实现100%绿电供应的坚强    </w:t>
      </w:r>
      <w:r>
        <w:rPr>
          <w:rFonts w:ascii="Microsoft YaHei" w:hAnsi="Microsoft YaHei" w:eastAsia="Microsoft YaHei" w:cs="Microsoft YaHei"/>
          <w:sz w:val="21"/>
          <w:szCs w:val="21"/>
        </w:rPr>
        <w:t>保障，未来也将为京津冀协同发展提供绿色动能</w:t>
      </w:r>
      <w:r>
        <w:rPr>
          <w:rFonts w:ascii="Microsoft YaHei" w:hAnsi="Microsoft YaHei" w:eastAsia="Microsoft YaHei" w:cs="Microsoft YaHei"/>
          <w:sz w:val="13"/>
          <w:szCs w:val="13"/>
          <w:position w:val="6"/>
        </w:rPr>
        <w:t>6,7</w:t>
      </w:r>
      <w:r>
        <w:rPr>
          <w:rFonts w:ascii="Microsoft YaHei" w:hAnsi="Microsoft YaHei" w:eastAsia="Microsoft YaHei" w:cs="Microsoft YaHei"/>
          <w:sz w:val="21"/>
          <w:szCs w:val="21"/>
        </w:rPr>
        <w:t>。</w:t>
      </w:r>
    </w:p>
    <w:p>
      <w:pPr>
        <w:pStyle w:val="BodyText"/>
        <w:spacing w:line="376" w:lineRule="auto"/>
        <w:rPr/>
      </w:pPr>
      <w:r>
        <w:pict>
          <v:shape id="_x0000_s212" style="position:absolute;margin-left:16.5809pt;margin-top:10.8935pt;mso-position-vertical-relative:text;mso-position-horizontal-relative:text;width:81.3pt;height:0.5pt;z-index:251781120;" filled="false" strokecolor="#000000" strokeweight="0.50pt" coordsize="1626,10" coordorigin="0,0" path="m0,5l1625,5e">
            <v:stroke joinstyle="miter"/>
          </v:shape>
        </w:pict>
      </w:r>
      <w:r/>
    </w:p>
    <w:p>
      <w:pPr>
        <w:ind w:left="331" w:right="3712" w:firstLine="5"/>
        <w:spacing w:before="56" w:line="187"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5"/>
          <w:position w:val="4"/>
        </w:rPr>
        <w:t>1</w:t>
      </w:r>
      <w:r>
        <w:rPr>
          <w:rFonts w:ascii="Microsoft YaHei" w:hAnsi="Microsoft YaHei" w:eastAsia="Microsoft YaHei" w:cs="Microsoft YaHei"/>
          <w:sz w:val="9"/>
          <w:szCs w:val="9"/>
          <w:spacing w:val="21"/>
          <w:position w:val="4"/>
        </w:rPr>
        <w:t xml:space="preserve"> </w:t>
      </w:r>
      <w:r>
        <w:rPr>
          <w:rFonts w:ascii="Microsoft YaHei" w:hAnsi="Microsoft YaHei" w:eastAsia="Microsoft YaHei" w:cs="Microsoft YaHei"/>
          <w:sz w:val="13"/>
          <w:szCs w:val="13"/>
          <w:spacing w:val="5"/>
        </w:rPr>
        <w:t>陈海生,李泓等.2021年中国储能技术研究进展[J].储能科学与技术,2022,11(03):1052-1076.</w:t>
      </w:r>
      <w:r>
        <w:rPr>
          <w:rFonts w:ascii="Microsoft YaHei" w:hAnsi="Microsoft YaHei" w:eastAsia="Microsoft YaHei" w:cs="Microsoft YaHei"/>
          <w:sz w:val="13"/>
          <w:szCs w:val="13"/>
        </w:rPr>
        <w:t>DOI</w:t>
      </w:r>
      <w:r>
        <w:rPr>
          <w:rFonts w:ascii="Microsoft YaHei" w:hAnsi="Microsoft YaHei" w:eastAsia="Microsoft YaHei" w:cs="Microsoft YaHei"/>
          <w:sz w:val="13"/>
          <w:szCs w:val="13"/>
          <w:spacing w:val="5"/>
        </w:rPr>
        <w:t>:10.19799</w:t>
      </w:r>
      <w:r>
        <w:rPr>
          <w:rFonts w:ascii="Microsoft YaHei" w:hAnsi="Microsoft YaHei" w:eastAsia="Microsoft YaHei" w:cs="Microsoft YaHei"/>
          <w:sz w:val="13"/>
          <w:szCs w:val="13"/>
          <w:spacing w:val="4"/>
        </w:rPr>
        <w:t>/j.</w:t>
      </w:r>
      <w:r>
        <w:rPr>
          <w:rFonts w:ascii="Microsoft YaHei" w:hAnsi="Microsoft YaHei" w:eastAsia="Microsoft YaHei" w:cs="Microsoft YaHei"/>
          <w:sz w:val="13"/>
          <w:szCs w:val="13"/>
        </w:rPr>
        <w:t>cnki</w:t>
      </w:r>
      <w:r>
        <w:rPr>
          <w:rFonts w:ascii="Microsoft YaHei" w:hAnsi="Microsoft YaHei" w:eastAsia="Microsoft YaHei" w:cs="Microsoft YaHei"/>
          <w:sz w:val="13"/>
          <w:szCs w:val="13"/>
          <w:spacing w:val="4"/>
        </w:rPr>
        <w:t>.2095-</w:t>
      </w:r>
      <w:r>
        <w:rPr>
          <w:rFonts w:ascii="Microsoft YaHei" w:hAnsi="Microsoft YaHei" w:eastAsia="Microsoft YaHei" w:cs="Microsoft YaHei"/>
          <w:sz w:val="13"/>
          <w:szCs w:val="13"/>
        </w:rPr>
        <w:t xml:space="preserve"> </w:t>
      </w:r>
      <w:r>
        <w:rPr>
          <w:rFonts w:ascii="Microsoft YaHei" w:hAnsi="Microsoft YaHei" w:eastAsia="Microsoft YaHei" w:cs="Microsoft YaHei"/>
          <w:sz w:val="13"/>
          <w:szCs w:val="13"/>
          <w:spacing w:val="1"/>
        </w:rPr>
        <w:t>4239.2022.0105.</w:t>
      </w:r>
    </w:p>
    <w:p>
      <w:pPr>
        <w:ind w:left="331"/>
        <w:spacing w:before="52" w:line="197"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5"/>
          <w:position w:val="4"/>
        </w:rPr>
        <w:t>2</w:t>
      </w:r>
      <w:r>
        <w:rPr>
          <w:rFonts w:ascii="Microsoft YaHei" w:hAnsi="Microsoft YaHei" w:eastAsia="Microsoft YaHei" w:cs="Microsoft YaHei"/>
          <w:sz w:val="9"/>
          <w:szCs w:val="9"/>
          <w:spacing w:val="15"/>
          <w:w w:val="102"/>
          <w:position w:val="4"/>
        </w:rPr>
        <w:t xml:space="preserve"> </w:t>
      </w:r>
      <w:r>
        <w:rPr>
          <w:rFonts w:ascii="Microsoft YaHei" w:hAnsi="Microsoft YaHei" w:eastAsia="Microsoft YaHei" w:cs="Microsoft YaHei"/>
          <w:sz w:val="13"/>
          <w:szCs w:val="13"/>
          <w:spacing w:val="5"/>
        </w:rPr>
        <w:t>武魏楠.抽水蓄能冷与热[J].能源,2022(07):10-16.</w:t>
      </w:r>
    </w:p>
    <w:p>
      <w:pPr>
        <w:ind w:left="340" w:right="3232" w:hanging="10"/>
        <w:spacing w:before="42" w:line="187"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7"/>
          <w:position w:val="4"/>
        </w:rPr>
        <w:t>3</w:t>
      </w:r>
      <w:r>
        <w:rPr>
          <w:rFonts w:ascii="Microsoft YaHei" w:hAnsi="Microsoft YaHei" w:eastAsia="Microsoft YaHei" w:cs="Microsoft YaHei"/>
          <w:sz w:val="9"/>
          <w:szCs w:val="9"/>
          <w:spacing w:val="15"/>
          <w:w w:val="103"/>
          <w:position w:val="4"/>
        </w:rPr>
        <w:t xml:space="preserve"> </w:t>
      </w:r>
      <w:r>
        <w:rPr>
          <w:rFonts w:ascii="Microsoft YaHei" w:hAnsi="Microsoft YaHei" w:eastAsia="Microsoft YaHei" w:cs="Microsoft YaHei"/>
          <w:sz w:val="13"/>
          <w:szCs w:val="13"/>
          <w:spacing w:val="7"/>
        </w:rPr>
        <w:t>水电水利规划设计总院、中国水力发电工程学会抽水蓄能行业分会等.</w:t>
      </w:r>
      <w:r>
        <w:rPr>
          <w:rFonts w:ascii="Microsoft YaHei" w:hAnsi="Microsoft YaHei" w:eastAsia="Microsoft YaHei" w:cs="Microsoft YaHei"/>
          <w:sz w:val="13"/>
          <w:szCs w:val="13"/>
          <w:spacing w:val="23"/>
        </w:rPr>
        <w:t xml:space="preserve"> </w:t>
      </w:r>
      <w:r>
        <w:rPr>
          <w:rFonts w:ascii="Microsoft YaHei" w:hAnsi="Microsoft YaHei" w:eastAsia="Microsoft YaHei" w:cs="Microsoft YaHei"/>
          <w:sz w:val="13"/>
          <w:szCs w:val="13"/>
          <w:spacing w:val="7"/>
        </w:rPr>
        <w:t>抽水蓄能产业发展报告2021[</w:t>
      </w:r>
      <w:r>
        <w:rPr>
          <w:rFonts w:ascii="Microsoft YaHei" w:hAnsi="Microsoft YaHei" w:eastAsia="Microsoft YaHei" w:cs="Microsoft YaHei"/>
          <w:sz w:val="13"/>
          <w:szCs w:val="13"/>
        </w:rPr>
        <w:t>EB</w:t>
      </w:r>
      <w:r>
        <w:rPr>
          <w:rFonts w:ascii="Microsoft YaHei" w:hAnsi="Microsoft YaHei" w:eastAsia="Microsoft YaHei" w:cs="Microsoft YaHei"/>
          <w:sz w:val="13"/>
          <w:szCs w:val="13"/>
          <w:spacing w:val="7"/>
        </w:rPr>
        <w:t>/</w:t>
      </w:r>
      <w:r>
        <w:rPr>
          <w:rFonts w:ascii="Microsoft YaHei" w:hAnsi="Microsoft YaHei" w:eastAsia="Microsoft YaHei" w:cs="Microsoft YaHei"/>
          <w:sz w:val="13"/>
          <w:szCs w:val="13"/>
        </w:rPr>
        <w:t>OL</w:t>
      </w:r>
      <w:r>
        <w:rPr>
          <w:rFonts w:ascii="Microsoft YaHei" w:hAnsi="Microsoft YaHei" w:eastAsia="Microsoft YaHei" w:cs="Microsoft YaHei"/>
          <w:sz w:val="13"/>
          <w:szCs w:val="13"/>
          <w:spacing w:val="7"/>
        </w:rPr>
        <w:t>]</w:t>
      </w:r>
      <w:r>
        <w:rPr>
          <w:rFonts w:ascii="Microsoft YaHei" w:hAnsi="Microsoft YaHei" w:eastAsia="Microsoft YaHei" w:cs="Microsoft YaHei"/>
          <w:sz w:val="13"/>
          <w:szCs w:val="13"/>
          <w:spacing w:val="6"/>
        </w:rPr>
        <w:t>. 2022年6月24日，</w:t>
      </w:r>
      <w:r>
        <w:rPr>
          <w:rFonts w:ascii="Microsoft YaHei" w:hAnsi="Microsoft YaHei" w:eastAsia="Microsoft YaHei" w:cs="Microsoft YaHei"/>
          <w:sz w:val="13"/>
          <w:szCs w:val="13"/>
        </w:rPr>
        <w:t xml:space="preserve"> </w:t>
      </w:r>
      <w:hyperlink w:history="true" r:id="rId59">
        <w:r>
          <w:rPr>
            <w:rFonts w:ascii="Microsoft YaHei" w:hAnsi="Microsoft YaHei" w:eastAsia="Microsoft YaHei" w:cs="Microsoft YaHei"/>
            <w:sz w:val="13"/>
            <w:szCs w:val="13"/>
          </w:rPr>
          <w:t>https</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news</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bjx</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com</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cn</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html</w:t>
        </w:r>
        <w:r>
          <w:rPr>
            <w:rFonts w:ascii="Microsoft YaHei" w:hAnsi="Microsoft YaHei" w:eastAsia="Microsoft YaHei" w:cs="Microsoft YaHei"/>
            <w:sz w:val="13"/>
            <w:szCs w:val="13"/>
            <w:spacing w:val="6"/>
          </w:rPr>
          <w:t>/20220627/1236247.</w:t>
        </w:r>
        <w:r>
          <w:rPr>
            <w:rFonts w:ascii="Microsoft YaHei" w:hAnsi="Microsoft YaHei" w:eastAsia="Microsoft YaHei" w:cs="Microsoft YaHei"/>
            <w:sz w:val="13"/>
            <w:szCs w:val="13"/>
          </w:rPr>
          <w:t>shtml</w:t>
        </w:r>
      </w:hyperlink>
    </w:p>
    <w:p>
      <w:pPr>
        <w:ind w:left="340" w:right="5128" w:hanging="10"/>
        <w:spacing w:before="50" w:line="188"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6"/>
          <w:position w:val="4"/>
        </w:rPr>
        <w:t>4</w:t>
      </w:r>
      <w:r>
        <w:rPr>
          <w:rFonts w:ascii="Microsoft YaHei" w:hAnsi="Microsoft YaHei" w:eastAsia="Microsoft YaHei" w:cs="Microsoft YaHei"/>
          <w:sz w:val="9"/>
          <w:szCs w:val="9"/>
          <w:spacing w:val="23"/>
          <w:w w:val="102"/>
          <w:position w:val="4"/>
        </w:rPr>
        <w:t xml:space="preserve"> </w:t>
      </w:r>
      <w:r>
        <w:rPr>
          <w:rFonts w:ascii="Microsoft YaHei" w:hAnsi="Microsoft YaHei" w:eastAsia="Microsoft YaHei" w:cs="Microsoft YaHei"/>
          <w:sz w:val="13"/>
          <w:szCs w:val="13"/>
          <w:spacing w:val="6"/>
        </w:rPr>
        <w:t>华经情报网. 2021年中国抽水蓄能行业发展现状及市场竞争格局分析[</w:t>
      </w:r>
      <w:r>
        <w:rPr>
          <w:rFonts w:ascii="Microsoft YaHei" w:hAnsi="Microsoft YaHei" w:eastAsia="Microsoft YaHei" w:cs="Microsoft YaHei"/>
          <w:sz w:val="13"/>
          <w:szCs w:val="13"/>
        </w:rPr>
        <w:t>EB</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OL</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spacing w:val="19"/>
          <w:w w:val="101"/>
        </w:rPr>
        <w:t xml:space="preserve"> </w:t>
      </w:r>
      <w:r>
        <w:rPr>
          <w:rFonts w:ascii="Microsoft YaHei" w:hAnsi="Microsoft YaHei" w:eastAsia="Microsoft YaHei" w:cs="Microsoft YaHei"/>
          <w:sz w:val="13"/>
          <w:szCs w:val="13"/>
          <w:spacing w:val="6"/>
        </w:rPr>
        <w:t>2022年3月8日，</w:t>
      </w:r>
      <w:r>
        <w:rPr>
          <w:rFonts w:ascii="Microsoft YaHei" w:hAnsi="Microsoft YaHei" w:eastAsia="Microsoft YaHei" w:cs="Microsoft YaHei"/>
          <w:sz w:val="13"/>
          <w:szCs w:val="13"/>
        </w:rPr>
        <w:t xml:space="preserve"> </w:t>
      </w:r>
      <w:hyperlink w:history="true" r:id="rId60">
        <w:r>
          <w:rPr>
            <w:rFonts w:ascii="Microsoft YaHei" w:hAnsi="Microsoft YaHei" w:eastAsia="Microsoft YaHei" w:cs="Microsoft YaHei"/>
            <w:sz w:val="13"/>
            <w:szCs w:val="13"/>
          </w:rPr>
          <w:t>http</w:t>
        </w:r>
        <w:r>
          <w:rPr>
            <w:rFonts w:ascii="Microsoft YaHei" w:hAnsi="Microsoft YaHei" w:eastAsia="Microsoft YaHei" w:cs="Microsoft YaHei"/>
            <w:sz w:val="13"/>
            <w:szCs w:val="13"/>
            <w:spacing w:val="10"/>
          </w:rPr>
          <w:t>://</w:t>
        </w:r>
        <w:r>
          <w:rPr>
            <w:rFonts w:ascii="Microsoft YaHei" w:hAnsi="Microsoft YaHei" w:eastAsia="Microsoft YaHei" w:cs="Microsoft YaHei"/>
            <w:sz w:val="13"/>
            <w:szCs w:val="13"/>
          </w:rPr>
          <w:t>www</w:t>
        </w:r>
        <w:r>
          <w:rPr>
            <w:rFonts w:ascii="Microsoft YaHei" w:hAnsi="Microsoft YaHei" w:eastAsia="Microsoft YaHei" w:cs="Microsoft YaHei"/>
            <w:sz w:val="13"/>
            <w:szCs w:val="13"/>
            <w:spacing w:val="10"/>
          </w:rPr>
          <w:t>.</w:t>
        </w:r>
        <w:r>
          <w:rPr>
            <w:rFonts w:ascii="Microsoft YaHei" w:hAnsi="Microsoft YaHei" w:eastAsia="Microsoft YaHei" w:cs="Microsoft YaHei"/>
            <w:sz w:val="13"/>
            <w:szCs w:val="13"/>
          </w:rPr>
          <w:t>hydropower</w:t>
        </w:r>
        <w:r>
          <w:rPr>
            <w:rFonts w:ascii="Microsoft YaHei" w:hAnsi="Microsoft YaHei" w:eastAsia="Microsoft YaHei" w:cs="Microsoft YaHei"/>
            <w:sz w:val="13"/>
            <w:szCs w:val="13"/>
            <w:spacing w:val="10"/>
          </w:rPr>
          <w:t>.</w:t>
        </w:r>
        <w:r>
          <w:rPr>
            <w:rFonts w:ascii="Microsoft YaHei" w:hAnsi="Microsoft YaHei" w:eastAsia="Microsoft YaHei" w:cs="Microsoft YaHei"/>
            <w:sz w:val="13"/>
            <w:szCs w:val="13"/>
          </w:rPr>
          <w:t>org</w:t>
        </w:r>
        <w:r>
          <w:rPr>
            <w:rFonts w:ascii="Microsoft YaHei" w:hAnsi="Microsoft YaHei" w:eastAsia="Microsoft YaHei" w:cs="Microsoft YaHei"/>
            <w:sz w:val="13"/>
            <w:szCs w:val="13"/>
            <w:spacing w:val="10"/>
          </w:rPr>
          <w:t>.</w:t>
        </w:r>
        <w:r>
          <w:rPr>
            <w:rFonts w:ascii="Microsoft YaHei" w:hAnsi="Microsoft YaHei" w:eastAsia="Microsoft YaHei" w:cs="Microsoft YaHei"/>
            <w:sz w:val="13"/>
            <w:szCs w:val="13"/>
          </w:rPr>
          <w:t>cn</w:t>
        </w:r>
        <w:r>
          <w:rPr>
            <w:rFonts w:ascii="Microsoft YaHei" w:hAnsi="Microsoft YaHei" w:eastAsia="Microsoft YaHei" w:cs="Microsoft YaHei"/>
            <w:sz w:val="13"/>
            <w:szCs w:val="13"/>
            <w:spacing w:val="10"/>
          </w:rPr>
          <w:t>/</w:t>
        </w:r>
        <w:r>
          <w:rPr>
            <w:rFonts w:ascii="Microsoft YaHei" w:hAnsi="Microsoft YaHei" w:eastAsia="Microsoft YaHei" w:cs="Microsoft YaHei"/>
            <w:sz w:val="13"/>
            <w:szCs w:val="13"/>
          </w:rPr>
          <w:t>showNewsDetail</w:t>
        </w:r>
        <w:r>
          <w:rPr>
            <w:rFonts w:ascii="Microsoft YaHei" w:hAnsi="Microsoft YaHei" w:eastAsia="Microsoft YaHei" w:cs="Microsoft YaHei"/>
            <w:sz w:val="13"/>
            <w:szCs w:val="13"/>
            <w:spacing w:val="10"/>
          </w:rPr>
          <w:t>.</w:t>
        </w:r>
        <w:r>
          <w:rPr>
            <w:rFonts w:ascii="Microsoft YaHei" w:hAnsi="Microsoft YaHei" w:eastAsia="Microsoft YaHei" w:cs="Microsoft YaHei"/>
            <w:sz w:val="13"/>
            <w:szCs w:val="13"/>
          </w:rPr>
          <w:t>asp</w:t>
        </w:r>
        <w:r>
          <w:rPr>
            <w:rFonts w:ascii="Microsoft YaHei" w:hAnsi="Microsoft YaHei" w:eastAsia="Microsoft YaHei" w:cs="Microsoft YaHei"/>
            <w:sz w:val="13"/>
            <w:szCs w:val="13"/>
            <w:spacing w:val="10"/>
          </w:rPr>
          <w:t>?</w:t>
        </w:r>
        <w:r>
          <w:rPr>
            <w:rFonts w:ascii="Microsoft YaHei" w:hAnsi="Microsoft YaHei" w:eastAsia="Microsoft YaHei" w:cs="Microsoft YaHei"/>
            <w:sz w:val="13"/>
            <w:szCs w:val="13"/>
          </w:rPr>
          <w:t>nsId</w:t>
        </w:r>
        <w:r>
          <w:rPr>
            <w:rFonts w:ascii="Microsoft YaHei" w:hAnsi="Microsoft YaHei" w:eastAsia="Microsoft YaHei" w:cs="Microsoft YaHei"/>
            <w:sz w:val="13"/>
            <w:szCs w:val="13"/>
            <w:spacing w:val="10"/>
          </w:rPr>
          <w:t>=32550</w:t>
        </w:r>
      </w:hyperlink>
    </w:p>
    <w:p>
      <w:pPr>
        <w:ind w:left="340" w:right="3232" w:hanging="10"/>
        <w:spacing w:before="45" w:line="187"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7"/>
          <w:position w:val="4"/>
        </w:rPr>
        <w:t>5</w:t>
      </w:r>
      <w:r>
        <w:rPr>
          <w:rFonts w:ascii="Microsoft YaHei" w:hAnsi="Microsoft YaHei" w:eastAsia="Microsoft YaHei" w:cs="Microsoft YaHei"/>
          <w:sz w:val="9"/>
          <w:szCs w:val="9"/>
          <w:spacing w:val="15"/>
          <w:w w:val="103"/>
          <w:position w:val="4"/>
        </w:rPr>
        <w:t xml:space="preserve"> </w:t>
      </w:r>
      <w:r>
        <w:rPr>
          <w:rFonts w:ascii="Microsoft YaHei" w:hAnsi="Microsoft YaHei" w:eastAsia="Microsoft YaHei" w:cs="Microsoft YaHei"/>
          <w:sz w:val="13"/>
          <w:szCs w:val="13"/>
          <w:spacing w:val="7"/>
        </w:rPr>
        <w:t>水电水利规划设计总院、中国水力发电工程学会抽水蓄能行业分会等.</w:t>
      </w:r>
      <w:r>
        <w:rPr>
          <w:rFonts w:ascii="Microsoft YaHei" w:hAnsi="Microsoft YaHei" w:eastAsia="Microsoft YaHei" w:cs="Microsoft YaHei"/>
          <w:sz w:val="13"/>
          <w:szCs w:val="13"/>
          <w:spacing w:val="23"/>
          <w:w w:val="101"/>
        </w:rPr>
        <w:t xml:space="preserve"> </w:t>
      </w:r>
      <w:r>
        <w:rPr>
          <w:rFonts w:ascii="Microsoft YaHei" w:hAnsi="Microsoft YaHei" w:eastAsia="Microsoft YaHei" w:cs="Microsoft YaHei"/>
          <w:sz w:val="13"/>
          <w:szCs w:val="13"/>
          <w:spacing w:val="7"/>
        </w:rPr>
        <w:t>抽水蓄能产业发展报告2021[</w:t>
      </w:r>
      <w:r>
        <w:rPr>
          <w:rFonts w:ascii="Microsoft YaHei" w:hAnsi="Microsoft YaHei" w:eastAsia="Microsoft YaHei" w:cs="Microsoft YaHei"/>
          <w:sz w:val="13"/>
          <w:szCs w:val="13"/>
        </w:rPr>
        <w:t>EB</w:t>
      </w:r>
      <w:r>
        <w:rPr>
          <w:rFonts w:ascii="Microsoft YaHei" w:hAnsi="Microsoft YaHei" w:eastAsia="Microsoft YaHei" w:cs="Microsoft YaHei"/>
          <w:sz w:val="13"/>
          <w:szCs w:val="13"/>
          <w:spacing w:val="7"/>
        </w:rPr>
        <w:t>/</w:t>
      </w:r>
      <w:r>
        <w:rPr>
          <w:rFonts w:ascii="Microsoft YaHei" w:hAnsi="Microsoft YaHei" w:eastAsia="Microsoft YaHei" w:cs="Microsoft YaHei"/>
          <w:sz w:val="13"/>
          <w:szCs w:val="13"/>
        </w:rPr>
        <w:t>OL</w:t>
      </w:r>
      <w:r>
        <w:rPr>
          <w:rFonts w:ascii="Microsoft YaHei" w:hAnsi="Microsoft YaHei" w:eastAsia="Microsoft YaHei" w:cs="Microsoft YaHei"/>
          <w:sz w:val="13"/>
          <w:szCs w:val="13"/>
          <w:spacing w:val="7"/>
        </w:rPr>
        <w:t>]</w:t>
      </w:r>
      <w:r>
        <w:rPr>
          <w:rFonts w:ascii="Microsoft YaHei" w:hAnsi="Microsoft YaHei" w:eastAsia="Microsoft YaHei" w:cs="Microsoft YaHei"/>
          <w:sz w:val="13"/>
          <w:szCs w:val="13"/>
          <w:spacing w:val="6"/>
        </w:rPr>
        <w:t>. 2022年6月24日，</w:t>
      </w:r>
      <w:r>
        <w:rPr>
          <w:rFonts w:ascii="Microsoft YaHei" w:hAnsi="Microsoft YaHei" w:eastAsia="Microsoft YaHei" w:cs="Microsoft YaHei"/>
          <w:sz w:val="13"/>
          <w:szCs w:val="13"/>
        </w:rPr>
        <w:t xml:space="preserve"> </w:t>
      </w:r>
      <w:hyperlink w:history="true" r:id="rId59">
        <w:r>
          <w:rPr>
            <w:rFonts w:ascii="Microsoft YaHei" w:hAnsi="Microsoft YaHei" w:eastAsia="Microsoft YaHei" w:cs="Microsoft YaHei"/>
            <w:sz w:val="13"/>
            <w:szCs w:val="13"/>
          </w:rPr>
          <w:t>https</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news</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bjx</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com</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cn</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html</w:t>
        </w:r>
        <w:r>
          <w:rPr>
            <w:rFonts w:ascii="Microsoft YaHei" w:hAnsi="Microsoft YaHei" w:eastAsia="Microsoft YaHei" w:cs="Microsoft YaHei"/>
            <w:sz w:val="13"/>
            <w:szCs w:val="13"/>
            <w:spacing w:val="6"/>
          </w:rPr>
          <w:t>/20220627/1236247.</w:t>
        </w:r>
        <w:r>
          <w:rPr>
            <w:rFonts w:ascii="Microsoft YaHei" w:hAnsi="Microsoft YaHei" w:eastAsia="Microsoft YaHei" w:cs="Microsoft YaHei"/>
            <w:sz w:val="13"/>
            <w:szCs w:val="13"/>
          </w:rPr>
          <w:t>shtml</w:t>
        </w:r>
      </w:hyperlink>
    </w:p>
    <w:p>
      <w:pPr>
        <w:ind w:left="333"/>
        <w:spacing w:before="51" w:line="194"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5"/>
          <w:position w:val="4"/>
        </w:rPr>
        <w:t>6</w:t>
      </w:r>
      <w:r>
        <w:rPr>
          <w:rFonts w:ascii="Microsoft YaHei" w:hAnsi="Microsoft YaHei" w:eastAsia="Microsoft YaHei" w:cs="Microsoft YaHei"/>
          <w:sz w:val="9"/>
          <w:szCs w:val="9"/>
          <w:spacing w:val="17"/>
          <w:w w:val="102"/>
          <w:position w:val="4"/>
        </w:rPr>
        <w:t xml:space="preserve"> </w:t>
      </w:r>
      <w:r>
        <w:rPr>
          <w:rFonts w:ascii="Microsoft YaHei" w:hAnsi="Microsoft YaHei" w:eastAsia="Microsoft YaHei" w:cs="Microsoft YaHei"/>
          <w:sz w:val="13"/>
          <w:szCs w:val="13"/>
          <w:spacing w:val="5"/>
        </w:rPr>
        <w:t>世界规模最大的抽水蓄能电站投产发电[</w:t>
      </w:r>
      <w:r>
        <w:rPr>
          <w:rFonts w:ascii="Microsoft YaHei" w:hAnsi="Microsoft YaHei" w:eastAsia="Microsoft YaHei" w:cs="Microsoft YaHei"/>
          <w:sz w:val="13"/>
          <w:szCs w:val="13"/>
        </w:rPr>
        <w:t>EB</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OL</w:t>
      </w:r>
      <w:r>
        <w:rPr>
          <w:rFonts w:ascii="Microsoft YaHei" w:hAnsi="Microsoft YaHei" w:eastAsia="Microsoft YaHei" w:cs="Microsoft YaHei"/>
          <w:sz w:val="13"/>
          <w:szCs w:val="13"/>
          <w:spacing w:val="5"/>
        </w:rPr>
        <w:t>].2</w:t>
      </w:r>
      <w:r>
        <w:rPr>
          <w:rFonts w:ascii="Microsoft YaHei" w:hAnsi="Microsoft YaHei" w:eastAsia="Microsoft YaHei" w:cs="Microsoft YaHei"/>
          <w:sz w:val="13"/>
          <w:szCs w:val="13"/>
          <w:spacing w:val="4"/>
        </w:rPr>
        <w:t>021年12月31日，</w:t>
      </w:r>
      <w:r>
        <w:rPr>
          <w:rFonts w:ascii="Microsoft YaHei" w:hAnsi="Microsoft YaHei" w:eastAsia="Microsoft YaHei" w:cs="Microsoft YaHei"/>
          <w:sz w:val="13"/>
          <w:szCs w:val="13"/>
          <w:spacing w:val="-8"/>
        </w:rPr>
        <w:t xml:space="preserve"> </w:t>
      </w:r>
      <w:hyperlink w:history="true" r:id="rId61">
        <w:r>
          <w:rPr>
            <w:rFonts w:ascii="Microsoft YaHei" w:hAnsi="Microsoft YaHei" w:eastAsia="Microsoft YaHei" w:cs="Microsoft YaHei"/>
            <w:sz w:val="13"/>
            <w:szCs w:val="13"/>
          </w:rPr>
          <w:t>http</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www</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nea</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gov</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cn</w:t>
        </w:r>
        <w:r>
          <w:rPr>
            <w:rFonts w:ascii="Microsoft YaHei" w:hAnsi="Microsoft YaHei" w:eastAsia="Microsoft YaHei" w:cs="Microsoft YaHei"/>
            <w:sz w:val="13"/>
            <w:szCs w:val="13"/>
            <w:spacing w:val="4"/>
          </w:rPr>
          <w:t>/2021-12/31/c</w:t>
        </w:r>
      </w:hyperlink>
      <w:r>
        <w:rPr>
          <w:rFonts w:ascii="Microsoft YaHei" w:hAnsi="Microsoft YaHei" w:eastAsia="Microsoft YaHei" w:cs="Microsoft YaHei"/>
          <w:sz w:val="13"/>
          <w:szCs w:val="13"/>
          <w:spacing w:val="4"/>
        </w:rPr>
        <w:t>__1310404022.</w:t>
      </w:r>
      <w:r>
        <w:rPr>
          <w:rFonts w:ascii="Microsoft YaHei" w:hAnsi="Microsoft YaHei" w:eastAsia="Microsoft YaHei" w:cs="Microsoft YaHei"/>
          <w:sz w:val="13"/>
          <w:szCs w:val="13"/>
        </w:rPr>
        <w:t>htm</w:t>
      </w:r>
    </w:p>
    <w:p>
      <w:pPr>
        <w:ind w:left="332"/>
        <w:spacing w:before="45" w:line="194"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4"/>
          <w:position w:val="4"/>
        </w:rPr>
        <w:t>7</w:t>
      </w:r>
      <w:r>
        <w:rPr>
          <w:rFonts w:ascii="Microsoft YaHei" w:hAnsi="Microsoft YaHei" w:eastAsia="Microsoft YaHei" w:cs="Microsoft YaHei"/>
          <w:sz w:val="9"/>
          <w:szCs w:val="9"/>
          <w:spacing w:val="14"/>
          <w:w w:val="102"/>
          <w:position w:val="4"/>
        </w:rPr>
        <w:t xml:space="preserve"> </w:t>
      </w:r>
      <w:r>
        <w:rPr>
          <w:rFonts w:ascii="Microsoft YaHei" w:hAnsi="Microsoft YaHei" w:eastAsia="Microsoft YaHei" w:cs="Microsoft YaHei"/>
          <w:sz w:val="13"/>
          <w:szCs w:val="13"/>
          <w:spacing w:val="4"/>
        </w:rPr>
        <w:t>北京冬奥为能源转型加速[</w:t>
      </w:r>
      <w:r>
        <w:rPr>
          <w:rFonts w:ascii="Microsoft YaHei" w:hAnsi="Microsoft YaHei" w:eastAsia="Microsoft YaHei" w:cs="Microsoft YaHei"/>
          <w:sz w:val="13"/>
          <w:szCs w:val="13"/>
        </w:rPr>
        <w:t>EB</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OL</w:t>
      </w:r>
      <w:r>
        <w:rPr>
          <w:rFonts w:ascii="Microsoft YaHei" w:hAnsi="Microsoft YaHei" w:eastAsia="Microsoft YaHei" w:cs="Microsoft YaHei"/>
          <w:sz w:val="13"/>
          <w:szCs w:val="13"/>
          <w:spacing w:val="4"/>
        </w:rPr>
        <w:t>].2022年2月11日，</w:t>
      </w:r>
      <w:r>
        <w:rPr>
          <w:rFonts w:ascii="Microsoft YaHei" w:hAnsi="Microsoft YaHei" w:eastAsia="Microsoft YaHei" w:cs="Microsoft YaHei"/>
          <w:sz w:val="13"/>
          <w:szCs w:val="13"/>
          <w:spacing w:val="-8"/>
        </w:rPr>
        <w:t xml:space="preserve"> </w:t>
      </w:r>
      <w:hyperlink w:history="true" r:id="rId62">
        <w:r>
          <w:rPr>
            <w:rFonts w:ascii="Microsoft YaHei" w:hAnsi="Microsoft YaHei" w:eastAsia="Microsoft YaHei" w:cs="Microsoft YaHei"/>
            <w:sz w:val="13"/>
            <w:szCs w:val="13"/>
          </w:rPr>
          <w:t>http</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www</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nea</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gov</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cn</w:t>
        </w:r>
        <w:r>
          <w:rPr>
            <w:rFonts w:ascii="Microsoft YaHei" w:hAnsi="Microsoft YaHei" w:eastAsia="Microsoft YaHei" w:cs="Microsoft YaHei"/>
            <w:sz w:val="13"/>
            <w:szCs w:val="13"/>
            <w:spacing w:val="4"/>
          </w:rPr>
          <w:t>/2022-02/11/c</w:t>
        </w:r>
      </w:hyperlink>
      <w:r>
        <w:rPr>
          <w:rFonts w:ascii="Microsoft YaHei" w:hAnsi="Microsoft YaHei" w:eastAsia="Microsoft YaHei" w:cs="Microsoft YaHei"/>
          <w:sz w:val="13"/>
          <w:szCs w:val="13"/>
          <w:spacing w:val="4"/>
        </w:rPr>
        <w:t>__13104</w:t>
      </w:r>
      <w:r>
        <w:rPr>
          <w:rFonts w:ascii="Microsoft YaHei" w:hAnsi="Microsoft YaHei" w:eastAsia="Microsoft YaHei" w:cs="Microsoft YaHei"/>
          <w:sz w:val="13"/>
          <w:szCs w:val="13"/>
          <w:spacing w:val="3"/>
        </w:rPr>
        <w:t>66413.</w:t>
      </w:r>
      <w:r>
        <w:rPr>
          <w:rFonts w:ascii="Microsoft YaHei" w:hAnsi="Microsoft YaHei" w:eastAsia="Microsoft YaHei" w:cs="Microsoft YaHei"/>
          <w:sz w:val="13"/>
          <w:szCs w:val="13"/>
        </w:rPr>
        <w:t>htm</w:t>
      </w:r>
    </w:p>
    <w:p>
      <w:pPr>
        <w:ind w:left="831" w:right="1241" w:hanging="411"/>
        <w:spacing w:before="196"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974" w:header="0" w:footer="0" w:gutter="0"/>
        </w:sectPr>
        <w:rPr>
          <w:rFonts w:ascii="Microsoft YaHei" w:hAnsi="Microsoft YaHei" w:eastAsia="Microsoft YaHei" w:cs="Microsoft YaHei"/>
          <w:sz w:val="11"/>
          <w:szCs w:val="11"/>
        </w:rPr>
      </w:pPr>
    </w:p>
    <w:p>
      <w:pPr>
        <w:ind w:left="7690"/>
        <w:spacing w:before="314" w:line="193" w:lineRule="auto"/>
        <w:outlineLvl w:val="0"/>
        <w:rPr>
          <w:rFonts w:ascii="Microsoft YaHei" w:hAnsi="Microsoft YaHei" w:eastAsia="Microsoft YaHei" w:cs="Microsoft YaHei"/>
          <w:sz w:val="18"/>
          <w:szCs w:val="18"/>
        </w:rPr>
      </w:pPr>
      <w:r>
        <w:pict>
          <v:rect id="_x0000_s214" style="position:absolute;margin-left:611.99pt;margin-top:0pt;mso-position-vertical-relative:page;mso-position-horizontal-relative:page;width:0.25pt;height:859pt;z-index:251796480;" o:allowincell="f" fillcolor="#000000" filled="true" stroked="false"/>
        </w:pict>
      </w:r>
      <w:r>
        <w:rPr>
          <w:rFonts w:ascii="Microsoft YaHei" w:hAnsi="Microsoft YaHei" w:eastAsia="Microsoft YaHei" w:cs="Microsoft YaHei"/>
          <w:sz w:val="18"/>
          <w:szCs w:val="18"/>
          <w:color w:val="A8A8A8"/>
          <w:spacing w:val="-1"/>
        </w:rPr>
        <w:t>新型储能助力能源转型</w:t>
      </w:r>
      <w:r>
        <w:rPr>
          <w:rFonts w:ascii="Microsoft YaHei" w:hAnsi="Microsoft YaHei" w:eastAsia="Microsoft YaHei" w:cs="Microsoft YaHei"/>
          <w:sz w:val="18"/>
          <w:szCs w:val="18"/>
          <w:color w:val="A8A8A8"/>
          <w:spacing w:val="23"/>
          <w:w w:val="101"/>
        </w:rPr>
        <w:t xml:space="preserve">  </w:t>
      </w:r>
      <w:r>
        <w:rPr>
          <w:sz w:val="18"/>
          <w:szCs w:val="18"/>
          <w:position w:val="-4"/>
        </w:rPr>
        <w:drawing>
          <wp:inline distT="0" distB="0" distL="0" distR="0">
            <wp:extent cx="6350" cy="130175"/>
            <wp:effectExtent l="0" t="0" r="0" b="0"/>
            <wp:docPr id="148" name="IM 148"/>
            <wp:cNvGraphicFramePr/>
            <a:graphic>
              <a:graphicData uri="http://schemas.openxmlformats.org/drawingml/2006/picture">
                <pic:pic>
                  <pic:nvPicPr>
                    <pic:cNvPr id="148" name="IM 148"/>
                    <pic:cNvPicPr/>
                  </pic:nvPicPr>
                  <pic:blipFill>
                    <a:blip r:embed="rId63"/>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spacing w:val="20"/>
          <w:w w:val="101"/>
        </w:rPr>
        <w:t xml:space="preserve">  </w:t>
      </w:r>
      <w:r>
        <w:rPr>
          <w:rFonts w:ascii="Microsoft YaHei" w:hAnsi="Microsoft YaHei" w:eastAsia="Microsoft YaHei" w:cs="Microsoft YaHei"/>
          <w:sz w:val="18"/>
          <w:szCs w:val="18"/>
          <w:b/>
          <w:bCs/>
          <w:color w:val="A8A8A8"/>
          <w:spacing w:val="-1"/>
        </w:rPr>
        <w:t>18</w:t>
      </w:r>
    </w:p>
    <w:p>
      <w:pPr>
        <w:pStyle w:val="BodyText"/>
        <w:spacing w:line="259" w:lineRule="auto"/>
        <w:rPr/>
      </w:pPr>
      <w:r/>
    </w:p>
    <w:p>
      <w:pPr>
        <w:pStyle w:val="BodyText"/>
        <w:spacing w:line="259" w:lineRule="auto"/>
        <w:rPr/>
      </w:pPr>
      <w:r/>
    </w:p>
    <w:p>
      <w:pPr>
        <w:pStyle w:val="BodyText"/>
        <w:spacing w:line="260" w:lineRule="auto"/>
        <w:rPr/>
      </w:pPr>
      <w:r/>
    </w:p>
    <w:p>
      <w:pPr>
        <w:pStyle w:val="BodyText"/>
        <w:spacing w:line="260" w:lineRule="auto"/>
        <w:rPr/>
      </w:pPr>
      <w:r/>
    </w:p>
    <w:p>
      <w:pPr>
        <w:ind w:left="25" w:right="2997"/>
        <w:spacing w:before="90" w:line="21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在“双碳”</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目标的驱动下</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，能源结构变化、低碳清洁</w:t>
      </w:r>
      <w:r>
        <w:rPr>
          <w:rFonts w:ascii="Microsoft YaHei" w:hAnsi="Microsoft YaHei" w:eastAsia="Microsoft YaHei" w:cs="Microsoft YaHei"/>
          <w:sz w:val="21"/>
          <w:szCs w:val="21"/>
          <w:spacing w:val="2"/>
        </w:rPr>
        <w:t>新能源推广等使得抽水蓄能的重</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要意义日益彰显。2021年9月</w:t>
      </w:r>
      <w:r>
        <w:rPr>
          <w:rFonts w:ascii="Microsoft YaHei" w:hAnsi="Microsoft YaHei" w:eastAsia="Microsoft YaHei" w:cs="Microsoft YaHei"/>
          <w:sz w:val="21"/>
          <w:szCs w:val="21"/>
          <w:spacing w:val="-24"/>
        </w:rPr>
        <w:t xml:space="preserve"> </w:t>
      </w:r>
      <w:r>
        <w:rPr>
          <w:rFonts w:ascii="Microsoft YaHei" w:hAnsi="Microsoft YaHei" w:eastAsia="Microsoft YaHei" w:cs="Microsoft YaHei"/>
          <w:sz w:val="21"/>
          <w:szCs w:val="21"/>
          <w:spacing w:val="4"/>
        </w:rPr>
        <w:t>，</w:t>
      </w:r>
      <w:r>
        <w:rPr>
          <w:rFonts w:ascii="Microsoft YaHei" w:hAnsi="Microsoft YaHei" w:eastAsia="Microsoft YaHei" w:cs="Microsoft YaHei"/>
          <w:sz w:val="21"/>
          <w:szCs w:val="21"/>
          <w:spacing w:val="-38"/>
        </w:rPr>
        <w:t xml:space="preserve"> </w:t>
      </w:r>
      <w:r>
        <w:rPr>
          <w:rFonts w:ascii="Microsoft YaHei" w:hAnsi="Microsoft YaHei" w:eastAsia="Microsoft YaHei" w:cs="Microsoft YaHei"/>
          <w:sz w:val="21"/>
          <w:szCs w:val="21"/>
          <w:spacing w:val="4"/>
        </w:rPr>
        <w:t>国家能源局发布《抽水蓄</w:t>
      </w:r>
      <w:r>
        <w:rPr>
          <w:rFonts w:ascii="Microsoft YaHei" w:hAnsi="Microsoft YaHei" w:eastAsia="Microsoft YaHei" w:cs="Microsoft YaHei"/>
          <w:sz w:val="21"/>
          <w:szCs w:val="21"/>
          <w:spacing w:val="3"/>
        </w:rPr>
        <w:t>能中长期发展规划（2021-</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2035年）》，抽水蓄能被列为“三最”</w:t>
      </w:r>
      <w:r>
        <w:rPr>
          <w:rFonts w:ascii="Microsoft YaHei" w:hAnsi="Microsoft YaHei" w:eastAsia="Microsoft YaHei" w:cs="Microsoft YaHei"/>
          <w:sz w:val="21"/>
          <w:szCs w:val="21"/>
          <w:spacing w:val="-31"/>
        </w:rPr>
        <w:t xml:space="preserve"> </w:t>
      </w:r>
      <w:r>
        <w:rPr>
          <w:rFonts w:ascii="Microsoft YaHei" w:hAnsi="Microsoft YaHei" w:eastAsia="Microsoft YaHei" w:cs="Microsoft YaHei"/>
          <w:sz w:val="13"/>
          <w:szCs w:val="13"/>
          <w:spacing w:val="-1"/>
          <w:position w:val="6"/>
        </w:rPr>
        <w:t>8</w:t>
      </w:r>
      <w:r>
        <w:rPr>
          <w:rFonts w:ascii="Microsoft YaHei" w:hAnsi="Microsoft YaHei" w:eastAsia="Microsoft YaHei" w:cs="Microsoft YaHei"/>
          <w:sz w:val="13"/>
          <w:szCs w:val="13"/>
          <w:spacing w:val="-20"/>
          <w:position w:val="6"/>
        </w:rPr>
        <w:t xml:space="preserve"> </w:t>
      </w:r>
      <w:r>
        <w:rPr>
          <w:rFonts w:ascii="Microsoft YaHei" w:hAnsi="Microsoft YaHei" w:eastAsia="Microsoft YaHei" w:cs="Microsoft YaHei"/>
          <w:sz w:val="21"/>
          <w:szCs w:val="21"/>
          <w:spacing w:val="-1"/>
        </w:rPr>
        <w:t>的储能方式，肯定了抽</w:t>
      </w:r>
      <w:r>
        <w:rPr>
          <w:rFonts w:ascii="Microsoft YaHei" w:hAnsi="Microsoft YaHei" w:eastAsia="Microsoft YaHei" w:cs="Microsoft YaHei"/>
          <w:sz w:val="21"/>
          <w:szCs w:val="21"/>
          <w:spacing w:val="-2"/>
        </w:rPr>
        <w:t>水蓄能在储能领域的重</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要性</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，随后国家系列配套政策相继出台</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，产业投资</w:t>
      </w:r>
      <w:r>
        <w:rPr>
          <w:rFonts w:ascii="Microsoft YaHei" w:hAnsi="Microsoft YaHei" w:eastAsia="Microsoft YaHei" w:cs="Microsoft YaHei"/>
          <w:sz w:val="21"/>
          <w:szCs w:val="21"/>
          <w:spacing w:val="1"/>
        </w:rPr>
        <w:t>热情点燃</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，成为行业发展风口期。</w:t>
      </w:r>
    </w:p>
    <w:p>
      <w:pPr>
        <w:ind w:left="24" w:right="2825" w:firstLine="26"/>
        <w:spacing w:before="3" w:line="21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目前</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，可变速抽水蓄能、大容量超高水头抽水蓄能、抽水蓄能与新能</w:t>
      </w:r>
      <w:r>
        <w:rPr>
          <w:rFonts w:ascii="Microsoft YaHei" w:hAnsi="Microsoft YaHei" w:eastAsia="Microsoft YaHei" w:cs="Microsoft YaHei"/>
          <w:sz w:val="21"/>
          <w:szCs w:val="21"/>
          <w:spacing w:val="1"/>
        </w:rPr>
        <w:t>源联合运行控制、</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海水抽水蓄能以及基于废弃矿洞的抽水蓄能</w:t>
      </w:r>
      <w:r>
        <w:rPr>
          <w:rFonts w:ascii="Microsoft YaHei" w:hAnsi="Microsoft YaHei" w:eastAsia="Microsoft YaHei" w:cs="Microsoft YaHei"/>
          <w:sz w:val="21"/>
          <w:szCs w:val="21"/>
          <w:spacing w:val="3"/>
        </w:rPr>
        <w:t>等技术成为研究热点。2022年4月</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，国家</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发展改革委、</w:t>
      </w:r>
      <w:r>
        <w:rPr>
          <w:rFonts w:ascii="Microsoft YaHei" w:hAnsi="Microsoft YaHei" w:eastAsia="Microsoft YaHei" w:cs="Microsoft YaHei"/>
          <w:sz w:val="21"/>
          <w:szCs w:val="21"/>
          <w:spacing w:val="-37"/>
        </w:rPr>
        <w:t xml:space="preserve"> </w:t>
      </w:r>
      <w:r>
        <w:rPr>
          <w:rFonts w:ascii="Microsoft YaHei" w:hAnsi="Microsoft YaHei" w:eastAsia="Microsoft YaHei" w:cs="Microsoft YaHei"/>
          <w:sz w:val="21"/>
          <w:szCs w:val="21"/>
          <w:spacing w:val="2"/>
        </w:rPr>
        <w:t>国家能源局联合印发通知</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，部署加快“</w:t>
      </w:r>
      <w:r>
        <w:rPr>
          <w:rFonts w:ascii="Microsoft YaHei" w:hAnsi="Microsoft YaHei" w:eastAsia="Microsoft YaHei" w:cs="Microsoft YaHei"/>
          <w:sz w:val="21"/>
          <w:szCs w:val="21"/>
          <w:spacing w:val="-45"/>
        </w:rPr>
        <w:t xml:space="preserve"> </w:t>
      </w:r>
      <w:r>
        <w:rPr>
          <w:rFonts w:ascii="Microsoft YaHei" w:hAnsi="Microsoft YaHei" w:eastAsia="Microsoft YaHei" w:cs="Microsoft YaHei"/>
          <w:sz w:val="21"/>
          <w:szCs w:val="21"/>
          <w:spacing w:val="2"/>
        </w:rPr>
        <w:t>十四五”</w:t>
      </w:r>
      <w:r>
        <w:rPr>
          <w:rFonts w:ascii="Microsoft YaHei" w:hAnsi="Microsoft YaHei" w:eastAsia="Microsoft YaHei" w:cs="Microsoft YaHei"/>
          <w:sz w:val="21"/>
          <w:szCs w:val="21"/>
          <w:spacing w:val="-44"/>
        </w:rPr>
        <w:t xml:space="preserve"> </w:t>
      </w:r>
      <w:r>
        <w:rPr>
          <w:rFonts w:ascii="Microsoft YaHei" w:hAnsi="Microsoft YaHei" w:eastAsia="Microsoft YaHei" w:cs="Microsoft YaHei"/>
          <w:sz w:val="21"/>
          <w:szCs w:val="21"/>
          <w:spacing w:val="2"/>
        </w:rPr>
        <w:t>时期抽水蓄能项目</w:t>
      </w:r>
      <w:r>
        <w:rPr>
          <w:rFonts w:ascii="Microsoft YaHei" w:hAnsi="Microsoft YaHei" w:eastAsia="Microsoft YaHei" w:cs="Microsoft YaHei"/>
          <w:sz w:val="21"/>
          <w:szCs w:val="21"/>
          <w:spacing w:val="1"/>
        </w:rPr>
        <w:t>开发</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建设，切实推进抽水蓄能的规模化发展。</w:t>
      </w:r>
    </w:p>
    <w:p>
      <w:pPr>
        <w:ind w:left="24" w:right="3002" w:hanging="1"/>
        <w:spacing w:before="258" w:line="219"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但抽水蓄能电站的建设受地形因素限制</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，如上下水库需满</w:t>
      </w:r>
      <w:r>
        <w:rPr>
          <w:rFonts w:ascii="Microsoft YaHei" w:hAnsi="Microsoft YaHei" w:eastAsia="Microsoft YaHei" w:cs="Microsoft YaHei"/>
          <w:sz w:val="21"/>
          <w:szCs w:val="21"/>
          <w:spacing w:val="1"/>
        </w:rPr>
        <w:t>足约40-600m的高度差、水</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库需具备一定的容量</w:t>
      </w:r>
      <w:r>
        <w:rPr>
          <w:rFonts w:ascii="Microsoft YaHei" w:hAnsi="Microsoft YaHei" w:eastAsia="Microsoft YaHei" w:cs="Microsoft YaHei"/>
          <w:sz w:val="13"/>
          <w:szCs w:val="13"/>
          <w:spacing w:val="2"/>
          <w:position w:val="6"/>
        </w:rPr>
        <w:t>9 </w:t>
      </w:r>
      <w:r>
        <w:rPr>
          <w:rFonts w:ascii="Microsoft YaHei" w:hAnsi="Microsoft YaHei" w:eastAsia="Microsoft YaHei" w:cs="Microsoft YaHei"/>
          <w:sz w:val="21"/>
          <w:szCs w:val="21"/>
          <w:spacing w:val="2"/>
        </w:rPr>
        <w:t>，且建设周期较长</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，通常需要7年</w:t>
      </w:r>
      <w:r>
        <w:rPr>
          <w:rFonts w:ascii="Microsoft YaHei" w:hAnsi="Microsoft YaHei" w:eastAsia="Microsoft YaHei" w:cs="Microsoft YaHei"/>
          <w:sz w:val="21"/>
          <w:szCs w:val="21"/>
          <w:spacing w:val="1"/>
        </w:rPr>
        <w:t>左右</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，未来随着电化学储能等</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新型储能造价的下降，抽水蓄能在电力系统中的发展空间可能受限。</w:t>
      </w:r>
    </w:p>
    <w:p>
      <w:pPr>
        <w:pStyle w:val="BodyText"/>
        <w:spacing w:line="428" w:lineRule="auto"/>
        <w:rPr/>
      </w:pPr>
      <w:r/>
    </w:p>
    <w:p>
      <w:pPr>
        <w:ind w:left="52" w:right="2999" w:hanging="2"/>
        <w:spacing w:before="154" w:line="172" w:lineRule="auto"/>
        <w:rPr>
          <w:rFonts w:ascii="Microsoft YaHei" w:hAnsi="Microsoft YaHei" w:eastAsia="Microsoft YaHei" w:cs="Microsoft YaHei"/>
          <w:sz w:val="36"/>
          <w:szCs w:val="36"/>
        </w:rPr>
      </w:pPr>
      <w:r>
        <w:rPr>
          <w:rFonts w:ascii="Microsoft YaHei" w:hAnsi="Microsoft YaHei" w:eastAsia="Microsoft YaHei" w:cs="Microsoft YaHei"/>
          <w:sz w:val="36"/>
          <w:szCs w:val="36"/>
          <w:b/>
          <w:bCs/>
          <w:color w:val="00338D"/>
          <w:spacing w:val="-3"/>
        </w:rPr>
        <w:t>新型储能：</w:t>
      </w:r>
      <w:r>
        <w:rPr>
          <w:rFonts w:ascii="Microsoft YaHei" w:hAnsi="Microsoft YaHei" w:eastAsia="Microsoft YaHei" w:cs="Microsoft YaHei"/>
          <w:sz w:val="36"/>
          <w:szCs w:val="36"/>
          <w:b/>
          <w:bCs/>
          <w:color w:val="00338D"/>
          <w:spacing w:val="-53"/>
        </w:rPr>
        <w:t xml:space="preserve"> </w:t>
      </w:r>
      <w:r>
        <w:rPr>
          <w:rFonts w:ascii="Microsoft YaHei" w:hAnsi="Microsoft YaHei" w:eastAsia="Microsoft YaHei" w:cs="Microsoft YaHei"/>
          <w:sz w:val="36"/>
          <w:szCs w:val="36"/>
          <w:color w:val="00338D"/>
          <w:spacing w:val="-3"/>
        </w:rPr>
        <w:t>电化学储能成为产业新动力，未来磷酸</w:t>
      </w:r>
      <w:r>
        <w:rPr>
          <w:rFonts w:ascii="Microsoft YaHei" w:hAnsi="Microsoft YaHei" w:eastAsia="Microsoft YaHei" w:cs="Microsoft YaHei"/>
          <w:sz w:val="36"/>
          <w:szCs w:val="36"/>
          <w:color w:val="00338D"/>
        </w:rPr>
        <w:t xml:space="preserve"> </w:t>
      </w:r>
      <w:r>
        <w:rPr>
          <w:rFonts w:ascii="Microsoft YaHei" w:hAnsi="Microsoft YaHei" w:eastAsia="Microsoft YaHei" w:cs="Microsoft YaHei"/>
          <w:sz w:val="36"/>
          <w:szCs w:val="36"/>
          <w:color w:val="00338D"/>
          <w:spacing w:val="-1"/>
        </w:rPr>
        <w:t>铁锂电池、液流电池等有望进一步打开市场空间</w:t>
      </w:r>
    </w:p>
    <w:p>
      <w:pPr>
        <w:ind w:left="26"/>
        <w:spacing w:before="188" w:line="17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新型储能主要包括电化学储能、热（冷）储能、压缩空气</w:t>
      </w:r>
      <w:r>
        <w:rPr>
          <w:rFonts w:ascii="Microsoft YaHei" w:hAnsi="Microsoft YaHei" w:eastAsia="Microsoft YaHei" w:cs="Microsoft YaHei"/>
          <w:sz w:val="21"/>
          <w:szCs w:val="21"/>
          <w:spacing w:val="3"/>
        </w:rPr>
        <w:t>储能、</w:t>
      </w:r>
      <w:r>
        <w:rPr>
          <w:rFonts w:ascii="Microsoft YaHei" w:hAnsi="Microsoft YaHei" w:eastAsia="Microsoft YaHei" w:cs="Microsoft YaHei"/>
          <w:sz w:val="21"/>
          <w:szCs w:val="21"/>
          <w:spacing w:val="-41"/>
        </w:rPr>
        <w:t xml:space="preserve"> </w:t>
      </w:r>
      <w:r>
        <w:rPr>
          <w:rFonts w:ascii="Microsoft YaHei" w:hAnsi="Microsoft YaHei" w:eastAsia="Microsoft YaHei" w:cs="Microsoft YaHei"/>
          <w:sz w:val="21"/>
          <w:szCs w:val="21"/>
          <w:spacing w:val="3"/>
        </w:rPr>
        <w:t>飞轮储能和氢（氨）</w:t>
      </w:r>
    </w:p>
    <w:p>
      <w:pPr>
        <w:ind w:left="24" w:right="2828" w:hanging="1"/>
        <w:spacing w:before="62" w:line="21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储能，不同新型储能技术内在特性不尽相同，各</w:t>
      </w:r>
      <w:r>
        <w:rPr>
          <w:rFonts w:ascii="Microsoft YaHei" w:hAnsi="Microsoft YaHei" w:eastAsia="Microsoft YaHei" w:cs="Microsoft YaHei"/>
          <w:sz w:val="21"/>
          <w:szCs w:val="21"/>
          <w:spacing w:val="-2"/>
        </w:rPr>
        <w:t>有其优缺点和适用场景（表 1）。其中，</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电化学储能功率范围较广、能量密度高</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，相较其他新型储能技术成熟度</w:t>
      </w:r>
      <w:r>
        <w:rPr>
          <w:rFonts w:ascii="Microsoft YaHei" w:hAnsi="Microsoft YaHei" w:eastAsia="Microsoft YaHei" w:cs="Microsoft YaHei"/>
          <w:sz w:val="21"/>
          <w:szCs w:val="21"/>
          <w:spacing w:val="2"/>
        </w:rPr>
        <w:t>更高</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2"/>
        </w:rPr>
        <w:t>，因此适</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用场景更广泛。</w:t>
      </w:r>
      <w:r>
        <w:rPr>
          <w:rFonts w:ascii="Microsoft YaHei" w:hAnsi="Microsoft YaHei" w:eastAsia="Microsoft YaHei" w:cs="Microsoft YaHei"/>
          <w:sz w:val="21"/>
          <w:szCs w:val="21"/>
          <w:spacing w:val="-31"/>
        </w:rPr>
        <w:t xml:space="preserve"> </w:t>
      </w:r>
      <w:r>
        <w:rPr>
          <w:rFonts w:ascii="Microsoft YaHei" w:hAnsi="Microsoft YaHei" w:eastAsia="Microsoft YaHei" w:cs="Microsoft YaHei"/>
          <w:sz w:val="21"/>
          <w:szCs w:val="21"/>
        </w:rPr>
        <w:t>此外</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rPr>
        <w:t>，相较抽水蓄能来说</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rPr>
        <w:t>，</w:t>
      </w:r>
      <w:r>
        <w:rPr>
          <w:rFonts w:ascii="Microsoft YaHei" w:hAnsi="Microsoft YaHei" w:eastAsia="Microsoft YaHei" w:cs="Microsoft YaHei"/>
          <w:sz w:val="21"/>
          <w:szCs w:val="21"/>
          <w:spacing w:val="-36"/>
        </w:rPr>
        <w:t xml:space="preserve"> </w:t>
      </w:r>
      <w:r>
        <w:rPr>
          <w:rFonts w:ascii="Microsoft YaHei" w:hAnsi="Microsoft YaHei" w:eastAsia="Microsoft YaHei" w:cs="Microsoft YaHei"/>
          <w:sz w:val="21"/>
          <w:szCs w:val="21"/>
        </w:rPr>
        <w:t>电化学储能安装更为便捷、不受区位限制， </w:t>
      </w:r>
      <w:r>
        <w:rPr>
          <w:rFonts w:ascii="Microsoft YaHei" w:hAnsi="Microsoft YaHei" w:eastAsia="Microsoft YaHei" w:cs="Microsoft YaHei"/>
          <w:sz w:val="21"/>
          <w:szCs w:val="21"/>
          <w:spacing w:val="-3"/>
        </w:rPr>
        <w:t>正迎来广阔发展前景。</w:t>
      </w:r>
    </w:p>
    <w:p>
      <w:pPr>
        <w:ind w:left="45"/>
        <w:spacing w:before="291" w:line="190" w:lineRule="auto"/>
        <w:rPr>
          <w:rFonts w:ascii="Microsoft YaHei" w:hAnsi="Microsoft YaHei" w:eastAsia="Microsoft YaHei" w:cs="Microsoft YaHei"/>
          <w:sz w:val="13"/>
          <w:szCs w:val="13"/>
        </w:rPr>
      </w:pPr>
      <w:r>
        <w:rPr>
          <w:rFonts w:ascii="Microsoft YaHei" w:hAnsi="Microsoft YaHei" w:eastAsia="Microsoft YaHei" w:cs="Microsoft YaHei"/>
          <w:sz w:val="21"/>
          <w:szCs w:val="21"/>
          <w:b/>
          <w:bCs/>
          <w:color w:val="00B8F5"/>
        </w:rPr>
        <w:t>表 1 |主要新型储能技术对比</w:t>
      </w:r>
      <w:r>
        <w:rPr>
          <w:rFonts w:ascii="Microsoft YaHei" w:hAnsi="Microsoft YaHei" w:eastAsia="Microsoft YaHei" w:cs="Microsoft YaHei"/>
          <w:sz w:val="13"/>
          <w:szCs w:val="13"/>
          <w:b/>
          <w:bCs/>
          <w:color w:val="00B8F5"/>
          <w:position w:val="5"/>
        </w:rPr>
        <w:t>10</w:t>
      </w:r>
    </w:p>
    <w:p>
      <w:pPr>
        <w:spacing w:line="106" w:lineRule="exact"/>
        <w:rPr/>
      </w:pPr>
      <w:r/>
    </w:p>
    <w:tbl>
      <w:tblPr>
        <w:tblStyle w:val="TableNormal"/>
        <w:tblW w:w="9647" w:type="dxa"/>
        <w:tblInd w:w="10" w:type="dxa"/>
        <w:tblLayout w:type="fixed"/>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
      <w:tblGrid>
        <w:gridCol w:w="1770"/>
        <w:gridCol w:w="1245"/>
        <w:gridCol w:w="1245"/>
        <w:gridCol w:w="1981"/>
        <w:gridCol w:w="1811"/>
        <w:gridCol w:w="1595"/>
      </w:tblGrid>
      <w:tr>
        <w:trPr>
          <w:trHeight w:val="722" w:hRule="atLeast"/>
        </w:trPr>
        <w:tc>
          <w:tcPr>
            <w:shd w:val="clear" w:fill="00B8F5"/>
            <w:tcW w:w="1770" w:type="dxa"/>
            <w:vAlign w:val="top"/>
            <w:tcBorders>
              <w:bottom w:val="single" w:color="FFFFFF" w:sz="24" w:space="0"/>
            </w:tcBorders>
          </w:tcPr>
          <w:p>
            <w:pPr>
              <w:pStyle w:val="TableText"/>
              <w:ind w:left="455"/>
              <w:spacing w:before="247" w:line="178" w:lineRule="auto"/>
              <w:rPr>
                <w:sz w:val="21"/>
                <w:szCs w:val="21"/>
              </w:rPr>
            </w:pPr>
            <w:r>
              <w:rPr>
                <w:sz w:val="21"/>
                <w:szCs w:val="21"/>
                <w:b/>
                <w:bCs/>
                <w:color w:val="FFFFFF"/>
                <w:spacing w:val="-1"/>
              </w:rPr>
              <w:t>技术类型</w:t>
            </w:r>
          </w:p>
        </w:tc>
        <w:tc>
          <w:tcPr>
            <w:shd w:val="clear" w:fill="00B8F5"/>
            <w:tcW w:w="1245" w:type="dxa"/>
            <w:vAlign w:val="top"/>
            <w:tcBorders>
              <w:bottom w:val="single" w:color="FFFFFF" w:sz="24" w:space="0"/>
            </w:tcBorders>
          </w:tcPr>
          <w:p>
            <w:pPr>
              <w:pStyle w:val="TableText"/>
              <w:ind w:left="242" w:right="196" w:hanging="53"/>
              <w:spacing w:before="120" w:line="173" w:lineRule="auto"/>
              <w:rPr>
                <w:sz w:val="21"/>
                <w:szCs w:val="21"/>
              </w:rPr>
            </w:pPr>
            <w:r>
              <w:rPr>
                <w:sz w:val="21"/>
                <w:szCs w:val="21"/>
                <w:b/>
                <w:bCs/>
                <w:color w:val="FFFFFF"/>
                <w:spacing w:val="-1"/>
              </w:rPr>
              <w:t>功率范围</w:t>
            </w:r>
            <w:r>
              <w:rPr>
                <w:sz w:val="21"/>
                <w:szCs w:val="21"/>
                <w:b/>
                <w:bCs/>
                <w:color w:val="FFFFFF"/>
                <w:spacing w:val="1"/>
              </w:rPr>
              <w:t xml:space="preserve"> </w:t>
            </w:r>
            <w:r>
              <w:rPr>
                <w:sz w:val="21"/>
                <w:szCs w:val="21"/>
                <w:b/>
                <w:bCs/>
                <w:color w:val="FFFFFF"/>
                <w:spacing w:val="-21"/>
                <w:w w:val="98"/>
              </w:rPr>
              <w:t>（MW）</w:t>
            </w:r>
          </w:p>
        </w:tc>
        <w:tc>
          <w:tcPr>
            <w:shd w:val="clear" w:fill="00B8F5"/>
            <w:tcW w:w="1245" w:type="dxa"/>
            <w:vAlign w:val="top"/>
            <w:tcBorders>
              <w:bottom w:val="single" w:color="FFFFFF" w:sz="24" w:space="0"/>
            </w:tcBorders>
          </w:tcPr>
          <w:p>
            <w:pPr>
              <w:pStyle w:val="TableText"/>
              <w:ind w:left="78" w:right="78" w:firstLine="66"/>
              <w:spacing w:before="119" w:line="179" w:lineRule="auto"/>
              <w:rPr>
                <w:sz w:val="21"/>
                <w:szCs w:val="21"/>
              </w:rPr>
            </w:pPr>
            <w:r>
              <w:rPr>
                <w:sz w:val="21"/>
                <w:szCs w:val="21"/>
                <w:b/>
                <w:bCs/>
                <w:color w:val="FFFFFF"/>
                <w:spacing w:val="-2"/>
              </w:rPr>
              <w:t>能量密度</w:t>
            </w:r>
            <w:r>
              <w:rPr>
                <w:sz w:val="21"/>
                <w:szCs w:val="21"/>
                <w:b/>
                <w:bCs/>
                <w:color w:val="FFFFFF"/>
              </w:rPr>
              <w:t xml:space="preserve">   </w:t>
            </w:r>
            <w:r>
              <w:rPr>
                <w:sz w:val="21"/>
                <w:szCs w:val="21"/>
                <w:b/>
                <w:bCs/>
                <w:color w:val="FFFFFF"/>
                <w:spacing w:val="-7"/>
                <w:w w:val="96"/>
              </w:rPr>
              <w:t>（瓦时/升）</w:t>
            </w:r>
          </w:p>
        </w:tc>
        <w:tc>
          <w:tcPr>
            <w:shd w:val="clear" w:fill="00B8F5"/>
            <w:tcW w:w="1981" w:type="dxa"/>
            <w:vAlign w:val="top"/>
            <w:tcBorders>
              <w:bottom w:val="single" w:color="FFFFFF" w:sz="24" w:space="0"/>
            </w:tcBorders>
          </w:tcPr>
          <w:p>
            <w:pPr>
              <w:pStyle w:val="TableText"/>
              <w:ind w:left="775"/>
              <w:spacing w:before="247" w:line="178" w:lineRule="auto"/>
              <w:rPr>
                <w:sz w:val="21"/>
                <w:szCs w:val="21"/>
              </w:rPr>
            </w:pPr>
            <w:r>
              <w:rPr>
                <w:sz w:val="21"/>
                <w:szCs w:val="21"/>
                <w:b/>
                <w:bCs/>
                <w:color w:val="FFFFFF"/>
                <w:spacing w:val="-1"/>
              </w:rPr>
              <w:t>优点</w:t>
            </w:r>
          </w:p>
        </w:tc>
        <w:tc>
          <w:tcPr>
            <w:shd w:val="clear" w:fill="00B8F5"/>
            <w:tcW w:w="1811" w:type="dxa"/>
            <w:vAlign w:val="top"/>
            <w:tcBorders>
              <w:bottom w:val="single" w:color="FFFFFF" w:sz="24" w:space="0"/>
            </w:tcBorders>
          </w:tcPr>
          <w:p>
            <w:pPr>
              <w:pStyle w:val="TableText"/>
              <w:ind w:left="691"/>
              <w:spacing w:before="247" w:line="178" w:lineRule="auto"/>
              <w:rPr>
                <w:sz w:val="21"/>
                <w:szCs w:val="21"/>
              </w:rPr>
            </w:pPr>
            <w:r>
              <w:rPr>
                <w:sz w:val="21"/>
                <w:szCs w:val="21"/>
                <w:b/>
                <w:bCs/>
                <w:color w:val="FFFFFF"/>
                <w:spacing w:val="-1"/>
              </w:rPr>
              <w:t>缺点</w:t>
            </w:r>
          </w:p>
        </w:tc>
        <w:tc>
          <w:tcPr>
            <w:shd w:val="clear" w:fill="00B8F5"/>
            <w:tcW w:w="1595" w:type="dxa"/>
            <w:vAlign w:val="top"/>
            <w:tcBorders>
              <w:bottom w:val="single" w:color="FFFFFF" w:sz="24" w:space="0"/>
            </w:tcBorders>
          </w:tcPr>
          <w:p>
            <w:pPr>
              <w:pStyle w:val="TableText"/>
              <w:ind w:left="265"/>
              <w:spacing w:before="244" w:line="181" w:lineRule="auto"/>
              <w:rPr>
                <w:sz w:val="21"/>
                <w:szCs w:val="21"/>
              </w:rPr>
            </w:pPr>
            <w:r>
              <w:rPr>
                <w:sz w:val="21"/>
                <w:szCs w:val="21"/>
                <w:b/>
                <w:bCs/>
                <w:color w:val="FFFFFF"/>
                <w:spacing w:val="-1"/>
              </w:rPr>
              <w:t>技术成熟度</w:t>
            </w:r>
          </w:p>
        </w:tc>
      </w:tr>
      <w:tr>
        <w:trPr>
          <w:trHeight w:val="597" w:hRule="atLeast"/>
        </w:trPr>
        <w:tc>
          <w:tcPr>
            <w:tcW w:w="1770" w:type="dxa"/>
            <w:vAlign w:val="top"/>
            <w:tcBorders>
              <w:right w:val="single" w:color="BFBFBF" w:sz="2" w:space="0"/>
              <w:top w:val="single" w:color="FFFFFF" w:sz="24" w:space="0"/>
            </w:tcBorders>
          </w:tcPr>
          <w:p>
            <w:pPr>
              <w:pStyle w:val="TableText"/>
              <w:ind w:left="371"/>
              <w:spacing w:before="164" w:line="178" w:lineRule="auto"/>
              <w:rPr>
                <w:sz w:val="21"/>
                <w:szCs w:val="21"/>
              </w:rPr>
            </w:pPr>
            <w:r>
              <w:rPr>
                <w:sz w:val="21"/>
                <w:szCs w:val="21"/>
                <w:color w:val="00B8F5"/>
                <w:spacing w:val="-4"/>
              </w:rPr>
              <w:t>电化学储能</w:t>
            </w:r>
          </w:p>
        </w:tc>
        <w:tc>
          <w:tcPr>
            <w:tcW w:w="1245" w:type="dxa"/>
            <w:vAlign w:val="top"/>
            <w:tcBorders>
              <w:left w:val="single" w:color="BFBFBF" w:sz="2" w:space="0"/>
              <w:right w:val="single" w:color="BFBFBF" w:sz="2" w:space="0"/>
              <w:top w:val="single" w:color="FFFFFF" w:sz="24" w:space="0"/>
            </w:tcBorders>
          </w:tcPr>
          <w:p>
            <w:pPr>
              <w:pStyle w:val="TableText"/>
              <w:ind w:left="273"/>
              <w:spacing w:before="186" w:line="171" w:lineRule="auto"/>
              <w:rPr>
                <w:sz w:val="21"/>
                <w:szCs w:val="21"/>
              </w:rPr>
            </w:pPr>
            <w:r>
              <w:rPr>
                <w:sz w:val="21"/>
                <w:szCs w:val="21"/>
                <w:spacing w:val="-8"/>
              </w:rPr>
              <w:t>0.1-100</w:t>
            </w:r>
          </w:p>
        </w:tc>
        <w:tc>
          <w:tcPr>
            <w:tcW w:w="1245" w:type="dxa"/>
            <w:vAlign w:val="top"/>
            <w:tcBorders>
              <w:left w:val="single" w:color="BFBFBF" w:sz="2" w:space="0"/>
              <w:right w:val="single" w:color="BFBFBF" w:sz="2" w:space="0"/>
              <w:top w:val="single" w:color="FFFFFF" w:sz="24" w:space="0"/>
            </w:tcBorders>
          </w:tcPr>
          <w:p>
            <w:pPr>
              <w:pStyle w:val="TableText"/>
              <w:ind w:left="302"/>
              <w:spacing w:before="186" w:line="171" w:lineRule="auto"/>
              <w:rPr>
                <w:sz w:val="21"/>
                <w:szCs w:val="21"/>
              </w:rPr>
            </w:pPr>
            <w:r>
              <w:rPr>
                <w:sz w:val="21"/>
                <w:szCs w:val="21"/>
                <w:spacing w:val="-10"/>
              </w:rPr>
              <w:t>20-400</w:t>
            </w:r>
          </w:p>
        </w:tc>
        <w:tc>
          <w:tcPr>
            <w:tcW w:w="1981" w:type="dxa"/>
            <w:vAlign w:val="top"/>
            <w:tcBorders>
              <w:left w:val="single" w:color="BFBFBF" w:sz="2" w:space="0"/>
              <w:right w:val="single" w:color="BFBFBF" w:sz="2" w:space="0"/>
              <w:top w:val="single" w:color="FFFFFF" w:sz="24" w:space="0"/>
            </w:tcBorders>
          </w:tcPr>
          <w:p>
            <w:pPr>
              <w:pStyle w:val="TableText"/>
              <w:ind w:left="112" w:right="815" w:hanging="2"/>
              <w:spacing w:before="38" w:line="173" w:lineRule="auto"/>
              <w:rPr>
                <w:sz w:val="21"/>
                <w:szCs w:val="21"/>
              </w:rPr>
            </w:pPr>
            <w:r>
              <w:rPr>
                <w:sz w:val="21"/>
                <w:szCs w:val="21"/>
                <w:spacing w:val="-1"/>
              </w:rPr>
              <w:t>性价比较高</w:t>
            </w:r>
            <w:r>
              <w:rPr>
                <w:sz w:val="21"/>
                <w:szCs w:val="21"/>
                <w:spacing w:val="3"/>
              </w:rPr>
              <w:t xml:space="preserve"> </w:t>
            </w:r>
            <w:r>
              <w:rPr>
                <w:sz w:val="21"/>
                <w:szCs w:val="21"/>
                <w:spacing w:val="-1"/>
              </w:rPr>
              <w:t>无区域限制</w:t>
            </w:r>
          </w:p>
        </w:tc>
        <w:tc>
          <w:tcPr>
            <w:tcW w:w="1811" w:type="dxa"/>
            <w:vAlign w:val="top"/>
            <w:tcBorders>
              <w:left w:val="single" w:color="BFBFBF" w:sz="2" w:space="0"/>
              <w:right w:val="single" w:color="BFBFBF" w:sz="2" w:space="0"/>
              <w:top w:val="single" w:color="FFFFFF" w:sz="24" w:space="0"/>
            </w:tcBorders>
          </w:tcPr>
          <w:p>
            <w:pPr>
              <w:pStyle w:val="TableText"/>
              <w:ind w:left="116" w:right="852" w:firstLine="6"/>
              <w:spacing w:before="39" w:line="173" w:lineRule="auto"/>
              <w:rPr>
                <w:sz w:val="21"/>
                <w:szCs w:val="21"/>
              </w:rPr>
            </w:pPr>
            <w:r>
              <w:rPr>
                <w:sz w:val="21"/>
                <w:szCs w:val="21"/>
                <w:spacing w:val="-3"/>
              </w:rPr>
              <w:t>安全隐患</w:t>
            </w:r>
            <w:r>
              <w:rPr>
                <w:sz w:val="21"/>
                <w:szCs w:val="21"/>
              </w:rPr>
              <w:t xml:space="preserve"> </w:t>
            </w:r>
            <w:r>
              <w:rPr>
                <w:sz w:val="21"/>
                <w:szCs w:val="21"/>
                <w:spacing w:val="-1"/>
              </w:rPr>
              <w:t>环保问题</w:t>
            </w:r>
          </w:p>
        </w:tc>
        <w:tc>
          <w:tcPr>
            <w:tcW w:w="1595" w:type="dxa"/>
            <w:vAlign w:val="top"/>
            <w:tcBorders>
              <w:left w:val="single" w:color="BFBFBF" w:sz="2" w:space="0"/>
              <w:top w:val="single" w:color="FFFFFF" w:sz="24" w:space="0"/>
            </w:tcBorders>
          </w:tcPr>
          <w:p>
            <w:pPr>
              <w:pStyle w:val="TableText"/>
              <w:ind w:left="126"/>
              <w:spacing w:before="165" w:line="177" w:lineRule="auto"/>
              <w:rPr>
                <w:sz w:val="21"/>
                <w:szCs w:val="21"/>
              </w:rPr>
            </w:pPr>
            <w:r>
              <w:rPr>
                <w:sz w:val="21"/>
                <w:szCs w:val="21"/>
                <w:spacing w:val="-3"/>
              </w:rPr>
              <w:t>商业化</w:t>
            </w:r>
          </w:p>
        </w:tc>
      </w:tr>
      <w:tr>
        <w:trPr>
          <w:trHeight w:val="637" w:hRule="atLeast"/>
        </w:trPr>
        <w:tc>
          <w:tcPr>
            <w:shd w:val="clear" w:fill="F1F1F1"/>
            <w:tcW w:w="1770" w:type="dxa"/>
            <w:vAlign w:val="top"/>
            <w:tcBorders>
              <w:right w:val="single" w:color="BFBFBF" w:sz="2" w:space="0"/>
            </w:tcBorders>
          </w:tcPr>
          <w:p>
            <w:pPr>
              <w:pStyle w:val="TableText"/>
              <w:ind w:left="248"/>
              <w:spacing w:before="206" w:line="176" w:lineRule="auto"/>
              <w:rPr>
                <w:sz w:val="21"/>
                <w:szCs w:val="21"/>
              </w:rPr>
            </w:pPr>
            <w:r>
              <w:rPr>
                <w:sz w:val="21"/>
                <w:szCs w:val="21"/>
                <w:color w:val="00B8F5"/>
                <w:spacing w:val="-1"/>
              </w:rPr>
              <w:t>热（冷）储能</w:t>
            </w:r>
          </w:p>
        </w:tc>
        <w:tc>
          <w:tcPr>
            <w:shd w:val="clear" w:fill="F1F1F1"/>
            <w:tcW w:w="1245" w:type="dxa"/>
            <w:vAlign w:val="top"/>
            <w:tcBorders>
              <w:left w:val="single" w:color="BFBFBF" w:sz="2" w:space="0"/>
              <w:right w:val="single" w:color="BFBFBF" w:sz="2" w:space="0"/>
            </w:tcBorders>
          </w:tcPr>
          <w:p>
            <w:pPr>
              <w:pStyle w:val="TableText"/>
              <w:ind w:left="367"/>
              <w:spacing w:before="230" w:line="171" w:lineRule="auto"/>
              <w:rPr>
                <w:sz w:val="21"/>
                <w:szCs w:val="21"/>
              </w:rPr>
            </w:pPr>
            <w:r>
              <w:rPr>
                <w:sz w:val="21"/>
                <w:szCs w:val="21"/>
                <w:spacing w:val="-12"/>
              </w:rPr>
              <w:t>1-300</w:t>
            </w:r>
          </w:p>
        </w:tc>
        <w:tc>
          <w:tcPr>
            <w:shd w:val="clear" w:fill="F1F1F1"/>
            <w:tcW w:w="1245" w:type="dxa"/>
            <w:vAlign w:val="top"/>
            <w:tcBorders>
              <w:left w:val="single" w:color="BFBFBF" w:sz="2" w:space="0"/>
              <w:right w:val="single" w:color="BFBFBF" w:sz="2" w:space="0"/>
            </w:tcBorders>
          </w:tcPr>
          <w:p>
            <w:pPr>
              <w:pStyle w:val="TableText"/>
              <w:ind w:left="304"/>
              <w:spacing w:before="230" w:line="171" w:lineRule="auto"/>
              <w:rPr>
                <w:sz w:val="21"/>
                <w:szCs w:val="21"/>
              </w:rPr>
            </w:pPr>
            <w:r>
              <w:rPr>
                <w:sz w:val="21"/>
                <w:szCs w:val="21"/>
                <w:spacing w:val="-10"/>
              </w:rPr>
              <w:t>70-210</w:t>
            </w:r>
          </w:p>
        </w:tc>
        <w:tc>
          <w:tcPr>
            <w:shd w:val="clear" w:fill="F1F1F1"/>
            <w:tcW w:w="1981" w:type="dxa"/>
            <w:vAlign w:val="top"/>
            <w:tcBorders>
              <w:left w:val="single" w:color="BFBFBF" w:sz="2" w:space="0"/>
              <w:right w:val="single" w:color="BFBFBF" w:sz="2" w:space="0"/>
            </w:tcBorders>
          </w:tcPr>
          <w:p>
            <w:pPr>
              <w:pStyle w:val="TableText"/>
              <w:ind w:left="118" w:right="815" w:hanging="5"/>
              <w:spacing w:before="83" w:line="173" w:lineRule="auto"/>
              <w:rPr>
                <w:sz w:val="21"/>
                <w:szCs w:val="21"/>
              </w:rPr>
            </w:pPr>
            <w:r>
              <w:rPr>
                <w:sz w:val="21"/>
                <w:szCs w:val="21"/>
                <w:spacing w:val="-1"/>
              </w:rPr>
              <w:t>转换效率高</w:t>
            </w:r>
            <w:r>
              <w:rPr>
                <w:sz w:val="21"/>
                <w:szCs w:val="21"/>
              </w:rPr>
              <w:t xml:space="preserve"> </w:t>
            </w:r>
            <w:r>
              <w:rPr>
                <w:sz w:val="21"/>
                <w:szCs w:val="21"/>
                <w:spacing w:val="-2"/>
              </w:rPr>
              <w:t>安全性高</w:t>
            </w:r>
          </w:p>
        </w:tc>
        <w:tc>
          <w:tcPr>
            <w:shd w:val="clear" w:fill="F1F1F1"/>
            <w:tcW w:w="1811" w:type="dxa"/>
            <w:vAlign w:val="top"/>
            <w:tcBorders>
              <w:left w:val="single" w:color="BFBFBF" w:sz="2" w:space="0"/>
              <w:right w:val="single" w:color="BFBFBF" w:sz="2" w:space="0"/>
            </w:tcBorders>
          </w:tcPr>
          <w:p>
            <w:pPr>
              <w:pStyle w:val="TableText"/>
              <w:ind w:left="117"/>
              <w:spacing w:before="84" w:line="170" w:lineRule="auto"/>
              <w:rPr>
                <w:sz w:val="21"/>
                <w:szCs w:val="21"/>
              </w:rPr>
            </w:pPr>
            <w:r>
              <w:rPr>
                <w:sz w:val="21"/>
                <w:szCs w:val="21"/>
                <w:spacing w:val="-2"/>
              </w:rPr>
              <w:t>成本高</w:t>
            </w:r>
          </w:p>
          <w:p>
            <w:pPr>
              <w:pStyle w:val="TableText"/>
              <w:ind w:left="120"/>
              <w:spacing w:line="176" w:lineRule="auto"/>
              <w:rPr>
                <w:sz w:val="21"/>
                <w:szCs w:val="21"/>
              </w:rPr>
            </w:pPr>
            <w:r>
              <w:rPr>
                <w:sz w:val="21"/>
                <w:szCs w:val="21"/>
                <w:spacing w:val="-2"/>
              </w:rPr>
              <w:t>可靠性低</w:t>
            </w:r>
          </w:p>
        </w:tc>
        <w:tc>
          <w:tcPr>
            <w:shd w:val="clear" w:fill="F1F1F1"/>
            <w:tcW w:w="1595" w:type="dxa"/>
            <w:vAlign w:val="top"/>
            <w:tcBorders>
              <w:left w:val="single" w:color="BFBFBF" w:sz="2" w:space="0"/>
            </w:tcBorders>
          </w:tcPr>
          <w:p>
            <w:pPr>
              <w:pStyle w:val="TableText"/>
              <w:ind w:left="120"/>
              <w:spacing w:before="210" w:line="177" w:lineRule="auto"/>
              <w:rPr>
                <w:sz w:val="21"/>
                <w:szCs w:val="21"/>
              </w:rPr>
            </w:pPr>
            <w:r>
              <w:rPr>
                <w:sz w:val="21"/>
                <w:szCs w:val="21"/>
                <w:spacing w:val="-1"/>
              </w:rPr>
              <w:t>趋近成熟</w:t>
            </w:r>
          </w:p>
        </w:tc>
      </w:tr>
      <w:tr>
        <w:trPr>
          <w:trHeight w:val="855" w:hRule="atLeast"/>
        </w:trPr>
        <w:tc>
          <w:tcPr>
            <w:tcW w:w="1770" w:type="dxa"/>
            <w:vAlign w:val="top"/>
            <w:tcBorders>
              <w:right w:val="single" w:color="BFBFBF" w:sz="2" w:space="0"/>
            </w:tcBorders>
          </w:tcPr>
          <w:p>
            <w:pPr>
              <w:pStyle w:val="TableText"/>
              <w:ind w:left="245"/>
              <w:spacing w:before="324" w:line="177" w:lineRule="auto"/>
              <w:rPr>
                <w:sz w:val="21"/>
                <w:szCs w:val="21"/>
              </w:rPr>
            </w:pPr>
            <w:r>
              <w:rPr>
                <w:sz w:val="21"/>
                <w:szCs w:val="21"/>
                <w:color w:val="00B8F5"/>
                <w:spacing w:val="-1"/>
              </w:rPr>
              <w:t>压缩空气储能</w:t>
            </w:r>
          </w:p>
        </w:tc>
        <w:tc>
          <w:tcPr>
            <w:tcW w:w="1245" w:type="dxa"/>
            <w:vAlign w:val="top"/>
            <w:tcBorders>
              <w:left w:val="single" w:color="BFBFBF" w:sz="2" w:space="0"/>
              <w:right w:val="single" w:color="BFBFBF" w:sz="2" w:space="0"/>
            </w:tcBorders>
          </w:tcPr>
          <w:p>
            <w:pPr>
              <w:spacing w:line="253" w:lineRule="auto"/>
              <w:rPr>
                <w:rFonts w:ascii="Arial"/>
                <w:sz w:val="21"/>
              </w:rPr>
            </w:pPr>
            <w:r/>
          </w:p>
          <w:p>
            <w:pPr>
              <w:pStyle w:val="TableText"/>
              <w:ind w:left="223"/>
              <w:spacing w:before="90" w:line="178" w:lineRule="auto"/>
              <w:rPr>
                <w:sz w:val="21"/>
                <w:szCs w:val="21"/>
              </w:rPr>
            </w:pPr>
            <w:r>
              <w:rPr>
                <w:sz w:val="21"/>
                <w:szCs w:val="21"/>
                <w:spacing w:val="-9"/>
              </w:rPr>
              <w:t>10-1,000</w:t>
            </w:r>
          </w:p>
        </w:tc>
        <w:tc>
          <w:tcPr>
            <w:tcW w:w="1245" w:type="dxa"/>
            <w:vAlign w:val="top"/>
            <w:tcBorders>
              <w:left w:val="single" w:color="BFBFBF" w:sz="2" w:space="0"/>
              <w:right w:val="single" w:color="BFBFBF" w:sz="2" w:space="0"/>
            </w:tcBorders>
          </w:tcPr>
          <w:p>
            <w:pPr>
              <w:spacing w:line="252" w:lineRule="auto"/>
              <w:rPr>
                <w:rFonts w:ascii="Arial"/>
                <w:sz w:val="21"/>
              </w:rPr>
            </w:pPr>
            <w:r/>
          </w:p>
          <w:p>
            <w:pPr>
              <w:pStyle w:val="TableText"/>
              <w:ind w:left="475"/>
              <w:spacing w:before="90" w:line="171" w:lineRule="auto"/>
              <w:rPr>
                <w:sz w:val="21"/>
                <w:szCs w:val="21"/>
              </w:rPr>
            </w:pPr>
            <w:r>
              <w:rPr>
                <w:sz w:val="21"/>
                <w:szCs w:val="21"/>
                <w:spacing w:val="-12"/>
              </w:rPr>
              <w:t>2-6</w:t>
            </w:r>
          </w:p>
        </w:tc>
        <w:tc>
          <w:tcPr>
            <w:tcW w:w="1981" w:type="dxa"/>
            <w:vAlign w:val="top"/>
            <w:tcBorders>
              <w:left w:val="single" w:color="BFBFBF" w:sz="2" w:space="0"/>
              <w:right w:val="single" w:color="BFBFBF" w:sz="2" w:space="0"/>
            </w:tcBorders>
          </w:tcPr>
          <w:p>
            <w:pPr>
              <w:pStyle w:val="TableText"/>
              <w:ind w:left="112" w:right="1238"/>
              <w:spacing w:before="197" w:line="173" w:lineRule="auto"/>
              <w:rPr>
                <w:sz w:val="21"/>
                <w:szCs w:val="21"/>
              </w:rPr>
            </w:pPr>
            <w:r>
              <w:rPr>
                <w:sz w:val="21"/>
                <w:szCs w:val="21"/>
                <w:spacing w:val="-2"/>
              </w:rPr>
              <w:t>容量大</w:t>
            </w:r>
            <w:r>
              <w:rPr>
                <w:sz w:val="21"/>
                <w:szCs w:val="21"/>
              </w:rPr>
              <w:t xml:space="preserve"> </w:t>
            </w:r>
            <w:r>
              <w:rPr>
                <w:sz w:val="21"/>
                <w:szCs w:val="21"/>
                <w:spacing w:val="-2"/>
              </w:rPr>
              <w:t>寿命长</w:t>
            </w:r>
          </w:p>
        </w:tc>
        <w:tc>
          <w:tcPr>
            <w:tcW w:w="1811" w:type="dxa"/>
            <w:vAlign w:val="top"/>
            <w:tcBorders>
              <w:left w:val="single" w:color="BFBFBF" w:sz="2" w:space="0"/>
              <w:right w:val="single" w:color="BFBFBF" w:sz="2" w:space="0"/>
            </w:tcBorders>
          </w:tcPr>
          <w:p>
            <w:pPr>
              <w:pStyle w:val="TableText"/>
              <w:ind w:left="124"/>
              <w:spacing w:before="71" w:line="171" w:lineRule="auto"/>
              <w:rPr>
                <w:sz w:val="21"/>
                <w:szCs w:val="21"/>
              </w:rPr>
            </w:pPr>
            <w:r>
              <w:rPr>
                <w:sz w:val="21"/>
                <w:szCs w:val="21"/>
                <w:spacing w:val="-3"/>
              </w:rPr>
              <w:t>响应慢</w:t>
            </w:r>
          </w:p>
          <w:p>
            <w:pPr>
              <w:pStyle w:val="TableText"/>
              <w:ind w:left="121" w:right="641" w:hanging="4"/>
              <w:spacing w:line="171" w:lineRule="auto"/>
              <w:rPr>
                <w:sz w:val="21"/>
                <w:szCs w:val="21"/>
              </w:rPr>
            </w:pPr>
            <w:r>
              <w:rPr>
                <w:sz w:val="21"/>
                <w:szCs w:val="21"/>
                <w:spacing w:val="-1"/>
              </w:rPr>
              <w:t>有区域限制</w:t>
            </w:r>
            <w:r>
              <w:rPr>
                <w:sz w:val="21"/>
                <w:szCs w:val="21"/>
              </w:rPr>
              <w:t xml:space="preserve"> </w:t>
            </w:r>
            <w:r>
              <w:rPr>
                <w:sz w:val="21"/>
                <w:szCs w:val="21"/>
                <w:spacing w:val="-2"/>
              </w:rPr>
              <w:t>能量损耗大</w:t>
            </w:r>
          </w:p>
        </w:tc>
        <w:tc>
          <w:tcPr>
            <w:tcW w:w="1595" w:type="dxa"/>
            <w:vAlign w:val="top"/>
            <w:tcBorders>
              <w:left w:val="single" w:color="BFBFBF" w:sz="2" w:space="0"/>
            </w:tcBorders>
          </w:tcPr>
          <w:p>
            <w:pPr>
              <w:pStyle w:val="TableText"/>
              <w:ind w:left="120"/>
              <w:spacing w:before="324" w:line="177" w:lineRule="auto"/>
              <w:rPr>
                <w:sz w:val="21"/>
                <w:szCs w:val="21"/>
              </w:rPr>
            </w:pPr>
            <w:r>
              <w:rPr>
                <w:sz w:val="21"/>
                <w:szCs w:val="21"/>
                <w:spacing w:val="-2"/>
              </w:rPr>
              <w:t>成熟</w:t>
            </w:r>
          </w:p>
        </w:tc>
      </w:tr>
      <w:tr>
        <w:trPr>
          <w:trHeight w:val="637" w:hRule="atLeast"/>
        </w:trPr>
        <w:tc>
          <w:tcPr>
            <w:shd w:val="clear" w:fill="F1F1F1"/>
            <w:tcW w:w="1770" w:type="dxa"/>
            <w:vAlign w:val="top"/>
            <w:tcBorders>
              <w:right w:val="single" w:color="BFBFBF" w:sz="2" w:space="0"/>
            </w:tcBorders>
          </w:tcPr>
          <w:p>
            <w:pPr>
              <w:pStyle w:val="TableText"/>
              <w:ind w:left="464"/>
              <w:spacing w:before="220" w:line="176" w:lineRule="auto"/>
              <w:rPr>
                <w:sz w:val="21"/>
                <w:szCs w:val="21"/>
              </w:rPr>
            </w:pPr>
            <w:r>
              <w:rPr>
                <w:sz w:val="21"/>
                <w:szCs w:val="21"/>
                <w:color w:val="00B8F5"/>
                <w:spacing w:val="-2"/>
              </w:rPr>
              <w:t>飞轮储能</w:t>
            </w:r>
          </w:p>
        </w:tc>
        <w:tc>
          <w:tcPr>
            <w:shd w:val="clear" w:fill="F1F1F1"/>
            <w:tcW w:w="1245" w:type="dxa"/>
            <w:vAlign w:val="top"/>
            <w:tcBorders>
              <w:left w:val="single" w:color="BFBFBF" w:sz="2" w:space="0"/>
              <w:right w:val="single" w:color="BFBFBF" w:sz="2" w:space="0"/>
            </w:tcBorders>
          </w:tcPr>
          <w:p>
            <w:pPr>
              <w:pStyle w:val="TableText"/>
              <w:ind w:left="215"/>
              <w:spacing w:before="240" w:line="171" w:lineRule="auto"/>
              <w:rPr>
                <w:sz w:val="21"/>
                <w:szCs w:val="21"/>
              </w:rPr>
            </w:pPr>
            <w:r>
              <w:rPr>
                <w:sz w:val="21"/>
                <w:szCs w:val="21"/>
                <w:spacing w:val="-8"/>
              </w:rPr>
              <w:t>0.001-20</w:t>
            </w:r>
          </w:p>
        </w:tc>
        <w:tc>
          <w:tcPr>
            <w:shd w:val="clear" w:fill="F1F1F1"/>
            <w:tcW w:w="1245" w:type="dxa"/>
            <w:vAlign w:val="top"/>
            <w:tcBorders>
              <w:left w:val="single" w:color="BFBFBF" w:sz="2" w:space="0"/>
              <w:right w:val="single" w:color="BFBFBF" w:sz="2" w:space="0"/>
            </w:tcBorders>
          </w:tcPr>
          <w:p>
            <w:pPr>
              <w:pStyle w:val="TableText"/>
              <w:ind w:left="360"/>
              <w:spacing w:before="240" w:line="171" w:lineRule="auto"/>
              <w:rPr>
                <w:sz w:val="21"/>
                <w:szCs w:val="21"/>
              </w:rPr>
            </w:pPr>
            <w:r>
              <w:rPr>
                <w:sz w:val="21"/>
                <w:szCs w:val="21"/>
                <w:spacing w:val="-10"/>
              </w:rPr>
              <w:t>20-80</w:t>
            </w:r>
          </w:p>
        </w:tc>
        <w:tc>
          <w:tcPr>
            <w:shd w:val="clear" w:fill="F1F1F1"/>
            <w:tcW w:w="1981" w:type="dxa"/>
            <w:vAlign w:val="top"/>
            <w:tcBorders>
              <w:left w:val="single" w:color="BFBFBF" w:sz="2" w:space="0"/>
              <w:right w:val="single" w:color="BFBFBF" w:sz="2" w:space="0"/>
            </w:tcBorders>
          </w:tcPr>
          <w:p>
            <w:pPr>
              <w:pStyle w:val="TableText"/>
              <w:ind w:left="120"/>
              <w:spacing w:before="219" w:line="177" w:lineRule="auto"/>
              <w:rPr>
                <w:sz w:val="21"/>
                <w:szCs w:val="21"/>
              </w:rPr>
            </w:pPr>
            <w:r>
              <w:rPr>
                <w:sz w:val="21"/>
                <w:szCs w:val="21"/>
                <w:spacing w:val="-1"/>
              </w:rPr>
              <w:t>瞬时功率大寿命长</w:t>
            </w:r>
          </w:p>
        </w:tc>
        <w:tc>
          <w:tcPr>
            <w:shd w:val="clear" w:fill="F1F1F1"/>
            <w:tcW w:w="1811" w:type="dxa"/>
            <w:vAlign w:val="top"/>
            <w:tcBorders>
              <w:left w:val="single" w:color="BFBFBF" w:sz="2" w:space="0"/>
              <w:right w:val="single" w:color="BFBFBF" w:sz="2" w:space="0"/>
            </w:tcBorders>
          </w:tcPr>
          <w:p>
            <w:pPr>
              <w:pStyle w:val="TableText"/>
              <w:ind w:left="142" w:right="641" w:hanging="28"/>
              <w:spacing w:before="96" w:line="172" w:lineRule="auto"/>
              <w:rPr>
                <w:sz w:val="21"/>
                <w:szCs w:val="21"/>
              </w:rPr>
            </w:pPr>
            <w:r>
              <w:rPr>
                <w:sz w:val="21"/>
                <w:szCs w:val="21"/>
                <w:spacing w:val="-1"/>
              </w:rPr>
              <w:t>放电时间短</w:t>
            </w:r>
            <w:r>
              <w:rPr>
                <w:sz w:val="21"/>
                <w:szCs w:val="21"/>
                <w:spacing w:val="3"/>
              </w:rPr>
              <w:t xml:space="preserve"> </w:t>
            </w:r>
            <w:r>
              <w:rPr>
                <w:sz w:val="21"/>
                <w:szCs w:val="21"/>
                <w:spacing w:val="-6"/>
              </w:rPr>
              <w:t>自放电率高</w:t>
            </w:r>
          </w:p>
        </w:tc>
        <w:tc>
          <w:tcPr>
            <w:shd w:val="clear" w:fill="F1F1F1"/>
            <w:tcW w:w="1595" w:type="dxa"/>
            <w:vAlign w:val="top"/>
            <w:tcBorders>
              <w:left w:val="single" w:color="BFBFBF" w:sz="2" w:space="0"/>
            </w:tcBorders>
          </w:tcPr>
          <w:p>
            <w:pPr>
              <w:pStyle w:val="TableText"/>
              <w:ind w:left="126"/>
              <w:spacing w:before="221" w:line="176" w:lineRule="auto"/>
              <w:rPr>
                <w:sz w:val="21"/>
                <w:szCs w:val="21"/>
              </w:rPr>
            </w:pPr>
            <w:r>
              <w:rPr>
                <w:sz w:val="21"/>
                <w:szCs w:val="21"/>
                <w:spacing w:val="-2"/>
              </w:rPr>
              <w:t>商业化早期</w:t>
            </w:r>
          </w:p>
        </w:tc>
      </w:tr>
      <w:tr>
        <w:trPr>
          <w:trHeight w:val="980" w:hRule="atLeast"/>
        </w:trPr>
        <w:tc>
          <w:tcPr>
            <w:tcW w:w="1770" w:type="dxa"/>
            <w:vAlign w:val="top"/>
            <w:tcBorders>
              <w:right w:val="single" w:color="BFBFBF" w:sz="2" w:space="0"/>
              <w:bottom w:val="single" w:color="00B8F5" w:sz="12" w:space="0"/>
            </w:tcBorders>
          </w:tcPr>
          <w:p>
            <w:pPr>
              <w:spacing w:line="295" w:lineRule="auto"/>
              <w:rPr>
                <w:rFonts w:ascii="Arial"/>
                <w:sz w:val="21"/>
              </w:rPr>
            </w:pPr>
            <w:r/>
          </w:p>
          <w:p>
            <w:pPr>
              <w:pStyle w:val="TableText"/>
              <w:ind w:left="251"/>
              <w:spacing w:before="90" w:line="176" w:lineRule="auto"/>
              <w:rPr>
                <w:sz w:val="21"/>
                <w:szCs w:val="21"/>
              </w:rPr>
            </w:pPr>
            <w:r>
              <w:rPr>
                <w:sz w:val="21"/>
                <w:szCs w:val="21"/>
                <w:color w:val="00B8F5"/>
                <w:spacing w:val="-1"/>
              </w:rPr>
              <w:t>氢（氨）储能</w:t>
            </w:r>
          </w:p>
        </w:tc>
        <w:tc>
          <w:tcPr>
            <w:tcW w:w="1245" w:type="dxa"/>
            <w:vAlign w:val="top"/>
            <w:tcBorders>
              <w:left w:val="single" w:color="BFBFBF" w:sz="2" w:space="0"/>
              <w:right w:val="single" w:color="BFBFBF" w:sz="2" w:space="0"/>
              <w:bottom w:val="single" w:color="00B8F5" w:sz="12" w:space="0"/>
            </w:tcBorders>
          </w:tcPr>
          <w:p>
            <w:pPr>
              <w:spacing w:line="318" w:lineRule="auto"/>
              <w:rPr>
                <w:rFonts w:ascii="Arial"/>
                <w:sz w:val="21"/>
              </w:rPr>
            </w:pPr>
            <w:r/>
          </w:p>
          <w:p>
            <w:pPr>
              <w:pStyle w:val="TableText"/>
              <w:ind w:left="128"/>
              <w:spacing w:before="90" w:line="178" w:lineRule="auto"/>
              <w:rPr>
                <w:sz w:val="21"/>
                <w:szCs w:val="21"/>
              </w:rPr>
            </w:pPr>
            <w:r>
              <w:rPr>
                <w:sz w:val="21"/>
                <w:szCs w:val="21"/>
                <w:spacing w:val="-7"/>
              </w:rPr>
              <w:t>0.01-1,000</w:t>
            </w:r>
          </w:p>
        </w:tc>
        <w:tc>
          <w:tcPr>
            <w:tcW w:w="1245" w:type="dxa"/>
            <w:vAlign w:val="top"/>
            <w:tcBorders>
              <w:left w:val="single" w:color="BFBFBF" w:sz="2" w:space="0"/>
              <w:right w:val="single" w:color="BFBFBF" w:sz="2" w:space="0"/>
              <w:bottom w:val="single" w:color="00B8F5" w:sz="12" w:space="0"/>
            </w:tcBorders>
          </w:tcPr>
          <w:p>
            <w:pPr>
              <w:spacing w:line="318" w:lineRule="auto"/>
              <w:rPr>
                <w:rFonts w:ascii="Arial"/>
                <w:sz w:val="21"/>
              </w:rPr>
            </w:pPr>
            <w:r/>
          </w:p>
          <w:p>
            <w:pPr>
              <w:pStyle w:val="TableText"/>
              <w:ind w:left="454"/>
              <w:spacing w:before="90" w:line="171" w:lineRule="auto"/>
              <w:rPr>
                <w:sz w:val="21"/>
                <w:szCs w:val="21"/>
              </w:rPr>
            </w:pPr>
            <w:r>
              <w:rPr>
                <w:sz w:val="21"/>
                <w:szCs w:val="21"/>
                <w:spacing w:val="-9"/>
              </w:rPr>
              <w:t>600</w:t>
            </w:r>
          </w:p>
        </w:tc>
        <w:tc>
          <w:tcPr>
            <w:tcW w:w="1981" w:type="dxa"/>
            <w:vAlign w:val="top"/>
            <w:tcBorders>
              <w:left w:val="single" w:color="BFBFBF" w:sz="2" w:space="0"/>
              <w:right w:val="single" w:color="BFBFBF" w:sz="2" w:space="0"/>
              <w:bottom w:val="single" w:color="00B8F5" w:sz="12" w:space="0"/>
            </w:tcBorders>
          </w:tcPr>
          <w:p>
            <w:pPr>
              <w:pStyle w:val="TableText"/>
              <w:ind w:left="112" w:right="393" w:hanging="3"/>
              <w:spacing w:before="139" w:line="167" w:lineRule="auto"/>
              <w:rPr>
                <w:sz w:val="21"/>
                <w:szCs w:val="21"/>
              </w:rPr>
            </w:pPr>
            <w:r>
              <w:rPr>
                <w:sz w:val="21"/>
                <w:szCs w:val="21"/>
              </w:rPr>
              <w:t>储量可达太瓦级</w:t>
            </w:r>
            <w:r>
              <w:rPr>
                <w:sz w:val="21"/>
                <w:szCs w:val="21"/>
                <w:spacing w:val="1"/>
              </w:rPr>
              <w:t xml:space="preserve"> </w:t>
            </w:r>
            <w:r>
              <w:rPr>
                <w:sz w:val="21"/>
                <w:szCs w:val="21"/>
                <w:spacing w:val="-1"/>
              </w:rPr>
              <w:t>远距离运输</w:t>
            </w:r>
          </w:p>
          <w:p>
            <w:pPr>
              <w:pStyle w:val="TableText"/>
              <w:ind w:left="113"/>
              <w:spacing w:before="1" w:line="176" w:lineRule="auto"/>
              <w:rPr>
                <w:sz w:val="21"/>
                <w:szCs w:val="21"/>
              </w:rPr>
            </w:pPr>
            <w:r>
              <w:rPr>
                <w:sz w:val="21"/>
                <w:szCs w:val="21"/>
                <w:spacing w:val="-2"/>
              </w:rPr>
              <w:t>寿命长</w:t>
            </w:r>
          </w:p>
        </w:tc>
        <w:tc>
          <w:tcPr>
            <w:tcW w:w="1811" w:type="dxa"/>
            <w:vAlign w:val="top"/>
            <w:tcBorders>
              <w:left w:val="single" w:color="BFBFBF" w:sz="2" w:space="0"/>
              <w:right w:val="single" w:color="BFBFBF" w:sz="2" w:space="0"/>
              <w:bottom w:val="single" w:color="00B8F5" w:sz="12" w:space="0"/>
            </w:tcBorders>
          </w:tcPr>
          <w:p>
            <w:pPr>
              <w:spacing w:line="297" w:lineRule="auto"/>
              <w:rPr>
                <w:rFonts w:ascii="Arial"/>
                <w:sz w:val="21"/>
              </w:rPr>
            </w:pPr>
            <w:r/>
          </w:p>
          <w:p>
            <w:pPr>
              <w:pStyle w:val="TableText"/>
              <w:ind w:left="121"/>
              <w:spacing w:before="90" w:line="177" w:lineRule="auto"/>
              <w:rPr>
                <w:sz w:val="21"/>
                <w:szCs w:val="21"/>
              </w:rPr>
            </w:pPr>
            <w:r>
              <w:rPr>
                <w:sz w:val="21"/>
                <w:szCs w:val="21"/>
                <w:spacing w:val="-1"/>
              </w:rPr>
              <w:t>能量转换效率低</w:t>
            </w:r>
          </w:p>
        </w:tc>
        <w:tc>
          <w:tcPr>
            <w:tcW w:w="1595" w:type="dxa"/>
            <w:vAlign w:val="top"/>
            <w:tcBorders>
              <w:left w:val="single" w:color="BFBFBF" w:sz="2" w:space="0"/>
              <w:bottom w:val="single" w:color="00B8F5" w:sz="12" w:space="0"/>
            </w:tcBorders>
          </w:tcPr>
          <w:p>
            <w:pPr>
              <w:spacing w:line="298" w:lineRule="auto"/>
              <w:rPr>
                <w:rFonts w:ascii="Arial"/>
                <w:sz w:val="21"/>
              </w:rPr>
            </w:pPr>
            <w:r/>
          </w:p>
          <w:p>
            <w:pPr>
              <w:pStyle w:val="TableText"/>
              <w:ind w:left="123"/>
              <w:spacing w:before="90" w:line="176" w:lineRule="auto"/>
              <w:rPr>
                <w:sz w:val="21"/>
                <w:szCs w:val="21"/>
              </w:rPr>
            </w:pPr>
            <w:r>
              <w:rPr>
                <w:sz w:val="21"/>
                <w:szCs w:val="21"/>
                <w:spacing w:val="-2"/>
              </w:rPr>
              <w:t>开发阶段</w:t>
            </w:r>
          </w:p>
        </w:tc>
      </w:tr>
    </w:tbl>
    <w:p>
      <w:pPr>
        <w:ind w:left="25"/>
        <w:spacing w:before="176" w:line="186"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11"/>
        </w:rPr>
        <w:t>资料来源： </w:t>
      </w:r>
      <w:r>
        <w:rPr>
          <w:rFonts w:ascii="Microsoft YaHei" w:hAnsi="Microsoft YaHei" w:eastAsia="Microsoft YaHei" w:cs="Microsoft YaHei"/>
          <w:sz w:val="15"/>
          <w:szCs w:val="15"/>
        </w:rPr>
        <w:t>Environmental</w:t>
      </w:r>
      <w:r>
        <w:rPr>
          <w:rFonts w:ascii="Microsoft YaHei" w:hAnsi="Microsoft YaHei" w:eastAsia="Microsoft YaHei" w:cs="Microsoft YaHei"/>
          <w:sz w:val="15"/>
          <w:szCs w:val="15"/>
          <w:spacing w:val="29"/>
        </w:rPr>
        <w:t xml:space="preserve"> </w:t>
      </w:r>
      <w:r>
        <w:rPr>
          <w:rFonts w:ascii="Microsoft YaHei" w:hAnsi="Microsoft YaHei" w:eastAsia="Microsoft YaHei" w:cs="Microsoft YaHei"/>
          <w:sz w:val="15"/>
          <w:szCs w:val="15"/>
        </w:rPr>
        <w:t>Earth</w:t>
      </w:r>
      <w:r>
        <w:rPr>
          <w:rFonts w:ascii="Microsoft YaHei" w:hAnsi="Microsoft YaHei" w:eastAsia="Microsoft YaHei" w:cs="Microsoft YaHei"/>
          <w:sz w:val="15"/>
          <w:szCs w:val="15"/>
          <w:spacing w:val="11"/>
        </w:rPr>
        <w:t xml:space="preserve"> </w:t>
      </w:r>
      <w:r>
        <w:rPr>
          <w:rFonts w:ascii="Microsoft YaHei" w:hAnsi="Microsoft YaHei" w:eastAsia="Microsoft YaHei" w:cs="Microsoft YaHei"/>
          <w:sz w:val="15"/>
          <w:szCs w:val="15"/>
        </w:rPr>
        <w:t>Sciences</w:t>
      </w:r>
      <w:r>
        <w:rPr>
          <w:rFonts w:ascii="Microsoft YaHei" w:hAnsi="Microsoft YaHei" w:eastAsia="Microsoft YaHei" w:cs="Microsoft YaHei"/>
          <w:sz w:val="15"/>
          <w:szCs w:val="15"/>
          <w:spacing w:val="11"/>
        </w:rPr>
        <w:t xml:space="preserve"> </w:t>
      </w:r>
      <w:r>
        <w:rPr>
          <w:rFonts w:ascii="Microsoft YaHei" w:hAnsi="Microsoft YaHei" w:eastAsia="Microsoft YaHei" w:cs="Microsoft YaHei"/>
          <w:sz w:val="15"/>
          <w:szCs w:val="15"/>
        </w:rPr>
        <w:t>International</w:t>
      </w:r>
      <w:r>
        <w:rPr>
          <w:rFonts w:ascii="Microsoft YaHei" w:hAnsi="Microsoft YaHei" w:eastAsia="Microsoft YaHei" w:cs="Microsoft YaHei"/>
          <w:sz w:val="15"/>
          <w:szCs w:val="15"/>
          <w:spacing w:val="11"/>
        </w:rPr>
        <w:t>，公开资料，毕马威分析</w:t>
      </w:r>
    </w:p>
    <w:p>
      <w:pPr>
        <w:pStyle w:val="BodyText"/>
        <w:spacing w:line="349" w:lineRule="auto"/>
        <w:rPr/>
      </w:pPr>
      <w:r/>
    </w:p>
    <w:p>
      <w:pPr>
        <w:pStyle w:val="BodyText"/>
        <w:spacing w:line="349" w:lineRule="auto"/>
        <w:rPr/>
      </w:pPr>
      <w:r>
        <w:pict>
          <v:shape id="_x0000_s216" style="position:absolute;margin-left:1.0223pt;margin-top:9.52616pt;mso-position-vertical-relative:text;mso-position-horizontal-relative:text;width:81.3pt;height:0.5pt;z-index:251797504;" filled="false" strokecolor="#000000" strokeweight="0.50pt" coordsize="1626,10" coordorigin="0,0" path="m0,5l1625,5e">
            <v:stroke joinstyle="miter"/>
          </v:shape>
        </w:pict>
      </w:r>
      <w:r/>
    </w:p>
    <w:p>
      <w:pPr>
        <w:ind w:left="21"/>
        <w:spacing w:before="56" w:line="186"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4"/>
          <w:position w:val="4"/>
        </w:rPr>
        <w:t>8    </w:t>
      </w:r>
      <w:r>
        <w:rPr>
          <w:rFonts w:ascii="Microsoft YaHei" w:hAnsi="Microsoft YaHei" w:eastAsia="Microsoft YaHei" w:cs="Microsoft YaHei"/>
          <w:sz w:val="13"/>
          <w:szCs w:val="13"/>
          <w:spacing w:val="4"/>
        </w:rPr>
        <w:t>“三最”指技术最成熟、经济性最优、最具大规模开发条件。</w:t>
      </w:r>
    </w:p>
    <w:p>
      <w:pPr>
        <w:ind w:left="25" w:right="3127" w:hanging="4"/>
        <w:spacing w:before="57" w:line="209"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5"/>
          <w:position w:val="4"/>
        </w:rPr>
        <w:t>9 </w:t>
      </w:r>
      <w:r>
        <w:rPr>
          <w:rFonts w:ascii="Microsoft YaHei" w:hAnsi="Microsoft YaHei" w:eastAsia="Microsoft YaHei" w:cs="Microsoft YaHei"/>
          <w:sz w:val="13"/>
          <w:szCs w:val="13"/>
          <w:spacing w:val="5"/>
        </w:rPr>
        <w:t>胡雨龙,马锦彪.我国抽水蓄能行业前景展望[J].水电站机电技术,2021,44(12):54-56.</w:t>
      </w:r>
      <w:r>
        <w:rPr>
          <w:rFonts w:ascii="Microsoft YaHei" w:hAnsi="Microsoft YaHei" w:eastAsia="Microsoft YaHei" w:cs="Microsoft YaHei"/>
          <w:sz w:val="13"/>
          <w:szCs w:val="13"/>
        </w:rPr>
        <w:t>DOI</w:t>
      </w:r>
      <w:r>
        <w:rPr>
          <w:rFonts w:ascii="Microsoft YaHei" w:hAnsi="Microsoft YaHei" w:eastAsia="Microsoft YaHei" w:cs="Microsoft YaHei"/>
          <w:sz w:val="13"/>
          <w:szCs w:val="13"/>
          <w:spacing w:val="5"/>
        </w:rPr>
        <w:t>:10.13599/j.</w:t>
      </w:r>
      <w:r>
        <w:rPr>
          <w:rFonts w:ascii="Microsoft YaHei" w:hAnsi="Microsoft YaHei" w:eastAsia="Microsoft YaHei" w:cs="Microsoft YaHei"/>
          <w:sz w:val="13"/>
          <w:szCs w:val="13"/>
        </w:rPr>
        <w:t>cnki</w:t>
      </w:r>
      <w:r>
        <w:rPr>
          <w:rFonts w:ascii="Microsoft YaHei" w:hAnsi="Microsoft YaHei" w:eastAsia="Microsoft YaHei" w:cs="Microsoft YaHei"/>
          <w:sz w:val="13"/>
          <w:szCs w:val="13"/>
          <w:spacing w:val="5"/>
        </w:rPr>
        <w:t>.11-5130.2021.12.022.</w:t>
      </w:r>
      <w:r>
        <w:rPr>
          <w:rFonts w:ascii="Microsoft YaHei" w:hAnsi="Microsoft YaHei" w:eastAsia="Microsoft YaHei" w:cs="Microsoft YaHei"/>
          <w:sz w:val="13"/>
          <w:szCs w:val="13"/>
          <w:spacing w:val="1"/>
        </w:rPr>
        <w:t xml:space="preserve">   </w:t>
      </w:r>
      <w:r>
        <w:rPr>
          <w:rFonts w:ascii="Microsoft YaHei" w:hAnsi="Microsoft YaHei" w:eastAsia="Microsoft YaHei" w:cs="Microsoft YaHei"/>
          <w:sz w:val="9"/>
          <w:szCs w:val="9"/>
          <w:spacing w:val="9"/>
          <w:position w:val="4"/>
        </w:rPr>
        <w:t>10</w:t>
      </w:r>
      <w:r>
        <w:rPr>
          <w:rFonts w:ascii="Microsoft YaHei" w:hAnsi="Microsoft YaHei" w:eastAsia="Microsoft YaHei" w:cs="Microsoft YaHei"/>
          <w:sz w:val="9"/>
          <w:szCs w:val="9"/>
          <w:spacing w:val="14"/>
          <w:position w:val="4"/>
        </w:rPr>
        <w:t xml:space="preserve"> </w:t>
      </w:r>
      <w:r>
        <w:rPr>
          <w:rFonts w:ascii="Microsoft YaHei" w:hAnsi="Microsoft YaHei" w:eastAsia="Microsoft YaHei" w:cs="Microsoft YaHei"/>
          <w:sz w:val="13"/>
          <w:szCs w:val="13"/>
          <w:spacing w:val="9"/>
        </w:rPr>
        <w:t>性能参数并非绝对精确，但可供读者从性能参数的数量级层面对比分析各项技术特性。随着储能的发展，电化学储能</w:t>
      </w:r>
      <w:r>
        <w:rPr>
          <w:rFonts w:ascii="Microsoft YaHei" w:hAnsi="Microsoft YaHei" w:eastAsia="Microsoft YaHei" w:cs="Microsoft YaHei"/>
          <w:sz w:val="13"/>
          <w:szCs w:val="13"/>
          <w:spacing w:val="8"/>
        </w:rPr>
        <w:t>电站规模</w:t>
      </w:r>
      <w:r>
        <w:rPr>
          <w:rFonts w:ascii="Microsoft YaHei" w:hAnsi="Microsoft YaHei" w:eastAsia="Microsoft YaHei" w:cs="Microsoft YaHei"/>
          <w:sz w:val="13"/>
          <w:szCs w:val="13"/>
        </w:rPr>
        <w:t xml:space="preserve"> </w:t>
      </w:r>
      <w:r>
        <w:rPr>
          <w:rFonts w:ascii="Microsoft YaHei" w:hAnsi="Microsoft YaHei" w:eastAsia="Microsoft YaHei" w:cs="Microsoft YaHei"/>
          <w:sz w:val="13"/>
          <w:szCs w:val="13"/>
          <w:spacing w:val="5"/>
        </w:rPr>
        <w:t>由</w:t>
      </w:r>
      <w:r>
        <w:rPr>
          <w:rFonts w:ascii="Microsoft YaHei" w:hAnsi="Microsoft YaHei" w:eastAsia="Microsoft YaHei" w:cs="Microsoft YaHei"/>
          <w:sz w:val="13"/>
          <w:szCs w:val="13"/>
        </w:rPr>
        <w:t>MW</w:t>
      </w:r>
      <w:r>
        <w:rPr>
          <w:rFonts w:ascii="Microsoft YaHei" w:hAnsi="Microsoft YaHei" w:eastAsia="Microsoft YaHei" w:cs="Microsoft YaHei"/>
          <w:sz w:val="13"/>
          <w:szCs w:val="13"/>
          <w:spacing w:val="5"/>
        </w:rPr>
        <w:t>向</w:t>
      </w:r>
      <w:r>
        <w:rPr>
          <w:rFonts w:ascii="Microsoft YaHei" w:hAnsi="Microsoft YaHei" w:eastAsia="Microsoft YaHei" w:cs="Microsoft YaHei"/>
          <w:sz w:val="13"/>
          <w:szCs w:val="13"/>
        </w:rPr>
        <w:t>GW</w:t>
      </w:r>
      <w:r>
        <w:rPr>
          <w:rFonts w:ascii="Microsoft YaHei" w:hAnsi="Microsoft YaHei" w:eastAsia="Microsoft YaHei" w:cs="Microsoft YaHei"/>
          <w:sz w:val="13"/>
          <w:szCs w:val="13"/>
          <w:spacing w:val="5"/>
        </w:rPr>
        <w:t>级别跃升，例如，</w:t>
      </w:r>
      <w:r>
        <w:rPr>
          <w:rFonts w:ascii="Microsoft YaHei" w:hAnsi="Microsoft YaHei" w:eastAsia="Microsoft YaHei" w:cs="Microsoft YaHei"/>
          <w:sz w:val="13"/>
          <w:szCs w:val="13"/>
        </w:rPr>
        <w:t xml:space="preserve">  </w:t>
      </w:r>
      <w:r>
        <w:rPr>
          <w:rFonts w:ascii="Microsoft YaHei" w:hAnsi="Microsoft YaHei" w:eastAsia="Microsoft YaHei" w:cs="Microsoft YaHei"/>
          <w:sz w:val="13"/>
          <w:szCs w:val="13"/>
          <w:spacing w:val="5"/>
        </w:rPr>
        <w:t>2022年10月开工的“汇宁时代江门(台山)核储互补电化学储</w:t>
      </w:r>
      <w:r>
        <w:rPr>
          <w:rFonts w:ascii="Microsoft YaHei" w:hAnsi="Microsoft YaHei" w:eastAsia="Microsoft YaHei" w:cs="Microsoft YaHei"/>
          <w:sz w:val="13"/>
          <w:szCs w:val="13"/>
          <w:spacing w:val="4"/>
        </w:rPr>
        <w:t>能电站”项目规模为1.3</w:t>
      </w:r>
      <w:r>
        <w:rPr>
          <w:rFonts w:ascii="Microsoft YaHei" w:hAnsi="Microsoft YaHei" w:eastAsia="Microsoft YaHei" w:cs="Microsoft YaHei"/>
          <w:sz w:val="13"/>
          <w:szCs w:val="13"/>
        </w:rPr>
        <w:t>GW</w:t>
      </w:r>
      <w:r>
        <w:rPr>
          <w:rFonts w:ascii="Microsoft YaHei" w:hAnsi="Microsoft YaHei" w:eastAsia="Microsoft YaHei" w:cs="Microsoft YaHei"/>
          <w:sz w:val="13"/>
          <w:szCs w:val="13"/>
          <w:spacing w:val="4"/>
        </w:rPr>
        <w:t>/2.6</w:t>
      </w:r>
      <w:r>
        <w:rPr>
          <w:rFonts w:ascii="Microsoft YaHei" w:hAnsi="Microsoft YaHei" w:eastAsia="Microsoft YaHei" w:cs="Microsoft YaHei"/>
          <w:sz w:val="13"/>
          <w:szCs w:val="13"/>
        </w:rPr>
        <w:t>GWh</w:t>
      </w:r>
      <w:r>
        <w:rPr>
          <w:rFonts w:ascii="Microsoft YaHei" w:hAnsi="Microsoft YaHei" w:eastAsia="Microsoft YaHei" w:cs="Microsoft YaHei"/>
          <w:sz w:val="13"/>
          <w:szCs w:val="13"/>
          <w:spacing w:val="4"/>
        </w:rPr>
        <w:t>。</w:t>
      </w:r>
    </w:p>
    <w:p>
      <w:pPr>
        <w:ind w:left="520" w:right="1241" w:hanging="411"/>
        <w:spacing w:before="187"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1285" w:header="0" w:footer="0" w:gutter="0"/>
        </w:sectPr>
        <w:rPr>
          <w:rFonts w:ascii="Microsoft YaHei" w:hAnsi="Microsoft YaHei" w:eastAsia="Microsoft YaHei" w:cs="Microsoft YaHei"/>
          <w:sz w:val="11"/>
          <w:szCs w:val="11"/>
        </w:rPr>
      </w:pPr>
    </w:p>
    <w:p>
      <w:pPr>
        <w:spacing w:before="314" w:line="193" w:lineRule="auto"/>
        <w:rPr>
          <w:rFonts w:ascii="Microsoft YaHei" w:hAnsi="Microsoft YaHei" w:eastAsia="Microsoft YaHei" w:cs="Microsoft YaHei"/>
          <w:sz w:val="18"/>
          <w:szCs w:val="18"/>
        </w:rPr>
      </w:pPr>
      <w:r>
        <w:pict>
          <v:rect id="_x0000_s218" style="position:absolute;margin-left:611.99pt;margin-top:0pt;mso-position-vertical-relative:page;mso-position-horizontal-relative:page;width:0.25pt;height:859pt;z-index:251834368;" o:allowincell="f" fillcolor="#000000" filled="true" stroked="false"/>
        </w:pict>
      </w:r>
      <w:r>
        <w:rPr>
          <w:rFonts w:ascii="Microsoft YaHei" w:hAnsi="Microsoft YaHei" w:eastAsia="Microsoft YaHei" w:cs="Microsoft YaHei"/>
          <w:sz w:val="18"/>
          <w:szCs w:val="18"/>
          <w:b/>
          <w:bCs/>
          <w:color w:val="A8A8A8"/>
          <w:spacing w:val="-2"/>
        </w:rPr>
        <w:t>19</w:t>
      </w:r>
      <w:r>
        <w:rPr>
          <w:rFonts w:ascii="Microsoft YaHei" w:hAnsi="Microsoft YaHei" w:eastAsia="Microsoft YaHei" w:cs="Microsoft YaHei"/>
          <w:sz w:val="18"/>
          <w:szCs w:val="18"/>
          <w:b/>
          <w:bCs/>
          <w:color w:val="A8A8A8"/>
          <w:spacing w:val="15"/>
          <w:w w:val="101"/>
        </w:rPr>
        <w:t xml:space="preserve">  </w:t>
      </w:r>
      <w:r>
        <w:rPr>
          <w:sz w:val="18"/>
          <w:szCs w:val="18"/>
          <w:position w:val="-4"/>
        </w:rPr>
        <w:drawing>
          <wp:inline distT="0" distB="0" distL="0" distR="0">
            <wp:extent cx="6350" cy="130175"/>
            <wp:effectExtent l="0" t="0" r="0" b="0"/>
            <wp:docPr id="150" name="IM 150"/>
            <wp:cNvGraphicFramePr/>
            <a:graphic>
              <a:graphicData uri="http://schemas.openxmlformats.org/drawingml/2006/picture">
                <pic:pic>
                  <pic:nvPicPr>
                    <pic:cNvPr id="150" name="IM 150"/>
                    <pic:cNvPicPr/>
                  </pic:nvPicPr>
                  <pic:blipFill>
                    <a:blip r:embed="rId64"/>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A8A8A8"/>
          <w:spacing w:val="26"/>
        </w:rPr>
        <w:t xml:space="preserve">  </w:t>
      </w:r>
      <w:r>
        <w:rPr>
          <w:rFonts w:ascii="Microsoft YaHei" w:hAnsi="Microsoft YaHei" w:eastAsia="Microsoft YaHei" w:cs="Microsoft YaHei"/>
          <w:sz w:val="18"/>
          <w:szCs w:val="18"/>
          <w:color w:val="A8A8A8"/>
          <w:spacing w:val="-2"/>
        </w:rPr>
        <w:t>新型储能助力能源转型</w:t>
      </w:r>
    </w:p>
    <w:p>
      <w:pPr>
        <w:pStyle w:val="BodyText"/>
        <w:spacing w:line="259" w:lineRule="auto"/>
        <w:rPr/>
      </w:pPr>
      <w:r/>
    </w:p>
    <w:p>
      <w:pPr>
        <w:pStyle w:val="BodyText"/>
        <w:spacing w:line="259" w:lineRule="auto"/>
        <w:rPr/>
      </w:pPr>
      <w:r/>
    </w:p>
    <w:p>
      <w:pPr>
        <w:pStyle w:val="BodyText"/>
        <w:spacing w:line="260" w:lineRule="auto"/>
        <w:rPr/>
      </w:pPr>
      <w:r/>
    </w:p>
    <w:p>
      <w:pPr>
        <w:pStyle w:val="BodyText"/>
        <w:spacing w:line="260" w:lineRule="auto"/>
        <w:rPr/>
      </w:pPr>
      <w:r/>
    </w:p>
    <w:p>
      <w:pPr>
        <w:ind w:left="335" w:right="3002"/>
        <w:spacing w:before="90" w:line="218"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结合2021年全球及中国新增储能装机规模情况来</w:t>
      </w:r>
      <w:r>
        <w:rPr>
          <w:rFonts w:ascii="Microsoft YaHei" w:hAnsi="Microsoft YaHei" w:eastAsia="Microsoft YaHei" w:cs="Microsoft YaHei"/>
          <w:sz w:val="21"/>
          <w:szCs w:val="21"/>
          <w:spacing w:val="1"/>
        </w:rPr>
        <w:t>看（图</w:t>
      </w:r>
      <w:r>
        <w:rPr>
          <w:rFonts w:ascii="Microsoft YaHei" w:hAnsi="Microsoft YaHei" w:eastAsia="Microsoft YaHei" w:cs="Microsoft YaHei"/>
          <w:sz w:val="21"/>
          <w:szCs w:val="21"/>
          <w:spacing w:val="55"/>
        </w:rPr>
        <w:t xml:space="preserve"> </w:t>
      </w:r>
      <w:r>
        <w:rPr>
          <w:rFonts w:ascii="Microsoft YaHei" w:hAnsi="Microsoft YaHei" w:eastAsia="Microsoft YaHei" w:cs="Microsoft YaHei"/>
          <w:sz w:val="21"/>
          <w:szCs w:val="21"/>
          <w:spacing w:val="1"/>
        </w:rPr>
        <w:t>3</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spacing w:val="1"/>
        </w:rPr>
        <w:t>电化学储能有望成为拉</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动储能产业发展的新动力。</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1"/>
        </w:rPr>
        <w:t>根据中关村储能产业技术联盟（简称CNESA）数据</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1"/>
        </w:rPr>
        <w:t>，2021</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年全球新增储能装机18.3GW</w:t>
      </w:r>
      <w:r>
        <w:rPr>
          <w:rFonts w:ascii="Microsoft YaHei" w:hAnsi="Microsoft YaHei" w:eastAsia="Microsoft YaHei" w:cs="Microsoft YaHei"/>
          <w:sz w:val="21"/>
          <w:szCs w:val="21"/>
          <w:spacing w:val="-20"/>
        </w:rPr>
        <w:t xml:space="preserve"> </w:t>
      </w:r>
      <w:r>
        <w:rPr>
          <w:rFonts w:ascii="Microsoft YaHei" w:hAnsi="Microsoft YaHei" w:eastAsia="Microsoft YaHei" w:cs="Microsoft YaHei"/>
          <w:sz w:val="21"/>
          <w:szCs w:val="21"/>
          <w:spacing w:val="-3"/>
        </w:rPr>
        <w:t>，</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3"/>
        </w:rPr>
        <w:t>电化学储能新增10.2GW</w:t>
      </w:r>
      <w:r>
        <w:rPr>
          <w:rFonts w:ascii="Microsoft YaHei" w:hAnsi="Microsoft YaHei" w:eastAsia="Microsoft YaHei" w:cs="Microsoft YaHei"/>
          <w:sz w:val="21"/>
          <w:szCs w:val="21"/>
          <w:spacing w:val="-27"/>
        </w:rPr>
        <w:t xml:space="preserve"> </w:t>
      </w:r>
      <w:r>
        <w:rPr>
          <w:rFonts w:ascii="Microsoft YaHei" w:hAnsi="Microsoft YaHei" w:eastAsia="Microsoft YaHei" w:cs="Microsoft YaHei"/>
          <w:sz w:val="21"/>
          <w:szCs w:val="21"/>
          <w:spacing w:val="-3"/>
        </w:rPr>
        <w:t>，</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占比达56%。</w:t>
      </w:r>
      <w:r>
        <w:rPr>
          <w:rFonts w:ascii="Microsoft YaHei" w:hAnsi="Microsoft YaHei" w:eastAsia="Microsoft YaHei" w:cs="Microsoft YaHei"/>
          <w:sz w:val="21"/>
          <w:szCs w:val="21"/>
          <w:spacing w:val="-33"/>
        </w:rPr>
        <w:t xml:space="preserve"> </w:t>
      </w:r>
      <w:r>
        <w:rPr>
          <w:rFonts w:ascii="Microsoft YaHei" w:hAnsi="Microsoft YaHei" w:eastAsia="Microsoft YaHei" w:cs="Microsoft YaHei"/>
          <w:sz w:val="21"/>
          <w:szCs w:val="21"/>
          <w:spacing w:val="-3"/>
        </w:rPr>
        <w:t>中国的数据也</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体现出了电化学储能在储能市场中的重要地位，2021年中国新增储能装机10.5GW，电</w:t>
      </w:r>
      <w:r>
        <w:rPr>
          <w:rFonts w:ascii="Microsoft YaHei" w:hAnsi="Microsoft YaHei" w:eastAsia="Microsoft YaHei" w:cs="Microsoft YaHei"/>
          <w:sz w:val="21"/>
          <w:szCs w:val="21"/>
          <w:spacing w:val="3"/>
        </w:rPr>
        <w:t xml:space="preserve"> </w:t>
      </w:r>
      <w:r>
        <w:rPr>
          <w:rFonts w:ascii="Microsoft YaHei" w:hAnsi="Microsoft YaHei" w:eastAsia="Microsoft YaHei" w:cs="Microsoft YaHei"/>
          <w:sz w:val="21"/>
          <w:szCs w:val="21"/>
          <w:spacing w:val="-3"/>
        </w:rPr>
        <w:t>化学储能新增2.3GW，占比达13%。</w:t>
      </w:r>
    </w:p>
    <w:p>
      <w:pPr>
        <w:pStyle w:val="BodyText"/>
        <w:spacing w:line="398" w:lineRule="auto"/>
        <w:rPr/>
      </w:pPr>
      <w:r>
        <w:pict>
          <v:rect id="_x0000_s220" style="position:absolute;margin-left:16.4509pt;margin-top:13.4688pt;mso-position-vertical-relative:text;mso-position-horizontal-relative:text;width:30.5pt;height:5pt;z-index:251836416;" fillcolor="#00B8F5" filled="true" stroked="false"/>
        </w:pict>
      </w:r>
      <w:r>
        <w:pict>
          <v:shape id="_x0000_s222" style="position:absolute;margin-left:53.2909pt;margin-top:23.3089pt;mso-position-vertical-relative:text;mso-position-horizontal-relative:text;width:1pt;height:13.85pt;z-index:251840512;" filled="false" strokecolor="#00B8F5" strokeweight="1.00pt" coordsize="20,277" coordorigin="0,0" path="m10,0l10,276e">
            <v:stroke joinstyle="miter"/>
          </v:shape>
        </w:pict>
      </w:r>
      <w:r/>
    </w:p>
    <w:p>
      <w:pPr>
        <w:ind w:left="1247"/>
        <w:spacing w:before="90" w:line="186" w:lineRule="auto"/>
        <w:rPr>
          <w:rFonts w:ascii="Microsoft YaHei" w:hAnsi="Microsoft YaHei" w:eastAsia="Microsoft YaHei" w:cs="Microsoft YaHei"/>
          <w:sz w:val="21"/>
          <w:szCs w:val="21"/>
        </w:rPr>
      </w:pPr>
      <w:r>
        <mc:AlternateContent xmlns:mc="http://schemas.openxmlformats.org/markup-compatibility/2006">
          <mc:Choice Requires="wps">
            <w:drawing>
              <wp:anchor distT="0" distB="0" distL="0" distR="0" simplePos="0" relativeHeight="251815936" behindDoc="1" locked="0" layoutInCell="1" allowOverlap="1">
                <wp:simplePos x="0" y="0"/>
                <wp:positionH relativeFrom="column">
                  <wp:posOffset>207402</wp:posOffset>
                </wp:positionH>
                <wp:positionV relativeFrom="paragraph">
                  <wp:posOffset>-40815</wp:posOffset>
                </wp:positionV>
                <wp:extent cx="6123940" cy="329565"/>
                <wp:effectExtent l="0" t="0" r="0" b="0"/>
                <wp:wrapNone/>
                <wp:docPr id="152" name="Rect 152"/>
                <wp:cNvGraphicFramePr/>
                <a:graphic>
                  <a:graphicData uri="http://schemas.microsoft.com/office/word/2010/wordprocessingShape">
                    <wps:wsp>
                      <wps:cNvPr id="152" name="Rect 152"/>
                      <wps:cNvSpPr/>
                      <wps:spPr>
                        <a:xfrm>
                          <a:off x="207402" y="-40815"/>
                          <a:ext cx="6123940" cy="329565"/>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224" style="position:absolute;margin-left:16.3309pt;margin-top:-3.21384pt;mso-position-vertical-relative:text;mso-position-horizontal-relative:text;width:482.2pt;height:25.95pt;z-index:-251500544;" fillcolor="#F1F1F1" filled="true" stroked="false"/>
            </w:pict>
          </mc:Fallback>
        </mc:AlternateContent>
      </w:r>
      <w:r>
        <w:pict>
          <v:shape id="_x0000_s226" style="position:absolute;margin-left:23.3401pt;margin-top:4.06594pt;mso-position-vertical-relative:text;mso-position-horizontal-relative:text;width:20.4pt;height:15.05pt;z-index:251835392;" filled="false" stroked="false" type="#_x0000_t202">
            <v:fill on="false"/>
            <v:stroke on="false"/>
            <v:path/>
            <v:imagedata o:title=""/>
            <o:lock v:ext="edit" aspectratio="false"/>
            <v:textbox inset="0mm,0mm,0mm,0mm">
              <w:txbxContent>
                <w:p>
                  <w:pPr>
                    <w:ind w:left="20"/>
                    <w:spacing w:before="19" w:line="17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B8F5"/>
                      <w:spacing w:val="-8"/>
                    </w:rPr>
                    <w:t>图</w:t>
                  </w:r>
                  <w:r>
                    <w:rPr>
                      <w:rFonts w:ascii="Microsoft YaHei" w:hAnsi="Microsoft YaHei" w:eastAsia="Microsoft YaHei" w:cs="Microsoft YaHei"/>
                      <w:sz w:val="21"/>
                      <w:szCs w:val="21"/>
                      <w:b/>
                      <w:bCs/>
                      <w:color w:val="00B8F5"/>
                      <w:spacing w:val="-9"/>
                    </w:rPr>
                    <w:t xml:space="preserve"> </w:t>
                  </w:r>
                  <w:r>
                    <w:rPr>
                      <w:rFonts w:ascii="Microsoft YaHei" w:hAnsi="Microsoft YaHei" w:eastAsia="Microsoft YaHei" w:cs="Microsoft YaHei"/>
                      <w:sz w:val="21"/>
                      <w:szCs w:val="21"/>
                      <w:b/>
                      <w:bCs/>
                      <w:color w:val="00B8F5"/>
                      <w:spacing w:val="-8"/>
                    </w:rPr>
                    <w:t>3</w:t>
                  </w:r>
                </w:p>
              </w:txbxContent>
            </v:textbox>
          </v:shape>
        </w:pict>
      </w:r>
      <w:r>
        <w:rPr>
          <w:rFonts w:ascii="Microsoft YaHei" w:hAnsi="Microsoft YaHei" w:eastAsia="Microsoft YaHei" w:cs="Microsoft YaHei"/>
          <w:sz w:val="21"/>
          <w:szCs w:val="21"/>
          <w:b/>
          <w:bCs/>
          <w:color w:val="00B8F5"/>
          <w:spacing w:val="-2"/>
        </w:rPr>
        <w:t>2021年全球及中国市场新增储能装机规模及构成，GW</w:t>
      </w:r>
    </w:p>
    <w:p>
      <w:pPr>
        <w:pStyle w:val="BodyText"/>
        <w:spacing w:line="350" w:lineRule="auto"/>
        <w:rPr/>
      </w:pPr>
      <w:r/>
    </w:p>
    <w:p>
      <w:pPr>
        <w:ind w:left="1140"/>
        <w:spacing w:before="137" w:line="177" w:lineRule="auto"/>
        <w:rPr>
          <w:rFonts w:ascii="Microsoft YaHei" w:hAnsi="Microsoft YaHei" w:eastAsia="Microsoft YaHei" w:cs="Microsoft YaHei"/>
          <w:sz w:val="32"/>
          <w:szCs w:val="32"/>
        </w:rPr>
      </w:pPr>
      <w:r>
        <w:rPr>
          <w:rFonts w:ascii="Microsoft YaHei" w:hAnsi="Microsoft YaHei" w:eastAsia="Microsoft YaHei" w:cs="Microsoft YaHei"/>
          <w:sz w:val="32"/>
          <w:szCs w:val="32"/>
          <w:color w:val="00B8F5"/>
          <w:spacing w:val="-6"/>
        </w:rPr>
        <w:t>全球</w:t>
      </w:r>
      <w:r>
        <w:rPr>
          <w:rFonts w:ascii="Microsoft YaHei" w:hAnsi="Microsoft YaHei" w:eastAsia="Microsoft YaHei" w:cs="Microsoft YaHei"/>
          <w:sz w:val="32"/>
          <w:szCs w:val="32"/>
          <w:color w:val="00B8F5"/>
          <w:spacing w:val="1"/>
        </w:rPr>
        <w:t xml:space="preserve">                   </w:t>
      </w:r>
      <w:r>
        <w:rPr>
          <w:rFonts w:ascii="Microsoft YaHei" w:hAnsi="Microsoft YaHei" w:eastAsia="Microsoft YaHei" w:cs="Microsoft YaHei"/>
          <w:sz w:val="32"/>
          <w:szCs w:val="32"/>
          <w:color w:val="00B8F5"/>
        </w:rPr>
        <w:t xml:space="preserve">                          </w:t>
      </w:r>
      <w:r>
        <w:rPr>
          <w:rFonts w:ascii="Microsoft YaHei" w:hAnsi="Microsoft YaHei" w:eastAsia="Microsoft YaHei" w:cs="Microsoft YaHei"/>
          <w:sz w:val="32"/>
          <w:szCs w:val="32"/>
          <w:color w:val="00338D"/>
          <w:spacing w:val="-6"/>
        </w:rPr>
        <w:t>中国</w:t>
      </w:r>
    </w:p>
    <w:p>
      <w:pPr>
        <w:pStyle w:val="BodyText"/>
        <w:spacing w:line="274" w:lineRule="auto"/>
        <w:rPr/>
      </w:pPr>
      <w:r>
        <w:pict>
          <v:group id="_x0000_s228" style="position:absolute;margin-left:16.4893pt;margin-top:6.32294pt;mso-position-vertical-relative:text;mso-position-horizontal-relative:text;width:157.8pt;height:115.95pt;z-index:-251495424;" filled="false" stroked="false" coordsize="3156,2318" coordorigin="0,0">
            <v:shape id="_x0000_s230" style="position:absolute;left:2269;top:610;width:347;height:1098;" filled="false" strokecolor="#BFBFBF" strokeweight="0.50pt" coordsize="347,1098" coordorigin="0,0" path="m2,234l343,4m2,863l343,1093e">
              <v:stroke dashstyle="dash" miterlimit="10"/>
            </v:shape>
            <v:shape id="_x0000_s232" style="position:absolute;left:0;top:0;width:2271;height:2318;" fillcolor="#00B8F5" filled="true" stroked="false" coordsize="2271,2318" coordorigin="0,0" path="m2271,1472c2098,2086,1460,2443,845,2271c231,2098,-125,1460,47,845c220,231,858,-125,1472,47c1859,156,2161,458,2271,845l1159,1159l2271,1472xe"/>
            <v:shape id="_x0000_s234" style="position:absolute;left:2612;top:614;width:542;height:605;" fillcolor="#00C0AE" filled="true" stroked="false" coordsize="542,605" coordorigin="0,0" path="m,l542,0l542,604l0,604l0,0xe"/>
            <v:shape id="_x0000_s236" style="position:absolute;left:2612;top:1219;width:542;height:485;" fillcolor="#FD349C" filled="true" stroked="false" coordsize="542,485" coordorigin="0,0" path="m,l542,0l542,484l0,484l0,0xe"/>
            <v:shape id="_x0000_s238" style="position:absolute;left:1159;top:845;width:1160;height:627;" fillcolor="#DADADA" filled="true" stroked="false" coordsize="1160,627" coordorigin="0,0" path="m1111,0c1169,204,1169,421,1111,626l0,313l1111,0xe"/>
            <v:shape id="_x0000_s240" style="position:absolute;left:1903;top:345;width:372;height:745;" filled="false" strokecolor="#7F7F7F" strokeweight="1.00pt" coordsize="372,745" coordorigin="0,0" path="m9,740l362,4e">
              <v:stroke joinstyle="miter"/>
            </v:shape>
            <v:shape id="_x0000_s242" style="position:absolute;left:1872;top:1046;width:80;height:80;" fillcolor="#7F7F7F" filled="true" stroked="false" coordsize="80,80" coordorigin="0,0" path="m80,40c80,17,62,0,40,0c17,0,0,17,0,40c0,62,17,80,40,80c62,80,80,62,80,40e"/>
            <v:shape id="_x0000_s244" style="position:absolute;left:2267;top:345;width:230;height:10;" filled="false" strokecolor="#7F7F7F" strokeweight="0.50pt" coordsize="230,10" coordorigin="0,0" path="m0,5l230,5e">
              <v:stroke joinstyle="miter"/>
            </v:shape>
          </v:group>
        </w:pict>
      </w:r>
      <w:r>
        <w:pict>
          <v:group id="_x0000_s246" style="position:absolute;margin-left:261.923pt;margin-top:5.75678pt;mso-position-vertical-relative:text;mso-position-horizontal-relative:text;width:157.85pt;height:115.75pt;z-index:251822080;" filled="false" stroked="false" coordsize="3157,2315" coordorigin="0,0">
            <v:shape id="_x0000_s248" style="position:absolute;left:2027;top:395;width:590;height:1526;" filled="false" strokecolor="#BFBFBF" strokeweight="0.50pt" coordsize="590,1526" coordorigin="0,0" path="m1,4l587,220m1,1521l587,1305e">
              <v:stroke dashstyle="dash" miterlimit="10"/>
            </v:shape>
            <v:shape id="_x0000_s250" style="position:absolute;left:0;top:0;width:2030;height:2315;" fillcolor="#00338D" filled="true" stroked="false" coordsize="2030,2315" coordorigin="0,0" path="m2029,1915c1610,2396,881,2447,399,2029c-81,1610,-133,880,285,399c704,-81,1433,-133,1915,285c1955,320,1993,358,2029,399l1157,1157l2029,1915xe"/>
            <v:shape id="_x0000_s252" style="position:absolute;left:2614;top:615;width:542;height:236;" fillcolor="#00C0AE" filled="true" stroked="false" coordsize="542,236" coordorigin="0,0" path="m,l542,0l542,235l0,235l0,0xe"/>
            <v:shape id="_x0000_s254" style="position:absolute;left:2614;top:851;width:542;height:850;" fillcolor="#FD349C" filled="true" stroked="false" coordsize="542,850" coordorigin="0,0" path="m,l542,0l542,849l0,849l0,0xe"/>
            <v:shape id="_x0000_s256" style="position:absolute;left:1157;top:399;width:1160;height:1516;" fillcolor="#DADADA" filled="true" stroked="false" coordsize="1160,1516" coordorigin="0,0" path="m871,0c1249,434,1249,1080,871,1515l0,757l871,0xe"/>
          </v:group>
        </w:pict>
      </w:r>
      <w:r/>
    </w:p>
    <w:p>
      <w:pPr>
        <w:ind w:left="2958"/>
        <w:spacing w:before="90" w:line="176" w:lineRule="auto"/>
        <w:rPr>
          <w:rFonts w:ascii="Microsoft YaHei" w:hAnsi="Microsoft YaHei" w:eastAsia="Microsoft YaHei" w:cs="Microsoft YaHei"/>
          <w:sz w:val="21"/>
          <w:szCs w:val="21"/>
        </w:rPr>
      </w:pPr>
      <w:r>
        <w:pict>
          <v:shape id="_x0000_s258" style="position:absolute;margin-left:391.871pt;margin-top:3.53016pt;mso-position-vertical-relative:text;mso-position-horizontal-relative:text;width:108.25pt;height:38.45pt;z-index:251824128;" filled="false" stroked="false" type="#_x0000_t202">
            <v:fill on="false"/>
            <v:stroke on="false"/>
            <v:path/>
            <v:imagedata o:title=""/>
            <o:lock v:ext="edit" aspectratio="false"/>
            <v:textbox inset="0mm,0mm,0mm,0mm">
              <w:txbxContent>
                <w:p>
                  <w:pPr>
                    <w:ind w:left="20"/>
                    <w:spacing w:before="20" w:line="17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338D"/>
                      <w:spacing w:val="-5"/>
                    </w:rPr>
                    <w:t>2021年新增装机：</w:t>
                  </w:r>
                  <w:r>
                    <w:rPr>
                      <w:rFonts w:ascii="Microsoft YaHei" w:hAnsi="Microsoft YaHei" w:eastAsia="Microsoft YaHei" w:cs="Microsoft YaHei"/>
                      <w:sz w:val="21"/>
                      <w:szCs w:val="21"/>
                      <w:color w:val="00338D"/>
                      <w:spacing w:val="-34"/>
                    </w:rPr>
                    <w:t xml:space="preserve"> </w:t>
                  </w:r>
                  <w:r>
                    <w:rPr>
                      <w:rFonts w:ascii="Microsoft YaHei" w:hAnsi="Microsoft YaHei" w:eastAsia="Microsoft YaHei" w:cs="Microsoft YaHei"/>
                      <w:sz w:val="21"/>
                      <w:szCs w:val="21"/>
                      <w:color w:val="00338D"/>
                      <w:spacing w:val="-5"/>
                    </w:rPr>
                    <w:t>10.5</w:t>
                  </w:r>
                </w:p>
                <w:p>
                  <w:pPr>
                    <w:ind w:left="664"/>
                    <w:spacing w:before="233" w:line="179"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00C0AE"/>
                      <w:spacing w:val="-2"/>
                    </w:rPr>
                    <w:t>电化学储能：2.3</w:t>
                  </w:r>
                </w:p>
              </w:txbxContent>
            </v:textbox>
          </v:shape>
        </w:pict>
      </w:r>
      <w:r>
        <w:pict>
          <v:shape id="_x0000_s260" style="position:absolute;margin-left:357.18pt;margin-top:10.335pt;mso-position-vertical-relative:text;mso-position-horizontal-relative:text;width:18.6pt;height:37.3pt;z-index:251823104;" filled="false" strokecolor="#7F7F7F" strokeweight="1.00pt" coordsize="372,745" coordorigin="0,0" path="m9,740l362,4e">
            <v:stroke joinstyle="miter"/>
          </v:shape>
        </w:pict>
      </w:r>
      <w:r>
        <w:pict>
          <v:group id="_x0000_s262" style="position:absolute;margin-left:355.131pt;margin-top:9.80146pt;mso-position-vertical-relative:text;mso-position-horizontal-relative:text;width:31.05pt;height:39.1pt;z-index:251830272;" filled="false" stroked="false" coordsize="620,781" coordorigin="0,0">
            <v:shape id="_x0000_s264" style="position:absolute;left:0;top:701;width:80;height:80;" fillcolor="#7F7F7F" filled="true" stroked="false" coordsize="80,80" coordorigin="0,0" path="m80,40c80,17,62,0,40,0c17,0,0,17,0,40c0,62,17,80,40,80c62,80,80,62,80,40e"/>
            <v:shape id="_x0000_s266" style="position:absolute;left:390;top:0;width:230;height:10;" filled="false" strokecolor="#7F7F7F" strokeweight="0.50pt" coordsize="230,10" coordorigin="0,0" path="m0,5l230,5e">
              <v:stroke joinstyle="miter"/>
            </v:shape>
          </v:group>
        </w:pict>
      </w:r>
      <w:r>
        <w:rPr>
          <w:rFonts w:ascii="Microsoft YaHei" w:hAnsi="Microsoft YaHei" w:eastAsia="Microsoft YaHei" w:cs="Microsoft YaHei"/>
          <w:sz w:val="21"/>
          <w:szCs w:val="21"/>
          <w:color w:val="00B8F5"/>
          <w:spacing w:val="-5"/>
        </w:rPr>
        <w:t>2021年新增装机：</w:t>
      </w:r>
      <w:r>
        <w:rPr>
          <w:rFonts w:ascii="Microsoft YaHei" w:hAnsi="Microsoft YaHei" w:eastAsia="Microsoft YaHei" w:cs="Microsoft YaHei"/>
          <w:sz w:val="21"/>
          <w:szCs w:val="21"/>
          <w:color w:val="00B8F5"/>
          <w:spacing w:val="-34"/>
        </w:rPr>
        <w:t xml:space="preserve"> </w:t>
      </w:r>
      <w:r>
        <w:rPr>
          <w:rFonts w:ascii="Microsoft YaHei" w:hAnsi="Microsoft YaHei" w:eastAsia="Microsoft YaHei" w:cs="Microsoft YaHei"/>
          <w:sz w:val="21"/>
          <w:szCs w:val="21"/>
          <w:color w:val="00B8F5"/>
          <w:spacing w:val="-5"/>
        </w:rPr>
        <w:t>18.3</w:t>
      </w:r>
    </w:p>
    <w:p>
      <w:pPr>
        <w:ind w:left="3603"/>
        <w:spacing w:before="297" w:line="179" w:lineRule="auto"/>
        <w:rPr>
          <w:rFonts w:ascii="Microsoft YaHei" w:hAnsi="Microsoft YaHei" w:eastAsia="Microsoft YaHei" w:cs="Microsoft YaHei"/>
          <w:sz w:val="18"/>
          <w:szCs w:val="18"/>
        </w:rPr>
      </w:pPr>
      <w:r>
        <w:pict>
          <v:shape id="_x0000_s268" style="position:absolute;margin-left:274.569pt;margin-top:7.85718pt;mso-position-vertical-relative:text;mso-position-horizontal-relative:text;width:47.15pt;height:52.6pt;z-index:251826176;" filled="false" stroked="false" type="#_x0000_t202">
            <v:fill on="false"/>
            <v:stroke on="false"/>
            <v:path/>
            <v:imagedata o:title=""/>
            <o:lock v:ext="edit" aspectratio="false"/>
            <v:textbox inset="0mm,0mm,0mm,0mm">
              <w:txbxContent>
                <w:p>
                  <w:pPr>
                    <w:ind w:left="47" w:right="20"/>
                    <w:spacing w:before="19" w:line="173"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FFFFFF"/>
                      <w:spacing w:val="-7"/>
                    </w:rPr>
                    <w:t>2020年底</w:t>
                  </w:r>
                  <w:r>
                    <w:rPr>
                      <w:rFonts w:ascii="Microsoft YaHei" w:hAnsi="Microsoft YaHei" w:eastAsia="Microsoft YaHei" w:cs="Microsoft YaHei"/>
                      <w:sz w:val="21"/>
                      <w:szCs w:val="21"/>
                      <w:color w:val="FFFFFF"/>
                      <w:spacing w:val="3"/>
                    </w:rPr>
                    <w:t xml:space="preserve"> </w:t>
                  </w:r>
                  <w:r>
                    <w:rPr>
                      <w:rFonts w:ascii="Microsoft YaHei" w:hAnsi="Microsoft YaHei" w:eastAsia="Microsoft YaHei" w:cs="Microsoft YaHei"/>
                      <w:sz w:val="21"/>
                      <w:szCs w:val="21"/>
                      <w:color w:val="FFFFFF"/>
                      <w:spacing w:val="-10"/>
                    </w:rPr>
                    <w:t>装机：</w:t>
                  </w:r>
                </w:p>
                <w:p>
                  <w:pPr>
                    <w:ind w:left="20"/>
                    <w:spacing w:before="65" w:line="184" w:lineRule="auto"/>
                    <w:rPr>
                      <w:rFonts w:ascii="Trebuchet MS" w:hAnsi="Trebuchet MS" w:eastAsia="Trebuchet MS" w:cs="Trebuchet MS"/>
                      <w:sz w:val="48"/>
                      <w:szCs w:val="48"/>
                    </w:rPr>
                  </w:pPr>
                  <w:r>
                    <w:rPr>
                      <w:rFonts w:ascii="Trebuchet MS" w:hAnsi="Trebuchet MS" w:eastAsia="Trebuchet MS" w:cs="Trebuchet MS"/>
                      <w:sz w:val="48"/>
                      <w:szCs w:val="48"/>
                      <w:b/>
                      <w:bCs/>
                      <w:color w:val="FFFFFF"/>
                      <w:spacing w:val="-62"/>
                      <w:w w:val="96"/>
                    </w:rPr>
                    <w:t>35.6</w:t>
                  </w:r>
                </w:p>
              </w:txbxContent>
            </v:textbox>
          </v:shape>
        </w:pict>
      </w:r>
      <w:r>
        <w:pict>
          <v:shape id="_x0000_s270" style="position:absolute;margin-left:30.4679pt;margin-top:7.85718pt;mso-position-vertical-relative:text;mso-position-horizontal-relative:text;width:47.15pt;height:52.6pt;z-index:251827200;" filled="false" stroked="false" type="#_x0000_t202">
            <v:fill on="false"/>
            <v:stroke on="false"/>
            <v:path/>
            <v:imagedata o:title=""/>
            <o:lock v:ext="edit" aspectratio="false"/>
            <v:textbox inset="0mm,0mm,0mm,0mm">
              <w:txbxContent>
                <w:p>
                  <w:pPr>
                    <w:ind w:left="47" w:right="20"/>
                    <w:spacing w:before="19" w:line="173"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FFFFFF"/>
                      <w:spacing w:val="-7"/>
                    </w:rPr>
                    <w:t>2020年底</w:t>
                  </w:r>
                  <w:r>
                    <w:rPr>
                      <w:rFonts w:ascii="Microsoft YaHei" w:hAnsi="Microsoft YaHei" w:eastAsia="Microsoft YaHei" w:cs="Microsoft YaHei"/>
                      <w:sz w:val="21"/>
                      <w:szCs w:val="21"/>
                      <w:color w:val="FFFFFF"/>
                      <w:spacing w:val="3"/>
                    </w:rPr>
                    <w:t xml:space="preserve"> </w:t>
                  </w:r>
                  <w:r>
                    <w:rPr>
                      <w:rFonts w:ascii="Microsoft YaHei" w:hAnsi="Microsoft YaHei" w:eastAsia="Microsoft YaHei" w:cs="Microsoft YaHei"/>
                      <w:sz w:val="21"/>
                      <w:szCs w:val="21"/>
                      <w:color w:val="FFFFFF"/>
                      <w:spacing w:val="-10"/>
                    </w:rPr>
                    <w:t>装机：</w:t>
                  </w:r>
                </w:p>
                <w:p>
                  <w:pPr>
                    <w:ind w:left="20"/>
                    <w:spacing w:before="65" w:line="184" w:lineRule="auto"/>
                    <w:outlineLvl w:val="0"/>
                    <w:rPr>
                      <w:rFonts w:ascii="Trebuchet MS" w:hAnsi="Trebuchet MS" w:eastAsia="Trebuchet MS" w:cs="Trebuchet MS"/>
                      <w:sz w:val="48"/>
                      <w:szCs w:val="48"/>
                    </w:rPr>
                  </w:pPr>
                  <w:r>
                    <w:rPr>
                      <w:rFonts w:ascii="Trebuchet MS" w:hAnsi="Trebuchet MS" w:eastAsia="Trebuchet MS" w:cs="Trebuchet MS"/>
                      <w:sz w:val="48"/>
                      <w:szCs w:val="48"/>
                      <w:b/>
                      <w:bCs/>
                      <w:color w:val="FFFFFF"/>
                      <w:spacing w:val="-103"/>
                    </w:rPr>
                    <w:t>191.1</w:t>
                  </w:r>
                </w:p>
              </w:txbxContent>
            </v:textbox>
          </v:shape>
        </w:pict>
      </w:r>
      <w:r>
        <w:rPr>
          <w:rFonts w:ascii="Microsoft YaHei" w:hAnsi="Microsoft YaHei" w:eastAsia="Microsoft YaHei" w:cs="Microsoft YaHei"/>
          <w:sz w:val="18"/>
          <w:szCs w:val="18"/>
          <w:color w:val="00C0AE"/>
          <w:spacing w:val="-2"/>
        </w:rPr>
        <w:t>电化学储能：10.2</w:t>
      </w:r>
    </w:p>
    <w:p>
      <w:pPr>
        <w:ind w:left="8487"/>
        <w:spacing w:before="203" w:line="180" w:lineRule="exact"/>
        <w:rPr>
          <w:rFonts w:ascii="Microsoft YaHei" w:hAnsi="Microsoft YaHei" w:eastAsia="Microsoft YaHei" w:cs="Microsoft YaHei"/>
          <w:sz w:val="18"/>
          <w:szCs w:val="18"/>
        </w:rPr>
      </w:pPr>
      <w:r>
        <w:rPr>
          <w:rFonts w:ascii="Microsoft YaHei" w:hAnsi="Microsoft YaHei" w:eastAsia="Microsoft YaHei" w:cs="Microsoft YaHei"/>
          <w:sz w:val="18"/>
          <w:szCs w:val="18"/>
          <w:color w:val="FD349C"/>
          <w:position w:val="-1"/>
        </w:rPr>
        <w:t>其他储能：8.2</w:t>
      </w:r>
    </w:p>
    <w:p>
      <w:pPr>
        <w:ind w:left="3605"/>
        <w:spacing w:before="1" w:line="176"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FD349C"/>
        </w:rPr>
        <w:t>其他储能：8.1</w:t>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ind w:left="335"/>
        <w:spacing w:before="65" w:line="185"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3"/>
        </w:rPr>
        <w:t>数据来源： </w:t>
      </w:r>
      <w:r>
        <w:rPr>
          <w:rFonts w:ascii="Microsoft YaHei" w:hAnsi="Microsoft YaHei" w:eastAsia="Microsoft YaHei" w:cs="Microsoft YaHei"/>
          <w:sz w:val="15"/>
          <w:szCs w:val="15"/>
        </w:rPr>
        <w:t>CNESA</w:t>
      </w:r>
      <w:r>
        <w:rPr>
          <w:rFonts w:ascii="Microsoft YaHei" w:hAnsi="Microsoft YaHei" w:eastAsia="Microsoft YaHei" w:cs="Microsoft YaHei"/>
          <w:sz w:val="15"/>
          <w:szCs w:val="15"/>
          <w:spacing w:val="3"/>
        </w:rPr>
        <w:t>，毕马威分析</w:t>
      </w:r>
    </w:p>
    <w:p>
      <w:pPr>
        <w:pStyle w:val="BodyText"/>
        <w:spacing w:line="293" w:lineRule="auto"/>
        <w:rPr/>
      </w:pPr>
      <w:r/>
    </w:p>
    <w:p>
      <w:pPr>
        <w:pStyle w:val="BodyText"/>
        <w:spacing w:line="293" w:lineRule="auto"/>
        <w:rPr/>
      </w:pPr>
      <w:r/>
    </w:p>
    <w:p>
      <w:pPr>
        <w:ind w:left="336" w:right="2997" w:firstLine="18"/>
        <w:spacing w:before="90" w:line="217"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电化学储能装机规模中又以锂离子电池为主导</w:t>
      </w:r>
      <w:r>
        <w:rPr>
          <w:rFonts w:ascii="Microsoft YaHei" w:hAnsi="Microsoft YaHei" w:eastAsia="Microsoft YaHei" w:cs="Microsoft YaHei"/>
          <w:sz w:val="21"/>
          <w:szCs w:val="21"/>
          <w:spacing w:val="-27"/>
        </w:rPr>
        <w:t xml:space="preserve"> </w:t>
      </w:r>
      <w:r>
        <w:rPr>
          <w:rFonts w:ascii="Microsoft YaHei" w:hAnsi="Microsoft YaHei" w:eastAsia="Microsoft YaHei" w:cs="Microsoft YaHei"/>
          <w:sz w:val="21"/>
          <w:szCs w:val="21"/>
          <w:spacing w:val="3"/>
        </w:rPr>
        <w:t>，根据中国电力企业联合会（简称中电</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6"/>
        </w:rPr>
        <w:t>联）</w:t>
      </w:r>
      <w:r>
        <w:rPr>
          <w:rFonts w:ascii="Microsoft YaHei" w:hAnsi="Microsoft YaHei" w:eastAsia="Microsoft YaHei" w:cs="Microsoft YaHei"/>
          <w:sz w:val="21"/>
          <w:szCs w:val="21"/>
          <w:spacing w:val="-23"/>
        </w:rPr>
        <w:t xml:space="preserve"> </w:t>
      </w:r>
      <w:r>
        <w:rPr>
          <w:rFonts w:ascii="Microsoft YaHei" w:hAnsi="Microsoft YaHei" w:eastAsia="Microsoft YaHei" w:cs="Microsoft YaHei"/>
          <w:sz w:val="21"/>
          <w:szCs w:val="21"/>
          <w:spacing w:val="6"/>
        </w:rPr>
        <w:t>数据</w:t>
      </w:r>
      <w:r>
        <w:rPr>
          <w:rFonts w:ascii="Microsoft YaHei" w:hAnsi="Microsoft YaHei" w:eastAsia="Microsoft YaHei" w:cs="Microsoft YaHei"/>
          <w:sz w:val="21"/>
          <w:szCs w:val="21"/>
          <w:spacing w:val="-19"/>
        </w:rPr>
        <w:t xml:space="preserve"> </w:t>
      </w:r>
      <w:r>
        <w:rPr>
          <w:rFonts w:ascii="Microsoft YaHei" w:hAnsi="Microsoft YaHei" w:eastAsia="Microsoft YaHei" w:cs="Microsoft YaHei"/>
          <w:sz w:val="21"/>
          <w:szCs w:val="21"/>
          <w:spacing w:val="6"/>
        </w:rPr>
        <w:t>，截至2022年底</w:t>
      </w:r>
      <w:r>
        <w:rPr>
          <w:rFonts w:ascii="Microsoft YaHei" w:hAnsi="Microsoft YaHei" w:eastAsia="Microsoft YaHei" w:cs="Microsoft YaHei"/>
          <w:sz w:val="21"/>
          <w:szCs w:val="21"/>
          <w:spacing w:val="-19"/>
        </w:rPr>
        <w:t xml:space="preserve"> </w:t>
      </w:r>
      <w:r>
        <w:rPr>
          <w:rFonts w:ascii="Microsoft YaHei" w:hAnsi="Microsoft YaHei" w:eastAsia="Microsoft YaHei" w:cs="Microsoft YaHei"/>
          <w:sz w:val="21"/>
          <w:szCs w:val="21"/>
          <w:spacing w:val="6"/>
        </w:rPr>
        <w:t>，</w:t>
      </w:r>
      <w:r>
        <w:rPr>
          <w:rFonts w:ascii="Microsoft YaHei" w:hAnsi="Microsoft YaHei" w:eastAsia="Microsoft YaHei" w:cs="Microsoft YaHei"/>
          <w:sz w:val="21"/>
          <w:szCs w:val="21"/>
          <w:spacing w:val="-32"/>
        </w:rPr>
        <w:t xml:space="preserve"> </w:t>
      </w:r>
      <w:r>
        <w:rPr>
          <w:rFonts w:ascii="Microsoft YaHei" w:hAnsi="Microsoft YaHei" w:eastAsia="Microsoft YaHei" w:cs="Microsoft YaHei"/>
          <w:sz w:val="21"/>
          <w:szCs w:val="21"/>
          <w:spacing w:val="6"/>
        </w:rPr>
        <w:t>中国累计投运</w:t>
      </w:r>
      <w:r>
        <w:rPr>
          <w:rFonts w:ascii="Microsoft YaHei" w:hAnsi="Microsoft YaHei" w:eastAsia="Microsoft YaHei" w:cs="Microsoft YaHei"/>
          <w:sz w:val="21"/>
          <w:szCs w:val="21"/>
          <w:spacing w:val="-24"/>
        </w:rPr>
        <w:t xml:space="preserve"> </w:t>
      </w:r>
      <w:r>
        <w:rPr>
          <w:rFonts w:ascii="Microsoft YaHei" w:hAnsi="Microsoft YaHei" w:eastAsia="Microsoft YaHei" w:cs="Microsoft YaHei"/>
          <w:sz w:val="21"/>
          <w:szCs w:val="21"/>
          <w:spacing w:val="6"/>
        </w:rPr>
        <w:t>的电化</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6"/>
        </w:rPr>
        <w:t>学储能项目中锂离子电池</w:t>
      </w:r>
      <w:r>
        <w:rPr>
          <w:rFonts w:ascii="Microsoft YaHei" w:hAnsi="Microsoft YaHei" w:eastAsia="Microsoft YaHei" w:cs="Microsoft YaHei"/>
          <w:sz w:val="21"/>
          <w:szCs w:val="21"/>
          <w:spacing w:val="-10"/>
        </w:rPr>
        <w:t xml:space="preserve"> </w:t>
      </w:r>
      <w:r>
        <w:rPr>
          <w:rFonts w:ascii="Microsoft YaHei" w:hAnsi="Microsoft YaHei" w:eastAsia="Microsoft YaHei" w:cs="Microsoft YaHei"/>
          <w:sz w:val="21"/>
          <w:szCs w:val="21"/>
          <w:spacing w:val="6"/>
        </w:rPr>
        <w:t>占比为</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89.5%，其中磷酸铁锂电池占比88.7%（图</w:t>
      </w:r>
      <w:r>
        <w:rPr>
          <w:rFonts w:ascii="Microsoft YaHei" w:hAnsi="Microsoft YaHei" w:eastAsia="Microsoft YaHei" w:cs="Microsoft YaHei"/>
          <w:sz w:val="21"/>
          <w:szCs w:val="21"/>
          <w:spacing w:val="46"/>
          <w:w w:val="101"/>
        </w:rPr>
        <w:t xml:space="preserve"> </w:t>
      </w:r>
      <w:r>
        <w:rPr>
          <w:rFonts w:ascii="Microsoft YaHei" w:hAnsi="Microsoft YaHei" w:eastAsia="Microsoft YaHei" w:cs="Microsoft YaHei"/>
          <w:sz w:val="21"/>
          <w:szCs w:val="21"/>
          <w:spacing w:val="-2"/>
        </w:rPr>
        <w:t>4）。</w:t>
      </w:r>
    </w:p>
    <w:p>
      <w:pPr>
        <w:pStyle w:val="BodyText"/>
        <w:spacing w:line="469" w:lineRule="auto"/>
        <w:rPr/>
      </w:pPr>
      <w:r>
        <w:pict>
          <v:rect id="_x0000_s272" style="position:absolute;margin-left:16.4509pt;margin-top:16.8227pt;mso-position-vertical-relative:text;mso-position-horizontal-relative:text;width:30.5pt;height:5pt;z-index:251837440;" fillcolor="#00B8F5" filled="true" stroked="false"/>
        </w:pict>
      </w:r>
      <w:r/>
    </w:p>
    <w:p>
      <w:pPr>
        <w:ind w:left="1244"/>
        <w:spacing w:before="90" w:line="179" w:lineRule="auto"/>
        <w:rPr>
          <w:rFonts w:ascii="Microsoft YaHei" w:hAnsi="Microsoft YaHei" w:eastAsia="Microsoft YaHei" w:cs="Microsoft YaHei"/>
          <w:sz w:val="21"/>
          <w:szCs w:val="21"/>
        </w:rPr>
      </w:pPr>
      <w:r>
        <mc:AlternateContent xmlns:mc="http://schemas.openxmlformats.org/markup-compatibility/2006">
          <mc:Choice Requires="wps">
            <w:drawing>
              <wp:anchor distT="0" distB="0" distL="0" distR="0" simplePos="0" relativeHeight="251816960" behindDoc="1" locked="0" layoutInCell="1" allowOverlap="1">
                <wp:simplePos x="0" y="0"/>
                <wp:positionH relativeFrom="column">
                  <wp:posOffset>207402</wp:posOffset>
                </wp:positionH>
                <wp:positionV relativeFrom="paragraph">
                  <wp:posOffset>-40536</wp:posOffset>
                </wp:positionV>
                <wp:extent cx="6123940" cy="329565"/>
                <wp:effectExtent l="0" t="0" r="0" b="0"/>
                <wp:wrapNone/>
                <wp:docPr id="154" name="Rect 154"/>
                <wp:cNvGraphicFramePr/>
                <a:graphic>
                  <a:graphicData uri="http://schemas.microsoft.com/office/word/2010/wordprocessingShape">
                    <wps:wsp>
                      <wps:cNvPr id="154" name="Rect 154"/>
                      <wps:cNvSpPr/>
                      <wps:spPr>
                        <a:xfrm>
                          <a:off x="207402" y="-40536"/>
                          <a:ext cx="6123940" cy="329565"/>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274" style="position:absolute;margin-left:16.3309pt;margin-top:-3.19185pt;mso-position-vertical-relative:text;mso-position-horizontal-relative:text;width:482.2pt;height:25.95pt;z-index:-251499520;" fillcolor="#F1F1F1" filled="true" stroked="false"/>
            </w:pict>
          </mc:Fallback>
        </mc:AlternateContent>
      </w:r>
      <w:r>
        <w:pict>
          <v:shape id="_x0000_s276" style="position:absolute;margin-left:23.3401pt;margin-top:1.80815pt;mso-position-vertical-relative:text;mso-position-horizontal-relative:text;width:31.5pt;height:18.2pt;z-index:251831296;" filled="false" stroked="false" type="#_x0000_t202">
            <v:fill on="false"/>
            <v:stroke on="false"/>
            <v:path/>
            <v:imagedata o:title=""/>
            <o:lock v:ext="edit" aspectratio="false"/>
            <v:textbox inset="0mm,0mm,0mm,0mm">
              <w:txbxContent>
                <w:p>
                  <w:pPr>
                    <w:ind w:left="20"/>
                    <w:spacing w:before="20" w:line="215" w:lineRule="auto"/>
                    <w:rPr>
                      <w:sz w:val="21"/>
                      <w:szCs w:val="21"/>
                    </w:rPr>
                  </w:pPr>
                  <w:r>
                    <w:rPr>
                      <w:rFonts w:ascii="Microsoft YaHei" w:hAnsi="Microsoft YaHei" w:eastAsia="Microsoft YaHei" w:cs="Microsoft YaHei"/>
                      <w:sz w:val="21"/>
                      <w:szCs w:val="21"/>
                      <w:b/>
                      <w:bCs/>
                      <w:color w:val="00B8F5"/>
                      <w:spacing w:val="-12"/>
                    </w:rPr>
                    <w:t>图</w:t>
                  </w:r>
                  <w:r>
                    <w:rPr>
                      <w:rFonts w:ascii="Microsoft YaHei" w:hAnsi="Microsoft YaHei" w:eastAsia="Microsoft YaHei" w:cs="Microsoft YaHei"/>
                      <w:sz w:val="21"/>
                      <w:szCs w:val="21"/>
                      <w:b/>
                      <w:bCs/>
                      <w:color w:val="00B8F5"/>
                      <w:spacing w:val="-11"/>
                    </w:rPr>
                    <w:t xml:space="preserve"> </w:t>
                  </w:r>
                  <w:r>
                    <w:rPr>
                      <w:rFonts w:ascii="Microsoft YaHei" w:hAnsi="Microsoft YaHei" w:eastAsia="Microsoft YaHei" w:cs="Microsoft YaHei"/>
                      <w:sz w:val="21"/>
                      <w:szCs w:val="21"/>
                      <w:b/>
                      <w:bCs/>
                      <w:color w:val="00B8F5"/>
                      <w:spacing w:val="-12"/>
                    </w:rPr>
                    <w:t>4</w:t>
                  </w:r>
                  <w:r>
                    <w:rPr>
                      <w:rFonts w:ascii="Microsoft YaHei" w:hAnsi="Microsoft YaHei" w:eastAsia="Microsoft YaHei" w:cs="Microsoft YaHei"/>
                      <w:sz w:val="21"/>
                      <w:szCs w:val="21"/>
                      <w:b/>
                      <w:bCs/>
                      <w:color w:val="00B8F5"/>
                      <w:spacing w:val="4"/>
                    </w:rPr>
                    <w:t xml:space="preserve">   </w:t>
                  </w:r>
                  <w:r>
                    <w:rPr>
                      <w:sz w:val="21"/>
                      <w:szCs w:val="21"/>
                      <w:position w:val="-5"/>
                    </w:rPr>
                    <w:drawing>
                      <wp:inline distT="0" distB="0" distL="0" distR="0">
                        <wp:extent cx="12700" cy="175666"/>
                        <wp:effectExtent l="0" t="0" r="0" b="0"/>
                        <wp:docPr id="156" name="IM 156"/>
                        <wp:cNvGraphicFramePr/>
                        <a:graphic>
                          <a:graphicData uri="http://schemas.openxmlformats.org/drawingml/2006/picture">
                            <pic:pic>
                              <pic:nvPicPr>
                                <pic:cNvPr id="156" name="IM 156"/>
                                <pic:cNvPicPr/>
                              </pic:nvPicPr>
                              <pic:blipFill>
                                <a:blip r:embed="rId65"/>
                                <a:stretch>
                                  <a:fillRect/>
                                </a:stretch>
                              </pic:blipFill>
                              <pic:spPr>
                                <a:xfrm rot="0">
                                  <a:off x="0" y="0"/>
                                  <a:ext cx="12700" cy="175666"/>
                                </a:xfrm>
                                <a:prstGeom prst="rect">
                                  <a:avLst/>
                                </a:prstGeom>
                              </pic:spPr>
                            </pic:pic>
                          </a:graphicData>
                        </a:graphic>
                      </wp:inline>
                    </w:drawing>
                  </w:r>
                </w:p>
              </w:txbxContent>
            </v:textbox>
          </v:shape>
        </w:pict>
      </w:r>
      <w:r>
        <w:rPr>
          <w:rFonts w:ascii="Microsoft YaHei" w:hAnsi="Microsoft YaHei" w:eastAsia="Microsoft YaHei" w:cs="Microsoft YaHei"/>
          <w:sz w:val="21"/>
          <w:szCs w:val="21"/>
          <w:b/>
          <w:bCs/>
          <w:color w:val="00B8F5"/>
          <w:spacing w:val="-1"/>
        </w:rPr>
        <w:t>截至2022年底中国电化学储能电池类型累计占比</w:t>
      </w:r>
    </w:p>
    <w:p>
      <w:pPr>
        <w:pStyle w:val="BodyText"/>
        <w:spacing w:line="273" w:lineRule="auto"/>
        <w:rPr/>
      </w:pPr>
      <w:r/>
    </w:p>
    <w:p>
      <w:pPr>
        <w:pStyle w:val="BodyText"/>
        <w:spacing w:line="273" w:lineRule="auto"/>
        <w:rPr/>
      </w:pPr>
      <w:r>
        <w:pict>
          <v:shape id="_x0000_s278" style="position:absolute;margin-left:132.731pt;margin-top:11.1399pt;mso-position-vertical-relative:text;mso-position-horizontal-relative:text;width:158.5pt;height:163.85pt;z-index:-251497472;" fillcolor="#122C88" filled="true" stroked="false" coordsize="3170,3277" coordorigin="0,0" path="m0,1100c296,252,1223,-195,2070,101c2918,398,3364,1327,3068,2175c2772,3024,1844,3471,997,3174c530,3011,163,2643,0,2175l1534,1638l0,1100xe"/>
        </w:pict>
      </w:r>
      <w:r/>
    </w:p>
    <w:p>
      <w:pPr>
        <w:pStyle w:val="BodyText"/>
        <w:spacing w:line="274" w:lineRule="auto"/>
        <w:rPr/>
      </w:pPr>
      <w:r>
        <w:pict>
          <v:shape id="_x0000_s280" style="position:absolute;margin-left:242.421pt;margin-top:13.8038pt;mso-position-vertical-relative:text;mso-position-horizontal-relative:text;width:202.6pt;height:0.5pt;z-index:-251496448;" filled="false" strokecolor="#A8A8A8" strokeweight="0.50pt" coordsize="4052,10" coordorigin="0,0" path="m0,5l4051,5e">
            <v:stroke joinstyle="miter"/>
          </v:shape>
        </w:pict>
      </w:r>
      <w:r/>
    </w:p>
    <w:p>
      <w:pPr>
        <w:pStyle w:val="BodyText"/>
        <w:ind w:firstLine="7670"/>
        <w:spacing w:before="1" w:line="2587" w:lineRule="exact"/>
        <w:rPr/>
      </w:pPr>
      <w:r>
        <w:drawing>
          <wp:anchor distT="0" distB="0" distL="0" distR="0" simplePos="0" relativeHeight="251832320" behindDoc="0" locked="0" layoutInCell="1" allowOverlap="1">
            <wp:simplePos x="0" y="0"/>
            <wp:positionH relativeFrom="column">
              <wp:posOffset>3075570</wp:posOffset>
            </wp:positionH>
            <wp:positionV relativeFrom="paragraph">
              <wp:posOffset>1643117</wp:posOffset>
            </wp:positionV>
            <wp:extent cx="2572537" cy="12319"/>
            <wp:effectExtent l="0" t="0" r="0" b="0"/>
            <wp:wrapNone/>
            <wp:docPr id="158" name="IM 158"/>
            <wp:cNvGraphicFramePr/>
            <a:graphic>
              <a:graphicData uri="http://schemas.openxmlformats.org/drawingml/2006/picture">
                <pic:pic>
                  <pic:nvPicPr>
                    <pic:cNvPr id="158" name="IM 158"/>
                    <pic:cNvPicPr/>
                  </pic:nvPicPr>
                  <pic:blipFill>
                    <a:blip r:embed="rId66"/>
                    <a:stretch>
                      <a:fillRect/>
                    </a:stretch>
                  </pic:blipFill>
                  <pic:spPr>
                    <a:xfrm rot="0">
                      <a:off x="0" y="0"/>
                      <a:ext cx="2572537" cy="12319"/>
                    </a:xfrm>
                    <a:prstGeom prst="rect">
                      <a:avLst/>
                    </a:prstGeom>
                  </pic:spPr>
                </pic:pic>
              </a:graphicData>
            </a:graphic>
          </wp:anchor>
        </w:drawing>
      </w:r>
      <w:r>
        <w:pict>
          <v:shape id="_x0000_s282" style="position:absolute;margin-left:242.171pt;margin-top:90.0294pt;mso-position-vertical-relative:text;mso-position-horizontal-relative:text;width:0.5pt;height:40.2pt;z-index:251838464;" filled="false" strokecolor="#A8A8A8" strokeweight="0.50pt" coordsize="10,804" coordorigin="0,0" path="m5,0l5,803e">
            <v:stroke joinstyle="miter"/>
          </v:shape>
        </w:pict>
      </w:r>
      <w:r>
        <w:pict>
          <v:shape id="_x0000_s284" style="position:absolute;margin-left:242.171pt;margin-top:0.269378pt;mso-position-vertical-relative:text;mso-position-horizontal-relative:text;width:0.5pt;height:33.1pt;z-index:251839488;" filled="false" strokecolor="#A8A8A8" strokeweight="0.50pt" coordsize="10,661" coordorigin="0,0" path="m5,0l5,661e">
            <v:stroke joinstyle="miter"/>
          </v:shape>
        </w:pict>
      </w:r>
      <w:r>
        <w:pict>
          <v:shape id="_x0000_s286" style="position:absolute;margin-left:60.9954pt;margin-top:43.9113pt;mso-position-vertical-relative:text;mso-position-horizontal-relative:text;width:65.35pt;height:51.85pt;z-index:251825152;" filled="false" stroked="false" type="#_x0000_t202">
            <v:fill on="false"/>
            <v:stroke on="false"/>
            <v:path/>
            <v:imagedata o:title=""/>
            <o:lock v:ext="edit" aspectratio="false"/>
            <v:textbox inset="0mm,0mm,0mm,0mm">
              <w:txbxContent>
                <w:p>
                  <w:pPr>
                    <w:ind w:left="20"/>
                    <w:spacing w:before="19" w:line="192"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FD349C"/>
                      <w:spacing w:val="1"/>
                    </w:rPr>
                    <w:t>铅酸/铅碳,4.0%</w:t>
                  </w:r>
                </w:p>
                <w:p>
                  <w:pPr>
                    <w:ind w:right="24"/>
                    <w:spacing w:before="153" w:line="192" w:lineRule="auto"/>
                    <w:jc w:val="right"/>
                    <w:rPr>
                      <w:rFonts w:ascii="Microsoft YaHei" w:hAnsi="Microsoft YaHei" w:eastAsia="Microsoft YaHei" w:cs="Microsoft YaHei"/>
                      <w:sz w:val="18"/>
                      <w:szCs w:val="18"/>
                    </w:rPr>
                  </w:pPr>
                  <w:r>
                    <w:rPr>
                      <w:rFonts w:ascii="Microsoft YaHei" w:hAnsi="Microsoft YaHei" w:eastAsia="Microsoft YaHei" w:cs="Microsoft YaHei"/>
                      <w:sz w:val="18"/>
                      <w:szCs w:val="18"/>
                      <w:color w:val="00B8F5"/>
                    </w:rPr>
                    <w:t>液流,</w:t>
                  </w:r>
                  <w:r>
                    <w:rPr>
                      <w:rFonts w:ascii="Microsoft YaHei" w:hAnsi="Microsoft YaHei" w:eastAsia="Microsoft YaHei" w:cs="Microsoft YaHei"/>
                      <w:sz w:val="18"/>
                      <w:szCs w:val="18"/>
                      <w:color w:val="00B8F5"/>
                      <w:spacing w:val="-7"/>
                    </w:rPr>
                    <w:t xml:space="preserve"> </w:t>
                  </w:r>
                  <w:r>
                    <w:rPr>
                      <w:rFonts w:ascii="Microsoft YaHei" w:hAnsi="Microsoft YaHei" w:eastAsia="Microsoft YaHei" w:cs="Microsoft YaHei"/>
                      <w:sz w:val="18"/>
                      <w:szCs w:val="18"/>
                      <w:color w:val="00B8F5"/>
                    </w:rPr>
                    <w:t>3.7%</w:t>
                  </w:r>
                </w:p>
                <w:p>
                  <w:pPr>
                    <w:ind w:right="24"/>
                    <w:spacing w:before="102" w:line="192" w:lineRule="auto"/>
                    <w:jc w:val="right"/>
                    <w:rPr>
                      <w:rFonts w:ascii="Microsoft YaHei" w:hAnsi="Microsoft YaHei" w:eastAsia="Microsoft YaHei" w:cs="Microsoft YaHei"/>
                      <w:sz w:val="18"/>
                      <w:szCs w:val="18"/>
                    </w:rPr>
                  </w:pPr>
                  <w:r>
                    <w:rPr>
                      <w:rFonts w:ascii="Microsoft YaHei" w:hAnsi="Microsoft YaHei" w:eastAsia="Microsoft YaHei" w:cs="Microsoft YaHei"/>
                      <w:sz w:val="18"/>
                      <w:szCs w:val="18"/>
                      <w:color w:val="1E49E2"/>
                    </w:rPr>
                    <w:t>其他,</w:t>
                  </w:r>
                  <w:r>
                    <w:rPr>
                      <w:rFonts w:ascii="Microsoft YaHei" w:hAnsi="Microsoft YaHei" w:eastAsia="Microsoft YaHei" w:cs="Microsoft YaHei"/>
                      <w:sz w:val="18"/>
                      <w:szCs w:val="18"/>
                      <w:color w:val="1E49E2"/>
                      <w:spacing w:val="-8"/>
                    </w:rPr>
                    <w:t xml:space="preserve"> </w:t>
                  </w:r>
                  <w:r>
                    <w:rPr>
                      <w:rFonts w:ascii="Microsoft YaHei" w:hAnsi="Microsoft YaHei" w:eastAsia="Microsoft YaHei" w:cs="Microsoft YaHei"/>
                      <w:sz w:val="18"/>
                      <w:szCs w:val="18"/>
                      <w:color w:val="1E49E2"/>
                    </w:rPr>
                    <w:t>3.0%</w:t>
                  </w:r>
                </w:p>
              </w:txbxContent>
            </v:textbox>
          </v:shape>
        </w:pict>
      </w:r>
      <w:r>
        <w:pict>
          <v:shape id="_x0000_s288" style="position:absolute;margin-left:218.699pt;margin-top:46.2702pt;mso-position-vertical-relative:text;mso-position-horizontal-relative:text;width:46.45pt;height:38.05pt;z-index:251828224;" filled="false" stroked="false" type="#_x0000_t202">
            <v:fill on="false"/>
            <v:stroke on="false"/>
            <v:path/>
            <v:imagedata o:title=""/>
            <o:lock v:ext="edit" aspectratio="false"/>
            <v:textbox inset="0mm,0mm,0mm,0mm">
              <w:txbxContent>
                <w:p>
                  <w:pPr>
                    <w:ind w:left="20"/>
                    <w:spacing w:before="20" w:line="17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FFFFFF"/>
                      <w:spacing w:val="-2"/>
                    </w:rPr>
                    <w:t>锂离子</w:t>
                  </w:r>
                </w:p>
                <w:p>
                  <w:pPr>
                    <w:spacing w:before="27" w:line="184" w:lineRule="auto"/>
                    <w:jc w:val="right"/>
                    <w:rPr>
                      <w:rFonts w:ascii="Trebuchet MS" w:hAnsi="Trebuchet MS" w:eastAsia="Trebuchet MS" w:cs="Trebuchet MS"/>
                      <w:sz w:val="48"/>
                      <w:szCs w:val="48"/>
                    </w:rPr>
                  </w:pPr>
                  <w:r>
                    <w:rPr>
                      <w:rFonts w:ascii="Trebuchet MS" w:hAnsi="Trebuchet MS" w:eastAsia="Trebuchet MS" w:cs="Trebuchet MS"/>
                      <w:sz w:val="48"/>
                      <w:szCs w:val="48"/>
                      <w:b/>
                      <w:bCs/>
                      <w:color w:val="FFFFFF"/>
                      <w:spacing w:val="-52"/>
                      <w:w w:val="81"/>
                    </w:rPr>
                    <w:t>89.</w:t>
                  </w:r>
                  <w:r>
                    <w:rPr>
                      <w:rFonts w:ascii="Trebuchet MS" w:hAnsi="Trebuchet MS" w:eastAsia="Trebuchet MS" w:cs="Trebuchet MS"/>
                      <w:sz w:val="48"/>
                      <w:szCs w:val="48"/>
                      <w:b/>
                      <w:bCs/>
                      <w:color w:val="FFFFFF"/>
                      <w:spacing w:val="-51"/>
                      <w:w w:val="81"/>
                    </w:rPr>
                    <w:t>5</w:t>
                  </w:r>
                  <w:r>
                    <w:rPr>
                      <w:rFonts w:ascii="Trebuchet MS" w:hAnsi="Trebuchet MS" w:eastAsia="Trebuchet MS" w:cs="Trebuchet MS"/>
                      <w:sz w:val="48"/>
                      <w:szCs w:val="48"/>
                      <w:b/>
                      <w:bCs/>
                      <w:color w:val="FFFFFF"/>
                      <w:spacing w:val="-13"/>
                      <w:w w:val="81"/>
                    </w:rPr>
                    <w:t>%</w:t>
                  </w:r>
                </w:p>
              </w:txbxContent>
            </v:textbox>
          </v:shape>
        </w:pict>
      </w:r>
      <w:r>
        <w:pict>
          <v:shape id="_x0000_s290" style="position:absolute;margin-left:315.553pt;margin-top:97.6322pt;mso-position-vertical-relative:text;mso-position-horizontal-relative:text;width:55.75pt;height:27.9pt;z-index:251829248;" filled="false" stroked="false" type="#_x0000_t202">
            <v:fill on="false"/>
            <v:stroke on="false"/>
            <v:path/>
            <v:imagedata o:title=""/>
            <o:lock v:ext="edit" aspectratio="false"/>
            <v:textbox inset="0mm,0mm,0mm,0mm">
              <w:txbxContent>
                <w:p>
                  <w:pPr>
                    <w:ind w:left="126"/>
                    <w:spacing w:before="19" w:line="169"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00C0AE"/>
                    </w:rPr>
                    <w:t>三元，0.3%</w:t>
                  </w:r>
                </w:p>
                <w:p>
                  <w:pPr>
                    <w:ind w:left="20"/>
                    <w:spacing w:before="79" w:line="171" w:lineRule="auto"/>
                    <w:rPr>
                      <w:rFonts w:ascii="Microsoft YaHei" w:hAnsi="Microsoft YaHei" w:eastAsia="Microsoft YaHei" w:cs="Microsoft YaHei"/>
                      <w:sz w:val="18"/>
                      <w:szCs w:val="18"/>
                    </w:rPr>
                  </w:pPr>
                  <w:r>
                    <w:rPr>
                      <w:rFonts w:ascii="Microsoft YaHei" w:hAnsi="Microsoft YaHei" w:eastAsia="Microsoft YaHei" w:cs="Microsoft YaHei"/>
                      <w:sz w:val="15"/>
                      <w:szCs w:val="15"/>
                      <w:color w:val="A8A8A8"/>
                      <w:spacing w:val="1"/>
                    </w:rPr>
                    <w:t>钛酸锂</w:t>
                  </w:r>
                  <w:r>
                    <w:rPr>
                      <w:rFonts w:ascii="Microsoft YaHei" w:hAnsi="Microsoft YaHei" w:eastAsia="Microsoft YaHei" w:cs="Microsoft YaHei"/>
                      <w:sz w:val="15"/>
                      <w:szCs w:val="15"/>
                      <w:color w:val="A8A8A8"/>
                      <w:spacing w:val="-20"/>
                    </w:rPr>
                    <w:t xml:space="preserve"> </w:t>
                  </w:r>
                  <w:r>
                    <w:rPr>
                      <w:rFonts w:ascii="Microsoft YaHei" w:hAnsi="Microsoft YaHei" w:eastAsia="Microsoft YaHei" w:cs="Microsoft YaHei"/>
                      <w:sz w:val="15"/>
                      <w:szCs w:val="15"/>
                      <w:color w:val="A8A8A8"/>
                      <w:spacing w:val="1"/>
                    </w:rPr>
                    <w:t>，</w:t>
                  </w:r>
                  <w:r>
                    <w:rPr>
                      <w:rFonts w:ascii="Microsoft YaHei" w:hAnsi="Microsoft YaHei" w:eastAsia="Microsoft YaHei" w:cs="Microsoft YaHei"/>
                      <w:sz w:val="15"/>
                      <w:szCs w:val="15"/>
                      <w:color w:val="A8A8A8"/>
                      <w:spacing w:val="-18"/>
                    </w:rPr>
                    <w:t xml:space="preserve"> </w:t>
                  </w:r>
                  <w:r>
                    <w:rPr>
                      <w:rFonts w:ascii="Microsoft YaHei" w:hAnsi="Microsoft YaHei" w:eastAsia="Microsoft YaHei" w:cs="Microsoft YaHei"/>
                      <w:sz w:val="18"/>
                      <w:szCs w:val="18"/>
                      <w:color w:val="A8A8A8"/>
                      <w:spacing w:val="1"/>
                    </w:rPr>
                    <w:t>0.2%</w:t>
                  </w:r>
                </w:p>
              </w:txbxContent>
            </v:textbox>
          </v:shape>
        </w:pict>
      </w:r>
      <w:r>
        <w:pict>
          <v:group id="_x0000_s292" style="position:absolute;margin-left:127.691pt;margin-top:38.6598pt;mso-position-vertical-relative:text;mso-position-horizontal-relative:text;width:81.65pt;height:53.8pt;z-index:-251498496;" filled="false" stroked="false" coordsize="1633,1075" coordorigin="0,0">
            <v:shape id="_x0000_s294" style="position:absolute;left:24;top:542;width:1608;height:532;" fillcolor="#1E49E2" filled="true" stroked="false" coordsize="1608,532" coordorigin="0,0" path="m73,532c39,436,15,338,0,237l1607,0l73,532xe"/>
            <v:shape id="_x0000_s296" style="position:absolute;left:0;top:403;width:1633;height:375;" fillcolor="#ACEAFF" filled="true" stroked="false" coordsize="1633,375" coordorigin="0,0" path="m22,374c3,250,0,124,10,0l1632,136l22,374xe"/>
            <v:shape id="_x0000_s298" style="position:absolute;left:14;top:0;width:1618;height:542;" fillcolor="#FD349C" filled="true" stroked="false" coordsize="1618,542" coordorigin="0,0" path="m0,403c11,265,40,130,85,0l1617,542l0,403xe"/>
          </v:group>
        </w:pict>
      </w:r>
      <w:r>
        <w:pict>
          <v:shape id="_x0000_s300" style="position:absolute;margin-left:372.033pt;margin-top:104.087pt;mso-position-vertical-relative:text;mso-position-horizontal-relative:text;width:12.15pt;height:26.25pt;z-index:251833344;" filled="false" strokecolor="#A8A8A8" strokeweight="0.50pt" coordsize="242,525" coordorigin="0,0" path="m4,2l237,522m18,299l237,520e">
            <v:stroke joinstyle="miter"/>
          </v:shape>
        </w:pict>
      </w:r>
      <w:r>
        <w:rPr>
          <w:position w:val="-51"/>
        </w:rPr>
        <w:pict>
          <v:shape id="_x0000_s302" style="mso-position-vertical-relative:line;mso-position-horizontal-relative:char;width:54.25pt;height:129.4pt;" fillcolor="#00B8F5" filled="true" stroked="false" type="#_x0000_t202">
            <v:fill on="true"/>
            <v:stroke on="false"/>
            <v:path/>
            <v:imagedata o:title=""/>
            <o:lock v:ext="edit" aspectratio="false"/>
            <v:textbox inset="0mm,0mm,0mm,0mm">
              <w:txbxContent>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ind w:left="88"/>
                    <w:spacing w:before="90" w:line="17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FFFFFF"/>
                      <w:spacing w:val="-1"/>
                    </w:rPr>
                    <w:t>磷酸铁锂</w:t>
                  </w:r>
                </w:p>
                <w:p>
                  <w:pPr>
                    <w:ind w:left="93"/>
                    <w:spacing w:before="28" w:line="184" w:lineRule="auto"/>
                    <w:rPr>
                      <w:rFonts w:ascii="Trebuchet MS" w:hAnsi="Trebuchet MS" w:eastAsia="Trebuchet MS" w:cs="Trebuchet MS"/>
                      <w:sz w:val="48"/>
                      <w:szCs w:val="48"/>
                    </w:rPr>
                  </w:pPr>
                  <w:r>
                    <w:rPr>
                      <w:rFonts w:ascii="Trebuchet MS" w:hAnsi="Trebuchet MS" w:eastAsia="Trebuchet MS" w:cs="Trebuchet MS"/>
                      <w:sz w:val="48"/>
                      <w:szCs w:val="48"/>
                      <w:b/>
                      <w:bCs/>
                      <w:color w:val="FFFFFF"/>
                      <w:spacing w:val="-37"/>
                      <w:w w:val="82"/>
                    </w:rPr>
                    <w:t>88.7%</w:t>
                  </w:r>
                </w:p>
              </w:txbxContent>
            </v:textbox>
          </v:shape>
        </w:pict>
      </w:r>
    </w:p>
    <w:p>
      <w:pPr>
        <w:pStyle w:val="BodyText"/>
        <w:rPr/>
      </w:pPr>
      <w:r/>
    </w:p>
    <w:p>
      <w:pPr>
        <w:pStyle w:val="BodyText"/>
        <w:spacing w:line="241" w:lineRule="auto"/>
        <w:rPr/>
      </w:pPr>
      <w:r/>
    </w:p>
    <w:p>
      <w:pPr>
        <w:ind w:left="335"/>
        <w:spacing w:before="65" w:line="187"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8"/>
        </w:rPr>
        <w:t>数据来源：中国电力企业联合会，毕马威分析</w:t>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1" w:lineRule="auto"/>
        <w:rPr/>
      </w:pPr>
      <w:r/>
    </w:p>
    <w:p>
      <w:pPr>
        <w:pStyle w:val="BodyText"/>
        <w:spacing w:line="261" w:lineRule="auto"/>
        <w:rPr/>
      </w:pPr>
      <w:r/>
    </w:p>
    <w:p>
      <w:pPr>
        <w:ind w:left="831" w:right="1241" w:hanging="411"/>
        <w:spacing w:before="47"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974" w:header="0" w:footer="0" w:gutter="0"/>
        </w:sectPr>
        <w:rPr>
          <w:rFonts w:ascii="Microsoft YaHei" w:hAnsi="Microsoft YaHei" w:eastAsia="Microsoft YaHei" w:cs="Microsoft YaHei"/>
          <w:sz w:val="11"/>
          <w:szCs w:val="11"/>
        </w:rPr>
      </w:pPr>
    </w:p>
    <w:p>
      <w:pPr>
        <w:ind w:left="7674"/>
        <w:spacing w:before="314" w:line="193" w:lineRule="auto"/>
        <w:outlineLvl w:val="0"/>
        <w:rPr>
          <w:rFonts w:ascii="Microsoft YaHei" w:hAnsi="Microsoft YaHei" w:eastAsia="Microsoft YaHei" w:cs="Microsoft YaHei"/>
          <w:sz w:val="18"/>
          <w:szCs w:val="18"/>
        </w:rPr>
      </w:pPr>
      <w:r>
        <w:pict>
          <v:rect id="_x0000_s304" style="position:absolute;margin-left:611.99pt;margin-top:0pt;mso-position-vertical-relative:page;mso-position-horizontal-relative:page;width:0.25pt;height:859pt;z-index:251841536;" o:allowincell="f" fillcolor="#000000" filled="true" stroked="false"/>
        </w:pict>
      </w:r>
      <w:r>
        <w:rPr>
          <w:rFonts w:ascii="Microsoft YaHei" w:hAnsi="Microsoft YaHei" w:eastAsia="Microsoft YaHei" w:cs="Microsoft YaHei"/>
          <w:sz w:val="18"/>
          <w:szCs w:val="18"/>
          <w:color w:val="A8A8A8"/>
          <w:spacing w:val="-1"/>
        </w:rPr>
        <w:t>新型储能助力能源转型</w:t>
      </w:r>
      <w:r>
        <w:rPr>
          <w:rFonts w:ascii="Microsoft YaHei" w:hAnsi="Microsoft YaHei" w:eastAsia="Microsoft YaHei" w:cs="Microsoft YaHei"/>
          <w:sz w:val="18"/>
          <w:szCs w:val="18"/>
          <w:color w:val="A8A8A8"/>
          <w:spacing w:val="25"/>
          <w:w w:val="101"/>
        </w:rPr>
        <w:t xml:space="preserve">  </w:t>
      </w:r>
      <w:r>
        <w:rPr>
          <w:sz w:val="18"/>
          <w:szCs w:val="18"/>
          <w:position w:val="-4"/>
        </w:rPr>
        <w:drawing>
          <wp:inline distT="0" distB="0" distL="0" distR="0">
            <wp:extent cx="6350" cy="130175"/>
            <wp:effectExtent l="0" t="0" r="0" b="0"/>
            <wp:docPr id="160" name="IM 160"/>
            <wp:cNvGraphicFramePr/>
            <a:graphic>
              <a:graphicData uri="http://schemas.openxmlformats.org/drawingml/2006/picture">
                <pic:pic>
                  <pic:nvPicPr>
                    <pic:cNvPr id="160" name="IM 160"/>
                    <pic:cNvPicPr/>
                  </pic:nvPicPr>
                  <pic:blipFill>
                    <a:blip r:embed="rId67"/>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spacing w:val="16"/>
          <w:w w:val="101"/>
        </w:rPr>
        <w:t xml:space="preserve">  </w:t>
      </w:r>
      <w:r>
        <w:rPr>
          <w:rFonts w:ascii="Microsoft YaHei" w:hAnsi="Microsoft YaHei" w:eastAsia="Microsoft YaHei" w:cs="Microsoft YaHei"/>
          <w:sz w:val="18"/>
          <w:szCs w:val="18"/>
          <w:b/>
          <w:bCs/>
          <w:color w:val="A8A8A8"/>
          <w:spacing w:val="-1"/>
        </w:rPr>
        <w:t>20</w:t>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ind w:left="8" w:right="2997"/>
        <w:spacing w:before="90" w:line="21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相较其他类型的电化学储能技术</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4"/>
        </w:rPr>
        <w:t>，锂离子电池具</w:t>
      </w:r>
      <w:r>
        <w:rPr>
          <w:rFonts w:ascii="Microsoft YaHei" w:hAnsi="Microsoft YaHei" w:eastAsia="Microsoft YaHei" w:cs="Microsoft YaHei"/>
          <w:sz w:val="21"/>
          <w:szCs w:val="21"/>
          <w:spacing w:val="3"/>
        </w:rPr>
        <w:t>有响应速度快、容量大、污染小、寿</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命长等优点</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，可广泛应用于风电光伏等新能源发电侧配储和用户侧储</w:t>
      </w:r>
      <w:r>
        <w:rPr>
          <w:rFonts w:ascii="Microsoft YaHei" w:hAnsi="Microsoft YaHei" w:eastAsia="Microsoft YaHei" w:cs="Microsoft YaHei"/>
          <w:sz w:val="21"/>
          <w:szCs w:val="21"/>
          <w:spacing w:val="2"/>
        </w:rPr>
        <w:t>能</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，是近年来发</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展最快的电化学储能技术之一（表 2）。锂离子电池占比高，但其在大规模应用过程中</w:t>
      </w:r>
      <w:r>
        <w:rPr>
          <w:rFonts w:ascii="Microsoft YaHei" w:hAnsi="Microsoft YaHei" w:eastAsia="Microsoft YaHei" w:cs="Microsoft YaHei"/>
          <w:sz w:val="21"/>
          <w:szCs w:val="21"/>
          <w:spacing w:val="14"/>
        </w:rPr>
        <w:t xml:space="preserve"> </w:t>
      </w:r>
      <w:r>
        <w:rPr>
          <w:rFonts w:ascii="Microsoft YaHei" w:hAnsi="Microsoft YaHei" w:eastAsia="Microsoft YaHei" w:cs="Microsoft YaHei"/>
          <w:sz w:val="21"/>
          <w:szCs w:val="21"/>
          <w:spacing w:val="3"/>
        </w:rPr>
        <w:t>也存在热失控、易燃等安全隐患。据全国能源信息平台报告不完全统计，近10年全球</w:t>
      </w:r>
      <w:r>
        <w:rPr>
          <w:rFonts w:ascii="Microsoft YaHei" w:hAnsi="Microsoft YaHei" w:eastAsia="Microsoft YaHei" w:cs="Microsoft YaHei"/>
          <w:sz w:val="21"/>
          <w:szCs w:val="21"/>
          <w:spacing w:val="10"/>
        </w:rPr>
        <w:t xml:space="preserve"> </w:t>
      </w:r>
      <w:r>
        <w:rPr>
          <w:rFonts w:ascii="Microsoft YaHei" w:hAnsi="Microsoft YaHei" w:eastAsia="Microsoft YaHei" w:cs="Microsoft YaHei"/>
          <w:sz w:val="21"/>
          <w:szCs w:val="21"/>
          <w:spacing w:val="3"/>
        </w:rPr>
        <w:t>共发生70余起储能电站起火爆炸事故</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，事故</w:t>
      </w:r>
      <w:r>
        <w:rPr>
          <w:rFonts w:ascii="Microsoft YaHei" w:hAnsi="Microsoft YaHei" w:eastAsia="Microsoft YaHei" w:cs="Microsoft YaHei"/>
          <w:sz w:val="21"/>
          <w:szCs w:val="21"/>
          <w:spacing w:val="2"/>
        </w:rPr>
        <w:t>电池种类多为三元锂离子电池（主要指正</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极材料包含镍、钴</w:t>
      </w:r>
      <w:r>
        <w:rPr>
          <w:rFonts w:ascii="Microsoft YaHei" w:hAnsi="Microsoft YaHei" w:eastAsia="Microsoft YaHei" w:cs="Microsoft YaHei"/>
          <w:sz w:val="21"/>
          <w:szCs w:val="21"/>
          <w:spacing w:val="-20"/>
        </w:rPr>
        <w:t xml:space="preserve"> </w:t>
      </w:r>
      <w:r>
        <w:rPr>
          <w:rFonts w:ascii="Microsoft YaHei" w:hAnsi="Microsoft YaHei" w:eastAsia="Microsoft YaHei" w:cs="Microsoft YaHei"/>
          <w:sz w:val="21"/>
          <w:szCs w:val="21"/>
          <w:spacing w:val="1"/>
        </w:rPr>
        <w:t>、锰/铝三种金属元素的电池类型）</w:t>
      </w:r>
      <w:r>
        <w:rPr>
          <w:rFonts w:ascii="Microsoft YaHei" w:hAnsi="Microsoft YaHei" w:eastAsia="Microsoft YaHei" w:cs="Microsoft YaHei"/>
          <w:sz w:val="21"/>
          <w:szCs w:val="21"/>
          <w:spacing w:val="-36"/>
        </w:rPr>
        <w:t xml:space="preserve"> </w:t>
      </w:r>
      <w:r>
        <w:rPr>
          <w:rFonts w:ascii="Microsoft YaHei" w:hAnsi="Microsoft YaHei" w:eastAsia="Microsoft YaHei" w:cs="Microsoft YaHei"/>
          <w:sz w:val="13"/>
          <w:szCs w:val="13"/>
          <w:spacing w:val="1"/>
          <w:position w:val="6"/>
        </w:rPr>
        <w:t>11</w:t>
      </w:r>
      <w:r>
        <w:rPr>
          <w:rFonts w:ascii="Microsoft YaHei" w:hAnsi="Microsoft YaHei" w:eastAsia="Microsoft YaHei" w:cs="Microsoft YaHei"/>
          <w:sz w:val="21"/>
          <w:szCs w:val="21"/>
          <w:spacing w:val="1"/>
        </w:rPr>
        <w:t>。2022年6月</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1"/>
        </w:rPr>
        <w:t>，国家能源局发</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布《防止电力生产事故的二十五项重点要求（</w:t>
      </w:r>
      <w:r>
        <w:rPr>
          <w:rFonts w:ascii="Microsoft YaHei" w:hAnsi="Microsoft YaHei" w:eastAsia="Microsoft YaHei" w:cs="Microsoft YaHei"/>
          <w:sz w:val="21"/>
          <w:szCs w:val="21"/>
        </w:rPr>
        <w:t>2022年版</w:t>
      </w:r>
      <w:r>
        <w:rPr>
          <w:rFonts w:ascii="Microsoft YaHei" w:hAnsi="Microsoft YaHei" w:eastAsia="Microsoft YaHei" w:cs="Microsoft YaHei"/>
          <w:sz w:val="21"/>
          <w:szCs w:val="21"/>
          <w:spacing w:val="4"/>
        </w:rPr>
        <w:t>）（</w:t>
      </w:r>
      <w:r>
        <w:rPr>
          <w:rFonts w:ascii="Microsoft YaHei" w:hAnsi="Microsoft YaHei" w:eastAsia="Microsoft YaHei" w:cs="Microsoft YaHei"/>
          <w:sz w:val="21"/>
          <w:szCs w:val="21"/>
        </w:rPr>
        <w:t>征求意见稿）</w:t>
      </w:r>
      <w:r>
        <w:rPr>
          <w:rFonts w:ascii="Microsoft YaHei" w:hAnsi="Microsoft YaHei" w:eastAsia="Microsoft YaHei" w:cs="Microsoft YaHei"/>
          <w:sz w:val="21"/>
          <w:szCs w:val="21"/>
          <w:spacing w:val="-40"/>
        </w:rPr>
        <w:t xml:space="preserve"> </w:t>
      </w:r>
      <w:r>
        <w:rPr>
          <w:rFonts w:ascii="Microsoft YaHei" w:hAnsi="Microsoft YaHei" w:eastAsia="Microsoft YaHei" w:cs="Microsoft YaHei"/>
          <w:sz w:val="21"/>
          <w:szCs w:val="21"/>
        </w:rPr>
        <w:t>》</w:t>
      </w:r>
      <w:r>
        <w:rPr>
          <w:rFonts w:ascii="Microsoft YaHei" w:hAnsi="Microsoft YaHei" w:eastAsia="Microsoft YaHei" w:cs="Microsoft YaHei"/>
          <w:sz w:val="21"/>
          <w:szCs w:val="21"/>
          <w:spacing w:val="-24"/>
        </w:rPr>
        <w:t xml:space="preserve"> </w:t>
      </w:r>
      <w:r>
        <w:rPr>
          <w:rFonts w:ascii="Microsoft YaHei" w:hAnsi="Microsoft YaHei" w:eastAsia="Microsoft YaHei" w:cs="Microsoft YaHei"/>
          <w:sz w:val="21"/>
          <w:szCs w:val="21"/>
        </w:rPr>
        <w:t>，提出中 </w:t>
      </w:r>
      <w:r>
        <w:rPr>
          <w:rFonts w:ascii="Microsoft YaHei" w:hAnsi="Microsoft YaHei" w:eastAsia="Microsoft YaHei" w:cs="Microsoft YaHei"/>
          <w:sz w:val="21"/>
          <w:szCs w:val="21"/>
          <w:spacing w:val="3"/>
        </w:rPr>
        <w:t>大型电化学储能电站不得选用三元锂电池、钠硫电池</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，不</w:t>
      </w:r>
      <w:r>
        <w:rPr>
          <w:rFonts w:ascii="Microsoft YaHei" w:hAnsi="Microsoft YaHei" w:eastAsia="Microsoft YaHei" w:cs="Microsoft YaHei"/>
          <w:sz w:val="21"/>
          <w:szCs w:val="21"/>
          <w:spacing w:val="2"/>
        </w:rPr>
        <w:t>宜选用梯次利用动力电池</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这意味着，未来安全性更高的磷酸铁锂电池、液流电池等有望进一</w:t>
      </w:r>
      <w:r>
        <w:rPr>
          <w:rFonts w:ascii="Microsoft YaHei" w:hAnsi="Microsoft YaHei" w:eastAsia="Microsoft YaHei" w:cs="Microsoft YaHei"/>
          <w:sz w:val="21"/>
          <w:szCs w:val="21"/>
          <w:spacing w:val="-1"/>
        </w:rPr>
        <w:t>步打开市场空间。</w:t>
      </w:r>
    </w:p>
    <w:p>
      <w:pPr>
        <w:pStyle w:val="BodyText"/>
        <w:spacing w:line="279" w:lineRule="auto"/>
        <w:rPr/>
      </w:pPr>
      <w:r/>
    </w:p>
    <w:p>
      <w:pPr>
        <w:pStyle w:val="BodyText"/>
        <w:spacing w:line="279" w:lineRule="auto"/>
        <w:rPr/>
      </w:pPr>
      <w:r/>
    </w:p>
    <w:p>
      <w:pPr>
        <w:ind w:left="29"/>
        <w:spacing w:before="90" w:line="19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B8F5"/>
        </w:rPr>
        <w:t>表 2 |主要电化学储能技术对比</w:t>
      </w:r>
    </w:p>
    <w:p>
      <w:pPr>
        <w:spacing w:line="207" w:lineRule="exact"/>
        <w:rPr/>
      </w:pPr>
      <w:r/>
    </w:p>
    <w:tbl>
      <w:tblPr>
        <w:tblStyle w:val="TableNormal"/>
        <w:tblW w:w="9626" w:type="dxa"/>
        <w:tblInd w:w="24"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304"/>
        <w:gridCol w:w="1474"/>
        <w:gridCol w:w="1417"/>
        <w:gridCol w:w="1134"/>
        <w:gridCol w:w="1148"/>
        <w:gridCol w:w="1587"/>
        <w:gridCol w:w="1562"/>
      </w:tblGrid>
      <w:tr>
        <w:trPr>
          <w:trHeight w:val="965" w:hRule="atLeast"/>
        </w:trPr>
        <w:tc>
          <w:tcPr>
            <w:shd w:val="clear" w:fill="00B8F5"/>
            <w:tcW w:w="1304" w:type="dxa"/>
            <w:vAlign w:val="top"/>
            <w:tcBorders>
              <w:right w:val="single" w:color="FFFFFF" w:sz="12" w:space="0"/>
            </w:tcBorders>
          </w:tcPr>
          <w:p>
            <w:pPr>
              <w:spacing w:line="281" w:lineRule="auto"/>
              <w:rPr>
                <w:rFonts w:ascii="Arial"/>
                <w:sz w:val="21"/>
              </w:rPr>
            </w:pPr>
            <w:r/>
          </w:p>
          <w:p>
            <w:pPr>
              <w:pStyle w:val="TableText"/>
              <w:ind w:left="234"/>
              <w:spacing w:before="91" w:line="178" w:lineRule="auto"/>
              <w:rPr>
                <w:sz w:val="21"/>
                <w:szCs w:val="21"/>
              </w:rPr>
            </w:pPr>
            <w:r>
              <w:rPr>
                <w:sz w:val="21"/>
                <w:szCs w:val="21"/>
                <w:b/>
                <w:bCs/>
                <w:color w:val="FFFFFF"/>
                <w:spacing w:val="-1"/>
              </w:rPr>
              <w:t>技术类型</w:t>
            </w:r>
          </w:p>
        </w:tc>
        <w:tc>
          <w:tcPr>
            <w:shd w:val="clear" w:fill="00B8F5"/>
            <w:tcW w:w="1474" w:type="dxa"/>
            <w:vAlign w:val="top"/>
            <w:tcBorders>
              <w:left w:val="single" w:color="FFFFFF" w:sz="12" w:space="0"/>
              <w:right w:val="single" w:color="FFFFFF" w:sz="12" w:space="0"/>
            </w:tcBorders>
          </w:tcPr>
          <w:p>
            <w:pPr>
              <w:spacing w:line="278" w:lineRule="auto"/>
              <w:rPr>
                <w:rFonts w:ascii="Arial"/>
                <w:sz w:val="21"/>
              </w:rPr>
            </w:pPr>
            <w:r/>
          </w:p>
          <w:p>
            <w:pPr>
              <w:pStyle w:val="TableText"/>
              <w:ind w:left="313"/>
              <w:spacing w:before="90" w:line="182" w:lineRule="auto"/>
              <w:rPr>
                <w:sz w:val="21"/>
                <w:szCs w:val="21"/>
              </w:rPr>
            </w:pPr>
            <w:r>
              <w:rPr>
                <w:sz w:val="21"/>
                <w:szCs w:val="21"/>
                <w:b/>
                <w:bCs/>
                <w:color w:val="FFFFFF"/>
                <w:spacing w:val="-2"/>
              </w:rPr>
              <w:t>响应时间</w:t>
            </w:r>
          </w:p>
        </w:tc>
        <w:tc>
          <w:tcPr>
            <w:shd w:val="clear" w:fill="00B8F5"/>
            <w:tcW w:w="1417" w:type="dxa"/>
            <w:vAlign w:val="top"/>
            <w:tcBorders>
              <w:left w:val="single" w:color="FFFFFF" w:sz="12" w:space="0"/>
              <w:right w:val="single" w:color="FFFFFF" w:sz="12" w:space="0"/>
            </w:tcBorders>
          </w:tcPr>
          <w:p>
            <w:pPr>
              <w:spacing w:line="281" w:lineRule="auto"/>
              <w:rPr>
                <w:rFonts w:ascii="Arial"/>
                <w:sz w:val="21"/>
              </w:rPr>
            </w:pPr>
            <w:r/>
          </w:p>
          <w:p>
            <w:pPr>
              <w:pStyle w:val="TableText"/>
              <w:ind w:left="275"/>
              <w:spacing w:before="90" w:line="178" w:lineRule="auto"/>
              <w:rPr>
                <w:sz w:val="21"/>
                <w:szCs w:val="21"/>
              </w:rPr>
            </w:pPr>
            <w:r>
              <w:rPr>
                <w:sz w:val="21"/>
                <w:szCs w:val="21"/>
                <w:b/>
                <w:bCs/>
                <w:color w:val="FFFFFF"/>
              </w:rPr>
              <w:t>放电时长</w:t>
            </w:r>
          </w:p>
        </w:tc>
        <w:tc>
          <w:tcPr>
            <w:shd w:val="clear" w:fill="00B8F5"/>
            <w:tcW w:w="1134" w:type="dxa"/>
            <w:vAlign w:val="top"/>
            <w:tcBorders>
              <w:left w:val="single" w:color="FFFFFF" w:sz="12" w:space="0"/>
              <w:right w:val="single" w:color="FFFFFF" w:sz="12" w:space="0"/>
            </w:tcBorders>
          </w:tcPr>
          <w:p>
            <w:pPr>
              <w:pStyle w:val="TableText"/>
              <w:ind w:left="132"/>
              <w:spacing w:before="245" w:line="169" w:lineRule="auto"/>
              <w:rPr>
                <w:sz w:val="21"/>
                <w:szCs w:val="21"/>
              </w:rPr>
            </w:pPr>
            <w:r>
              <w:rPr>
                <w:sz w:val="21"/>
                <w:szCs w:val="21"/>
                <w:b/>
                <w:bCs/>
                <w:color w:val="FFFFFF"/>
                <w:spacing w:val="-1"/>
              </w:rPr>
              <w:t>综合效率</w:t>
            </w:r>
          </w:p>
          <w:p>
            <w:pPr>
              <w:pStyle w:val="TableText"/>
              <w:ind w:left="272"/>
              <w:spacing w:line="177" w:lineRule="auto"/>
              <w:rPr>
                <w:sz w:val="21"/>
                <w:szCs w:val="21"/>
              </w:rPr>
            </w:pPr>
            <w:r>
              <w:rPr>
                <w:sz w:val="21"/>
                <w:szCs w:val="21"/>
                <w:b/>
                <w:bCs/>
                <w:color w:val="FFFFFF"/>
                <w:spacing w:val="-9"/>
              </w:rPr>
              <w:t>（%）</w:t>
            </w:r>
          </w:p>
        </w:tc>
        <w:tc>
          <w:tcPr>
            <w:shd w:val="clear" w:fill="00B8F5"/>
            <w:tcW w:w="1148" w:type="dxa"/>
            <w:vAlign w:val="top"/>
            <w:tcBorders>
              <w:left w:val="single" w:color="FFFFFF" w:sz="12" w:space="0"/>
              <w:right w:val="single" w:color="FFFFFF" w:sz="12" w:space="0"/>
            </w:tcBorders>
          </w:tcPr>
          <w:p>
            <w:pPr>
              <w:spacing w:line="278" w:lineRule="auto"/>
              <w:rPr>
                <w:rFonts w:ascii="Arial"/>
                <w:sz w:val="21"/>
              </w:rPr>
            </w:pPr>
            <w:r/>
          </w:p>
          <w:p>
            <w:pPr>
              <w:pStyle w:val="TableText"/>
              <w:ind w:left="40"/>
              <w:spacing w:before="90" w:line="178" w:lineRule="auto"/>
              <w:rPr>
                <w:sz w:val="21"/>
                <w:szCs w:val="21"/>
              </w:rPr>
            </w:pPr>
            <w:r>
              <w:rPr>
                <w:sz w:val="21"/>
                <w:szCs w:val="21"/>
                <w:b/>
                <w:bCs/>
                <w:color w:val="FFFFFF"/>
                <w:spacing w:val="-6"/>
              </w:rPr>
              <w:t>寿命（年）</w:t>
            </w:r>
          </w:p>
        </w:tc>
        <w:tc>
          <w:tcPr>
            <w:shd w:val="clear" w:fill="00B8F5"/>
            <w:tcW w:w="1587" w:type="dxa"/>
            <w:vAlign w:val="top"/>
            <w:tcBorders>
              <w:left w:val="single" w:color="FFFFFF" w:sz="12" w:space="0"/>
              <w:right w:val="single" w:color="FFFFFF" w:sz="12" w:space="0"/>
            </w:tcBorders>
          </w:tcPr>
          <w:p>
            <w:pPr>
              <w:spacing w:line="281" w:lineRule="auto"/>
              <w:rPr>
                <w:rFonts w:ascii="Arial"/>
                <w:sz w:val="21"/>
              </w:rPr>
            </w:pPr>
            <w:r/>
          </w:p>
          <w:p>
            <w:pPr>
              <w:pStyle w:val="TableText"/>
              <w:ind w:left="570"/>
              <w:spacing w:before="90" w:line="178" w:lineRule="auto"/>
              <w:rPr>
                <w:sz w:val="21"/>
                <w:szCs w:val="21"/>
              </w:rPr>
            </w:pPr>
            <w:r>
              <w:rPr>
                <w:sz w:val="21"/>
                <w:szCs w:val="21"/>
                <w:b/>
                <w:bCs/>
                <w:color w:val="FFFFFF"/>
                <w:spacing w:val="-1"/>
              </w:rPr>
              <w:t>优点</w:t>
            </w:r>
          </w:p>
        </w:tc>
        <w:tc>
          <w:tcPr>
            <w:shd w:val="clear" w:fill="00B8F5"/>
            <w:tcW w:w="1562" w:type="dxa"/>
            <w:vAlign w:val="top"/>
            <w:tcBorders>
              <w:left w:val="single" w:color="FFFFFF" w:sz="12" w:space="0"/>
            </w:tcBorders>
          </w:tcPr>
          <w:p>
            <w:pPr>
              <w:spacing w:line="281" w:lineRule="auto"/>
              <w:rPr>
                <w:rFonts w:ascii="Arial"/>
                <w:sz w:val="21"/>
              </w:rPr>
            </w:pPr>
            <w:r/>
          </w:p>
          <w:p>
            <w:pPr>
              <w:pStyle w:val="TableText"/>
              <w:ind w:left="559"/>
              <w:spacing w:before="90" w:line="178" w:lineRule="auto"/>
              <w:rPr>
                <w:sz w:val="21"/>
                <w:szCs w:val="21"/>
              </w:rPr>
            </w:pPr>
            <w:r>
              <w:rPr>
                <w:sz w:val="21"/>
                <w:szCs w:val="21"/>
                <w:b/>
                <w:bCs/>
                <w:color w:val="FFFFFF"/>
                <w:spacing w:val="-1"/>
              </w:rPr>
              <w:t>缺点</w:t>
            </w:r>
          </w:p>
        </w:tc>
      </w:tr>
      <w:tr>
        <w:trPr>
          <w:trHeight w:val="965" w:hRule="atLeast"/>
        </w:trPr>
        <w:tc>
          <w:tcPr>
            <w:tcW w:w="1304" w:type="dxa"/>
            <w:vAlign w:val="top"/>
            <w:tcBorders>
              <w:right w:val="single" w:color="BFBFBF" w:sz="2" w:space="0"/>
            </w:tcBorders>
          </w:tcPr>
          <w:p>
            <w:pPr>
              <w:spacing w:line="284" w:lineRule="auto"/>
              <w:rPr>
                <w:rFonts w:ascii="Arial"/>
                <w:sz w:val="21"/>
              </w:rPr>
            </w:pPr>
            <w:r/>
          </w:p>
          <w:p>
            <w:pPr>
              <w:pStyle w:val="TableText"/>
              <w:ind w:left="127"/>
              <w:spacing w:before="90" w:line="180" w:lineRule="auto"/>
              <w:rPr>
                <w:sz w:val="21"/>
                <w:szCs w:val="21"/>
              </w:rPr>
            </w:pPr>
            <w:r>
              <w:rPr>
                <w:sz w:val="21"/>
                <w:szCs w:val="21"/>
                <w:b/>
                <w:bCs/>
                <w:color w:val="00B8F5"/>
              </w:rPr>
              <w:t>锂离子电池</w:t>
            </w:r>
          </w:p>
        </w:tc>
        <w:tc>
          <w:tcPr>
            <w:tcW w:w="1474" w:type="dxa"/>
            <w:vAlign w:val="top"/>
            <w:tcBorders>
              <w:left w:val="single" w:color="BFBFBF" w:sz="2" w:space="0"/>
              <w:right w:val="single" w:color="BFBFBF" w:sz="2" w:space="0"/>
            </w:tcBorders>
          </w:tcPr>
          <w:p>
            <w:pPr>
              <w:spacing w:line="286" w:lineRule="auto"/>
              <w:rPr>
                <w:rFonts w:ascii="Arial"/>
                <w:sz w:val="21"/>
              </w:rPr>
            </w:pPr>
            <w:r/>
          </w:p>
          <w:p>
            <w:pPr>
              <w:pStyle w:val="TableText"/>
              <w:ind w:left="161"/>
              <w:spacing w:before="90" w:line="177" w:lineRule="auto"/>
              <w:rPr>
                <w:sz w:val="21"/>
                <w:szCs w:val="21"/>
              </w:rPr>
            </w:pPr>
            <w:r>
              <w:rPr>
                <w:sz w:val="21"/>
                <w:szCs w:val="21"/>
                <w:spacing w:val="-5"/>
              </w:rPr>
              <w:t>毫秒-分钟级</w:t>
            </w:r>
          </w:p>
        </w:tc>
        <w:tc>
          <w:tcPr>
            <w:tcW w:w="1417" w:type="dxa"/>
            <w:vAlign w:val="top"/>
            <w:tcBorders>
              <w:left w:val="single" w:color="BFBFBF" w:sz="2" w:space="0"/>
              <w:right w:val="single" w:color="BFBFBF" w:sz="2" w:space="0"/>
            </w:tcBorders>
          </w:tcPr>
          <w:p>
            <w:pPr>
              <w:spacing w:line="287" w:lineRule="auto"/>
              <w:rPr>
                <w:rFonts w:ascii="Arial"/>
                <w:sz w:val="21"/>
              </w:rPr>
            </w:pPr>
            <w:r/>
          </w:p>
          <w:p>
            <w:pPr>
              <w:pStyle w:val="TableText"/>
              <w:ind w:left="148"/>
              <w:spacing w:before="90" w:line="176" w:lineRule="auto"/>
              <w:rPr>
                <w:sz w:val="21"/>
                <w:szCs w:val="21"/>
              </w:rPr>
            </w:pPr>
            <w:r>
              <w:rPr>
                <w:sz w:val="21"/>
                <w:szCs w:val="21"/>
                <w:spacing w:val="-7"/>
              </w:rPr>
              <w:t>1分钟-8小时</w:t>
            </w:r>
          </w:p>
        </w:tc>
        <w:tc>
          <w:tcPr>
            <w:tcW w:w="1134" w:type="dxa"/>
            <w:vAlign w:val="top"/>
            <w:tcBorders>
              <w:left w:val="single" w:color="BFBFBF" w:sz="2" w:space="0"/>
              <w:right w:val="single" w:color="BFBFBF" w:sz="2" w:space="0"/>
            </w:tcBorders>
          </w:tcPr>
          <w:p>
            <w:pPr>
              <w:spacing w:line="307" w:lineRule="auto"/>
              <w:rPr>
                <w:rFonts w:ascii="Arial"/>
                <w:sz w:val="21"/>
              </w:rPr>
            </w:pPr>
            <w:r/>
          </w:p>
          <w:p>
            <w:pPr>
              <w:pStyle w:val="TableText"/>
              <w:ind w:left="308"/>
              <w:spacing w:before="90" w:line="171" w:lineRule="auto"/>
              <w:rPr>
                <w:sz w:val="21"/>
                <w:szCs w:val="21"/>
              </w:rPr>
            </w:pPr>
            <w:r>
              <w:rPr>
                <w:sz w:val="21"/>
                <w:szCs w:val="21"/>
                <w:spacing w:val="-11"/>
              </w:rPr>
              <w:t>70-80</w:t>
            </w:r>
          </w:p>
        </w:tc>
        <w:tc>
          <w:tcPr>
            <w:tcW w:w="1148" w:type="dxa"/>
            <w:vAlign w:val="top"/>
            <w:tcBorders>
              <w:left w:val="single" w:color="BFBFBF" w:sz="2" w:space="0"/>
              <w:right w:val="single" w:color="BFBFBF" w:sz="2" w:space="0"/>
            </w:tcBorders>
          </w:tcPr>
          <w:p>
            <w:pPr>
              <w:spacing w:line="310" w:lineRule="auto"/>
              <w:rPr>
                <w:rFonts w:ascii="Arial"/>
                <w:sz w:val="21"/>
              </w:rPr>
            </w:pPr>
            <w:r/>
          </w:p>
          <w:p>
            <w:pPr>
              <w:pStyle w:val="TableText"/>
              <w:ind w:left="367"/>
              <w:spacing w:before="90" w:line="169" w:lineRule="auto"/>
              <w:rPr>
                <w:sz w:val="21"/>
                <w:szCs w:val="21"/>
              </w:rPr>
            </w:pPr>
            <w:r>
              <w:rPr>
                <w:sz w:val="21"/>
                <w:szCs w:val="21"/>
                <w:spacing w:val="-10"/>
              </w:rPr>
              <w:t>5-15</w:t>
            </w:r>
          </w:p>
        </w:tc>
        <w:tc>
          <w:tcPr>
            <w:tcW w:w="1587" w:type="dxa"/>
            <w:vAlign w:val="top"/>
            <w:tcBorders>
              <w:left w:val="single" w:color="BFBFBF" w:sz="2" w:space="0"/>
              <w:right w:val="single" w:color="BFBFBF" w:sz="2" w:space="0"/>
            </w:tcBorders>
          </w:tcPr>
          <w:p>
            <w:pPr>
              <w:pStyle w:val="TableText"/>
              <w:ind w:left="479" w:right="477"/>
              <w:spacing w:before="251" w:line="173" w:lineRule="auto"/>
              <w:rPr>
                <w:sz w:val="21"/>
                <w:szCs w:val="21"/>
              </w:rPr>
            </w:pPr>
            <w:r>
              <w:rPr>
                <w:sz w:val="21"/>
                <w:szCs w:val="21"/>
                <w:spacing w:val="-2"/>
              </w:rPr>
              <w:t>容量大</w:t>
            </w:r>
            <w:r>
              <w:rPr>
                <w:sz w:val="21"/>
                <w:szCs w:val="21"/>
              </w:rPr>
              <w:t xml:space="preserve"> </w:t>
            </w:r>
            <w:r>
              <w:rPr>
                <w:sz w:val="21"/>
                <w:szCs w:val="21"/>
                <w:spacing w:val="-2"/>
              </w:rPr>
              <w:t>污染小</w:t>
            </w:r>
          </w:p>
        </w:tc>
        <w:tc>
          <w:tcPr>
            <w:tcW w:w="1562" w:type="dxa"/>
            <w:vAlign w:val="top"/>
            <w:tcBorders>
              <w:left w:val="single" w:color="BFBFBF" w:sz="2" w:space="0"/>
            </w:tcBorders>
          </w:tcPr>
          <w:p>
            <w:pPr>
              <w:pStyle w:val="TableText"/>
              <w:ind w:left="371" w:right="358" w:firstLine="99"/>
              <w:spacing w:before="253" w:line="173" w:lineRule="auto"/>
              <w:rPr>
                <w:sz w:val="21"/>
                <w:szCs w:val="21"/>
              </w:rPr>
            </w:pPr>
            <w:r>
              <w:rPr>
                <w:sz w:val="21"/>
                <w:szCs w:val="21"/>
                <w:spacing w:val="-2"/>
              </w:rPr>
              <w:t>成本高</w:t>
            </w:r>
            <w:r>
              <w:rPr>
                <w:sz w:val="21"/>
                <w:szCs w:val="21"/>
              </w:rPr>
              <w:t xml:space="preserve">   </w:t>
            </w:r>
            <w:r>
              <w:rPr>
                <w:sz w:val="21"/>
                <w:szCs w:val="21"/>
                <w:spacing w:val="-3"/>
              </w:rPr>
              <w:t>安全隐患</w:t>
            </w:r>
          </w:p>
        </w:tc>
      </w:tr>
      <w:tr>
        <w:trPr>
          <w:trHeight w:val="965" w:hRule="atLeast"/>
        </w:trPr>
        <w:tc>
          <w:tcPr>
            <w:shd w:val="clear" w:fill="F1F1F1"/>
            <w:tcW w:w="1304" w:type="dxa"/>
            <w:vAlign w:val="top"/>
            <w:tcBorders>
              <w:right w:val="single" w:color="BFBFBF" w:sz="2" w:space="0"/>
            </w:tcBorders>
          </w:tcPr>
          <w:p>
            <w:pPr>
              <w:spacing w:line="290" w:lineRule="auto"/>
              <w:rPr>
                <w:rFonts w:ascii="Arial"/>
                <w:sz w:val="21"/>
              </w:rPr>
            </w:pPr>
            <w:r/>
          </w:p>
          <w:p>
            <w:pPr>
              <w:pStyle w:val="TableText"/>
              <w:ind w:left="232"/>
              <w:spacing w:before="90" w:line="179" w:lineRule="auto"/>
              <w:rPr>
                <w:sz w:val="21"/>
                <w:szCs w:val="21"/>
              </w:rPr>
            </w:pPr>
            <w:r>
              <w:rPr>
                <w:sz w:val="21"/>
                <w:szCs w:val="21"/>
                <w:b/>
                <w:bCs/>
                <w:color w:val="00B8F5"/>
              </w:rPr>
              <w:t>铅蓄电池</w:t>
            </w:r>
          </w:p>
        </w:tc>
        <w:tc>
          <w:tcPr>
            <w:shd w:val="clear" w:fill="F1F1F1"/>
            <w:tcW w:w="1474" w:type="dxa"/>
            <w:vAlign w:val="top"/>
            <w:tcBorders>
              <w:left w:val="single" w:color="BFBFBF" w:sz="2" w:space="0"/>
              <w:right w:val="single" w:color="BFBFBF" w:sz="2" w:space="0"/>
            </w:tcBorders>
          </w:tcPr>
          <w:p>
            <w:pPr>
              <w:spacing w:line="290" w:lineRule="auto"/>
              <w:rPr>
                <w:rFonts w:ascii="Arial"/>
                <w:sz w:val="21"/>
              </w:rPr>
            </w:pPr>
            <w:r/>
          </w:p>
          <w:p>
            <w:pPr>
              <w:pStyle w:val="TableText"/>
              <w:ind w:left="180"/>
              <w:spacing w:before="90" w:line="177" w:lineRule="auto"/>
              <w:rPr>
                <w:sz w:val="21"/>
                <w:szCs w:val="21"/>
              </w:rPr>
            </w:pPr>
            <w:r>
              <w:rPr>
                <w:sz w:val="21"/>
                <w:szCs w:val="21"/>
                <w:spacing w:val="-5"/>
              </w:rPr>
              <w:t>毫秒-分钟级</w:t>
            </w:r>
          </w:p>
        </w:tc>
        <w:tc>
          <w:tcPr>
            <w:shd w:val="clear" w:fill="F1F1F1"/>
            <w:tcW w:w="1417" w:type="dxa"/>
            <w:vAlign w:val="top"/>
            <w:tcBorders>
              <w:left w:val="single" w:color="BFBFBF" w:sz="2" w:space="0"/>
              <w:right w:val="single" w:color="BFBFBF" w:sz="2" w:space="0"/>
            </w:tcBorders>
          </w:tcPr>
          <w:p>
            <w:pPr>
              <w:spacing w:line="292" w:lineRule="auto"/>
              <w:rPr>
                <w:rFonts w:ascii="Arial"/>
                <w:sz w:val="21"/>
              </w:rPr>
            </w:pPr>
            <w:r/>
          </w:p>
          <w:p>
            <w:pPr>
              <w:pStyle w:val="TableText"/>
              <w:ind w:left="148"/>
              <w:spacing w:before="90" w:line="176" w:lineRule="auto"/>
              <w:rPr>
                <w:sz w:val="21"/>
                <w:szCs w:val="21"/>
              </w:rPr>
            </w:pPr>
            <w:r>
              <w:rPr>
                <w:sz w:val="21"/>
                <w:szCs w:val="21"/>
                <w:spacing w:val="-7"/>
              </w:rPr>
              <w:t>1分钟-8小时</w:t>
            </w:r>
          </w:p>
        </w:tc>
        <w:tc>
          <w:tcPr>
            <w:shd w:val="clear" w:fill="F1F1F1"/>
            <w:tcW w:w="1134" w:type="dxa"/>
            <w:vAlign w:val="top"/>
            <w:tcBorders>
              <w:left w:val="single" w:color="BFBFBF" w:sz="2" w:space="0"/>
              <w:right w:val="single" w:color="BFBFBF" w:sz="2" w:space="0"/>
            </w:tcBorders>
          </w:tcPr>
          <w:p>
            <w:pPr>
              <w:spacing w:line="311" w:lineRule="auto"/>
              <w:rPr>
                <w:rFonts w:ascii="Arial"/>
                <w:sz w:val="21"/>
              </w:rPr>
            </w:pPr>
            <w:r/>
          </w:p>
          <w:p>
            <w:pPr>
              <w:pStyle w:val="TableText"/>
              <w:ind w:left="307"/>
              <w:spacing w:before="90" w:line="171" w:lineRule="auto"/>
              <w:rPr>
                <w:sz w:val="21"/>
                <w:szCs w:val="21"/>
              </w:rPr>
            </w:pPr>
            <w:r>
              <w:rPr>
                <w:sz w:val="21"/>
                <w:szCs w:val="21"/>
                <w:spacing w:val="-11"/>
              </w:rPr>
              <w:t>75-90</w:t>
            </w:r>
          </w:p>
        </w:tc>
        <w:tc>
          <w:tcPr>
            <w:shd w:val="clear" w:fill="F1F1F1"/>
            <w:tcW w:w="1148" w:type="dxa"/>
            <w:vAlign w:val="top"/>
            <w:tcBorders>
              <w:left w:val="single" w:color="BFBFBF" w:sz="2" w:space="0"/>
              <w:right w:val="single" w:color="BFBFBF" w:sz="2" w:space="0"/>
            </w:tcBorders>
          </w:tcPr>
          <w:p>
            <w:pPr>
              <w:spacing w:line="314" w:lineRule="auto"/>
              <w:rPr>
                <w:rFonts w:ascii="Arial"/>
                <w:sz w:val="21"/>
              </w:rPr>
            </w:pPr>
            <w:r/>
          </w:p>
          <w:p>
            <w:pPr>
              <w:pStyle w:val="TableText"/>
              <w:ind w:left="520"/>
              <w:spacing w:before="90" w:line="169" w:lineRule="auto"/>
              <w:rPr>
                <w:sz w:val="21"/>
                <w:szCs w:val="21"/>
              </w:rPr>
            </w:pPr>
            <w:r>
              <w:rPr>
                <w:sz w:val="21"/>
                <w:szCs w:val="21"/>
              </w:rPr>
              <w:t>5</w:t>
            </w:r>
          </w:p>
        </w:tc>
        <w:tc>
          <w:tcPr>
            <w:shd w:val="clear" w:fill="F1F1F1"/>
            <w:tcW w:w="1587" w:type="dxa"/>
            <w:vAlign w:val="top"/>
            <w:tcBorders>
              <w:left w:val="single" w:color="BFBFBF" w:sz="2" w:space="0"/>
              <w:right w:val="single" w:color="BFBFBF" w:sz="2" w:space="0"/>
            </w:tcBorders>
          </w:tcPr>
          <w:p>
            <w:pPr>
              <w:pStyle w:val="TableText"/>
              <w:ind w:left="377" w:right="371" w:hanging="5"/>
              <w:spacing w:before="258" w:line="173" w:lineRule="auto"/>
              <w:rPr>
                <w:sz w:val="21"/>
                <w:szCs w:val="21"/>
              </w:rPr>
            </w:pPr>
            <w:r>
              <w:rPr>
                <w:sz w:val="21"/>
                <w:szCs w:val="21"/>
                <w:spacing w:val="-1"/>
              </w:rPr>
              <w:t>性价比高</w:t>
            </w:r>
            <w:r>
              <w:rPr>
                <w:sz w:val="21"/>
                <w:szCs w:val="21"/>
                <w:spacing w:val="1"/>
              </w:rPr>
              <w:t xml:space="preserve"> </w:t>
            </w:r>
            <w:r>
              <w:rPr>
                <w:sz w:val="21"/>
                <w:szCs w:val="21"/>
                <w:spacing w:val="-2"/>
              </w:rPr>
              <w:t>可靠性强</w:t>
            </w:r>
          </w:p>
        </w:tc>
        <w:tc>
          <w:tcPr>
            <w:shd w:val="clear" w:fill="F1F1F1"/>
            <w:tcW w:w="1562" w:type="dxa"/>
            <w:vAlign w:val="top"/>
            <w:tcBorders>
              <w:left w:val="single" w:color="BFBFBF" w:sz="2" w:space="0"/>
            </w:tcBorders>
          </w:tcPr>
          <w:p>
            <w:pPr>
              <w:pStyle w:val="TableText"/>
              <w:ind w:left="365" w:right="358" w:firstLine="105"/>
              <w:spacing w:before="255" w:line="173" w:lineRule="auto"/>
              <w:rPr>
                <w:sz w:val="21"/>
                <w:szCs w:val="21"/>
              </w:rPr>
            </w:pPr>
            <w:r>
              <w:rPr>
                <w:sz w:val="21"/>
                <w:szCs w:val="21"/>
                <w:spacing w:val="-2"/>
              </w:rPr>
              <w:t>寿命短</w:t>
            </w:r>
            <w:r>
              <w:rPr>
                <w:sz w:val="21"/>
                <w:szCs w:val="21"/>
              </w:rPr>
              <w:t xml:space="preserve">   </w:t>
            </w:r>
            <w:r>
              <w:rPr>
                <w:sz w:val="21"/>
                <w:szCs w:val="21"/>
                <w:spacing w:val="-2"/>
              </w:rPr>
              <w:t>污染问题</w:t>
            </w:r>
          </w:p>
        </w:tc>
      </w:tr>
      <w:tr>
        <w:trPr>
          <w:trHeight w:val="1447" w:hRule="atLeast"/>
        </w:trPr>
        <w:tc>
          <w:tcPr>
            <w:tcW w:w="1304" w:type="dxa"/>
            <w:vAlign w:val="top"/>
            <w:tcBorders>
              <w:right w:val="single" w:color="BFBFBF" w:sz="2" w:space="0"/>
            </w:tcBorders>
          </w:tcPr>
          <w:p>
            <w:pPr>
              <w:spacing w:line="266" w:lineRule="auto"/>
              <w:rPr>
                <w:rFonts w:ascii="Arial"/>
                <w:sz w:val="21"/>
              </w:rPr>
            </w:pPr>
            <w:r/>
          </w:p>
          <w:p>
            <w:pPr>
              <w:spacing w:line="267" w:lineRule="auto"/>
              <w:rPr>
                <w:rFonts w:ascii="Arial"/>
                <w:sz w:val="21"/>
              </w:rPr>
            </w:pPr>
            <w:r/>
          </w:p>
          <w:p>
            <w:pPr>
              <w:pStyle w:val="TableText"/>
              <w:ind w:left="232"/>
              <w:spacing w:before="90" w:line="178" w:lineRule="auto"/>
              <w:rPr>
                <w:sz w:val="21"/>
                <w:szCs w:val="21"/>
              </w:rPr>
            </w:pPr>
            <w:r>
              <w:rPr>
                <w:sz w:val="21"/>
                <w:szCs w:val="21"/>
                <w:b/>
                <w:bCs/>
                <w:color w:val="00B8F5"/>
                <w:spacing w:val="-1"/>
              </w:rPr>
              <w:t>钠硫电池</w:t>
            </w:r>
          </w:p>
        </w:tc>
        <w:tc>
          <w:tcPr>
            <w:tcW w:w="1474" w:type="dxa"/>
            <w:vAlign w:val="top"/>
            <w:tcBorders>
              <w:left w:val="single" w:color="BFBFBF" w:sz="2" w:space="0"/>
              <w:right w:val="single" w:color="BFBFBF" w:sz="2" w:space="0"/>
            </w:tcBorders>
          </w:tcPr>
          <w:p>
            <w:pPr>
              <w:spacing w:line="268" w:lineRule="auto"/>
              <w:rPr>
                <w:rFonts w:ascii="Arial"/>
                <w:sz w:val="21"/>
              </w:rPr>
            </w:pPr>
            <w:r/>
          </w:p>
          <w:p>
            <w:pPr>
              <w:spacing w:line="268" w:lineRule="auto"/>
              <w:rPr>
                <w:rFonts w:ascii="Arial"/>
                <w:sz w:val="21"/>
              </w:rPr>
            </w:pPr>
            <w:r/>
          </w:p>
          <w:p>
            <w:pPr>
              <w:pStyle w:val="TableText"/>
              <w:ind w:left="429"/>
              <w:spacing w:before="90" w:line="177" w:lineRule="auto"/>
              <w:rPr>
                <w:sz w:val="21"/>
                <w:szCs w:val="21"/>
              </w:rPr>
            </w:pPr>
            <w:r>
              <w:rPr>
                <w:sz w:val="21"/>
                <w:szCs w:val="21"/>
                <w:spacing w:val="-2"/>
              </w:rPr>
              <w:t>毫秒级</w:t>
            </w:r>
          </w:p>
        </w:tc>
        <w:tc>
          <w:tcPr>
            <w:tcW w:w="1417" w:type="dxa"/>
            <w:vAlign w:val="top"/>
            <w:tcBorders>
              <w:left w:val="single" w:color="BFBFBF" w:sz="2" w:space="0"/>
              <w:right w:val="single" w:color="BFBFBF" w:sz="2" w:space="0"/>
            </w:tcBorders>
          </w:tcPr>
          <w:p>
            <w:pPr>
              <w:spacing w:line="268" w:lineRule="auto"/>
              <w:rPr>
                <w:rFonts w:ascii="Arial"/>
                <w:sz w:val="21"/>
              </w:rPr>
            </w:pPr>
            <w:r/>
          </w:p>
          <w:p>
            <w:pPr>
              <w:spacing w:line="268" w:lineRule="auto"/>
              <w:rPr>
                <w:rFonts w:ascii="Arial"/>
                <w:sz w:val="21"/>
              </w:rPr>
            </w:pPr>
            <w:r/>
          </w:p>
          <w:p>
            <w:pPr>
              <w:pStyle w:val="TableText"/>
              <w:ind w:left="148"/>
              <w:spacing w:before="91" w:line="176" w:lineRule="auto"/>
              <w:rPr>
                <w:sz w:val="21"/>
                <w:szCs w:val="21"/>
              </w:rPr>
            </w:pPr>
            <w:r>
              <w:rPr>
                <w:sz w:val="21"/>
                <w:szCs w:val="21"/>
                <w:spacing w:val="-7"/>
              </w:rPr>
              <w:t>1分钟-8小时</w:t>
            </w:r>
          </w:p>
        </w:tc>
        <w:tc>
          <w:tcPr>
            <w:tcW w:w="1134" w:type="dxa"/>
            <w:vAlign w:val="top"/>
            <w:tcBorders>
              <w:left w:val="single" w:color="BFBFBF" w:sz="2" w:space="0"/>
              <w:right w:val="single" w:color="BFBFBF" w:sz="2" w:space="0"/>
            </w:tcBorders>
          </w:tcPr>
          <w:p>
            <w:pPr>
              <w:spacing w:line="278" w:lineRule="auto"/>
              <w:rPr>
                <w:rFonts w:ascii="Arial"/>
                <w:sz w:val="21"/>
              </w:rPr>
            </w:pPr>
            <w:r/>
          </w:p>
          <w:p>
            <w:pPr>
              <w:spacing w:line="278" w:lineRule="auto"/>
              <w:rPr>
                <w:rFonts w:ascii="Arial"/>
                <w:sz w:val="21"/>
              </w:rPr>
            </w:pPr>
            <w:r/>
          </w:p>
          <w:p>
            <w:pPr>
              <w:pStyle w:val="TableText"/>
              <w:ind w:left="306"/>
              <w:spacing w:before="90" w:line="171" w:lineRule="auto"/>
              <w:rPr>
                <w:sz w:val="21"/>
                <w:szCs w:val="21"/>
              </w:rPr>
            </w:pPr>
            <w:r>
              <w:rPr>
                <w:sz w:val="21"/>
                <w:szCs w:val="21"/>
                <w:spacing w:val="-11"/>
              </w:rPr>
              <w:t>80-90</w:t>
            </w:r>
          </w:p>
        </w:tc>
        <w:tc>
          <w:tcPr>
            <w:tcW w:w="1148" w:type="dxa"/>
            <w:vAlign w:val="top"/>
            <w:tcBorders>
              <w:left w:val="single" w:color="BFBFBF" w:sz="2" w:space="0"/>
              <w:right w:val="single" w:color="BFBFBF" w:sz="2" w:space="0"/>
            </w:tcBorders>
          </w:tcPr>
          <w:p>
            <w:pPr>
              <w:spacing w:line="278" w:lineRule="auto"/>
              <w:rPr>
                <w:rFonts w:ascii="Arial"/>
                <w:sz w:val="21"/>
              </w:rPr>
            </w:pPr>
            <w:r/>
          </w:p>
          <w:p>
            <w:pPr>
              <w:spacing w:line="278" w:lineRule="auto"/>
              <w:rPr>
                <w:rFonts w:ascii="Arial"/>
                <w:sz w:val="21"/>
              </w:rPr>
            </w:pPr>
            <w:r/>
          </w:p>
          <w:p>
            <w:pPr>
              <w:pStyle w:val="TableText"/>
              <w:ind w:left="321"/>
              <w:spacing w:before="90" w:line="171" w:lineRule="auto"/>
              <w:rPr>
                <w:sz w:val="21"/>
                <w:szCs w:val="21"/>
              </w:rPr>
            </w:pPr>
            <w:r>
              <w:rPr>
                <w:sz w:val="21"/>
                <w:szCs w:val="21"/>
                <w:spacing w:val="-12"/>
              </w:rPr>
              <w:t>10-15</w:t>
            </w:r>
          </w:p>
        </w:tc>
        <w:tc>
          <w:tcPr>
            <w:tcW w:w="1587" w:type="dxa"/>
            <w:vAlign w:val="top"/>
            <w:tcBorders>
              <w:left w:val="single" w:color="BFBFBF" w:sz="2" w:space="0"/>
              <w:right w:val="single" w:color="BFBFBF" w:sz="2" w:space="0"/>
            </w:tcBorders>
          </w:tcPr>
          <w:p>
            <w:pPr>
              <w:spacing w:line="410" w:lineRule="auto"/>
              <w:rPr>
                <w:rFonts w:ascii="Arial"/>
                <w:sz w:val="21"/>
              </w:rPr>
            </w:pPr>
            <w:r/>
          </w:p>
          <w:p>
            <w:pPr>
              <w:pStyle w:val="TableText"/>
              <w:ind w:left="479" w:right="477"/>
              <w:spacing w:before="90" w:line="173" w:lineRule="auto"/>
              <w:rPr>
                <w:sz w:val="21"/>
                <w:szCs w:val="21"/>
              </w:rPr>
            </w:pPr>
            <w:r>
              <w:rPr>
                <w:sz w:val="21"/>
                <w:szCs w:val="21"/>
                <w:spacing w:val="-2"/>
              </w:rPr>
              <w:t>容量大</w:t>
            </w:r>
            <w:r>
              <w:rPr>
                <w:sz w:val="21"/>
                <w:szCs w:val="21"/>
              </w:rPr>
              <w:t xml:space="preserve"> </w:t>
            </w:r>
            <w:r>
              <w:rPr>
                <w:sz w:val="21"/>
                <w:szCs w:val="21"/>
                <w:spacing w:val="-2"/>
              </w:rPr>
              <w:t>寿命长</w:t>
            </w:r>
          </w:p>
        </w:tc>
        <w:tc>
          <w:tcPr>
            <w:tcW w:w="1562" w:type="dxa"/>
            <w:vAlign w:val="top"/>
            <w:tcBorders>
              <w:left w:val="single" w:color="BFBFBF" w:sz="2" w:space="0"/>
            </w:tcBorders>
          </w:tcPr>
          <w:p>
            <w:pPr>
              <w:spacing w:line="285" w:lineRule="auto"/>
              <w:rPr>
                <w:rFonts w:ascii="Arial"/>
                <w:sz w:val="21"/>
              </w:rPr>
            </w:pPr>
            <w:r/>
          </w:p>
          <w:p>
            <w:pPr>
              <w:pStyle w:val="TableText"/>
              <w:ind w:left="370" w:right="359" w:firstLine="99"/>
              <w:spacing w:before="90" w:line="170" w:lineRule="auto"/>
              <w:rPr>
                <w:sz w:val="21"/>
                <w:szCs w:val="21"/>
              </w:rPr>
            </w:pPr>
            <w:r>
              <w:rPr>
                <w:sz w:val="21"/>
                <w:szCs w:val="21"/>
                <w:spacing w:val="-2"/>
              </w:rPr>
              <w:t>成本高</w:t>
            </w:r>
            <w:r>
              <w:rPr>
                <w:sz w:val="21"/>
                <w:szCs w:val="21"/>
              </w:rPr>
              <w:t xml:space="preserve">   </w:t>
            </w:r>
            <w:r>
              <w:rPr>
                <w:sz w:val="21"/>
                <w:szCs w:val="21"/>
                <w:spacing w:val="-3"/>
              </w:rPr>
              <w:t>安全隐患</w:t>
            </w:r>
            <w:r>
              <w:rPr>
                <w:sz w:val="21"/>
                <w:szCs w:val="21"/>
              </w:rPr>
              <w:t xml:space="preserve"> </w:t>
            </w:r>
            <w:r>
              <w:rPr>
                <w:sz w:val="21"/>
                <w:szCs w:val="21"/>
                <w:spacing w:val="-10"/>
              </w:rPr>
              <w:t>（高温）</w:t>
            </w:r>
          </w:p>
        </w:tc>
      </w:tr>
      <w:tr>
        <w:trPr>
          <w:trHeight w:val="1447" w:hRule="atLeast"/>
        </w:trPr>
        <w:tc>
          <w:tcPr>
            <w:shd w:val="clear" w:fill="F1F1F1"/>
            <w:tcW w:w="1304" w:type="dxa"/>
            <w:vAlign w:val="top"/>
            <w:tcBorders>
              <w:right w:val="single" w:color="BFBFBF" w:sz="2" w:space="0"/>
            </w:tcBorders>
          </w:tcPr>
          <w:p>
            <w:pPr>
              <w:spacing w:line="270" w:lineRule="auto"/>
              <w:rPr>
                <w:rFonts w:ascii="Arial"/>
                <w:sz w:val="21"/>
              </w:rPr>
            </w:pPr>
            <w:r/>
          </w:p>
          <w:p>
            <w:pPr>
              <w:spacing w:line="270" w:lineRule="auto"/>
              <w:rPr>
                <w:rFonts w:ascii="Arial"/>
                <w:sz w:val="21"/>
              </w:rPr>
            </w:pPr>
            <w:r/>
          </w:p>
          <w:p>
            <w:pPr>
              <w:pStyle w:val="TableText"/>
              <w:ind w:left="233"/>
              <w:spacing w:before="90" w:line="179" w:lineRule="auto"/>
              <w:rPr>
                <w:sz w:val="21"/>
                <w:szCs w:val="21"/>
              </w:rPr>
            </w:pPr>
            <w:r>
              <w:rPr>
                <w:sz w:val="21"/>
                <w:szCs w:val="21"/>
                <w:b/>
                <w:bCs/>
                <w:color w:val="00B8F5"/>
                <w:spacing w:val="-1"/>
              </w:rPr>
              <w:t>液流电池</w:t>
            </w:r>
          </w:p>
        </w:tc>
        <w:tc>
          <w:tcPr>
            <w:shd w:val="clear" w:fill="F1F1F1"/>
            <w:tcW w:w="1474" w:type="dxa"/>
            <w:vAlign w:val="top"/>
            <w:tcBorders>
              <w:left w:val="single" w:color="BFBFBF" w:sz="2" w:space="0"/>
              <w:right w:val="single" w:color="BFBFBF" w:sz="2" w:space="0"/>
            </w:tcBorders>
          </w:tcPr>
          <w:p>
            <w:pPr>
              <w:spacing w:line="271" w:lineRule="auto"/>
              <w:rPr>
                <w:rFonts w:ascii="Arial"/>
                <w:sz w:val="21"/>
              </w:rPr>
            </w:pPr>
            <w:r/>
          </w:p>
          <w:p>
            <w:pPr>
              <w:spacing w:line="272" w:lineRule="auto"/>
              <w:rPr>
                <w:rFonts w:ascii="Arial"/>
                <w:sz w:val="21"/>
              </w:rPr>
            </w:pPr>
            <w:r/>
          </w:p>
          <w:p>
            <w:pPr>
              <w:pStyle w:val="TableText"/>
              <w:ind w:left="429"/>
              <w:spacing w:before="90" w:line="177" w:lineRule="auto"/>
              <w:rPr>
                <w:sz w:val="21"/>
                <w:szCs w:val="21"/>
              </w:rPr>
            </w:pPr>
            <w:r>
              <w:rPr>
                <w:sz w:val="21"/>
                <w:szCs w:val="21"/>
                <w:spacing w:val="-2"/>
              </w:rPr>
              <w:t>毫秒级</w:t>
            </w:r>
          </w:p>
        </w:tc>
        <w:tc>
          <w:tcPr>
            <w:shd w:val="clear" w:fill="F1F1F1"/>
            <w:tcW w:w="1417" w:type="dxa"/>
            <w:vAlign w:val="top"/>
            <w:tcBorders>
              <w:left w:val="single" w:color="BFBFBF" w:sz="2" w:space="0"/>
              <w:right w:val="single" w:color="BFBFBF" w:sz="2" w:space="0"/>
            </w:tcBorders>
          </w:tcPr>
          <w:p>
            <w:pPr>
              <w:spacing w:line="272" w:lineRule="auto"/>
              <w:rPr>
                <w:rFonts w:ascii="Arial"/>
                <w:sz w:val="21"/>
              </w:rPr>
            </w:pPr>
            <w:r/>
          </w:p>
          <w:p>
            <w:pPr>
              <w:spacing w:line="272" w:lineRule="auto"/>
              <w:rPr>
                <w:rFonts w:ascii="Arial"/>
                <w:sz w:val="21"/>
              </w:rPr>
            </w:pPr>
            <w:r/>
          </w:p>
          <w:p>
            <w:pPr>
              <w:pStyle w:val="TableText"/>
              <w:ind w:left="396"/>
              <w:spacing w:before="90" w:line="176" w:lineRule="auto"/>
              <w:rPr>
                <w:sz w:val="21"/>
                <w:szCs w:val="21"/>
              </w:rPr>
            </w:pPr>
            <w:r>
              <w:rPr>
                <w:sz w:val="21"/>
                <w:szCs w:val="21"/>
                <w:spacing w:val="-1"/>
              </w:rPr>
              <w:t>小时级</w:t>
            </w:r>
          </w:p>
        </w:tc>
        <w:tc>
          <w:tcPr>
            <w:shd w:val="clear" w:fill="F1F1F1"/>
            <w:tcW w:w="1134" w:type="dxa"/>
            <w:vAlign w:val="top"/>
            <w:tcBorders>
              <w:left w:val="single" w:color="BFBFBF" w:sz="2" w:space="0"/>
              <w:right w:val="single" w:color="BFBFBF" w:sz="2" w:space="0"/>
            </w:tcBorders>
          </w:tcPr>
          <w:p>
            <w:pPr>
              <w:spacing w:line="281" w:lineRule="auto"/>
              <w:rPr>
                <w:rFonts w:ascii="Arial"/>
                <w:sz w:val="21"/>
              </w:rPr>
            </w:pPr>
            <w:r/>
          </w:p>
          <w:p>
            <w:pPr>
              <w:spacing w:line="282" w:lineRule="auto"/>
              <w:rPr>
                <w:rFonts w:ascii="Arial"/>
                <w:sz w:val="21"/>
              </w:rPr>
            </w:pPr>
            <w:r/>
          </w:p>
          <w:p>
            <w:pPr>
              <w:pStyle w:val="TableText"/>
              <w:ind w:left="309"/>
              <w:spacing w:before="90" w:line="171" w:lineRule="auto"/>
              <w:rPr>
                <w:sz w:val="21"/>
                <w:szCs w:val="21"/>
              </w:rPr>
            </w:pPr>
            <w:r>
              <w:rPr>
                <w:sz w:val="21"/>
                <w:szCs w:val="21"/>
                <w:spacing w:val="-11"/>
              </w:rPr>
              <w:t>60-85</w:t>
            </w:r>
          </w:p>
        </w:tc>
        <w:tc>
          <w:tcPr>
            <w:shd w:val="clear" w:fill="F1F1F1"/>
            <w:tcW w:w="1148" w:type="dxa"/>
            <w:vAlign w:val="top"/>
            <w:tcBorders>
              <w:left w:val="single" w:color="BFBFBF" w:sz="2" w:space="0"/>
              <w:right w:val="single" w:color="BFBFBF" w:sz="2" w:space="0"/>
            </w:tcBorders>
          </w:tcPr>
          <w:p>
            <w:pPr>
              <w:spacing w:line="281" w:lineRule="auto"/>
              <w:rPr>
                <w:rFonts w:ascii="Arial"/>
                <w:sz w:val="21"/>
              </w:rPr>
            </w:pPr>
            <w:r/>
          </w:p>
          <w:p>
            <w:pPr>
              <w:spacing w:line="282" w:lineRule="auto"/>
              <w:rPr>
                <w:rFonts w:ascii="Arial"/>
                <w:sz w:val="21"/>
              </w:rPr>
            </w:pPr>
            <w:r/>
          </w:p>
          <w:p>
            <w:pPr>
              <w:pStyle w:val="TableText"/>
              <w:ind w:left="366"/>
              <w:spacing w:before="90" w:line="171" w:lineRule="auto"/>
              <w:rPr>
                <w:sz w:val="21"/>
                <w:szCs w:val="21"/>
              </w:rPr>
            </w:pPr>
            <w:r>
              <w:rPr>
                <w:sz w:val="21"/>
                <w:szCs w:val="21"/>
                <w:spacing w:val="-10"/>
              </w:rPr>
              <w:t>5-10</w:t>
            </w:r>
          </w:p>
        </w:tc>
        <w:tc>
          <w:tcPr>
            <w:shd w:val="clear" w:fill="F1F1F1"/>
            <w:tcW w:w="1587" w:type="dxa"/>
            <w:vAlign w:val="top"/>
            <w:tcBorders>
              <w:left w:val="single" w:color="BFBFBF" w:sz="2" w:space="0"/>
              <w:right w:val="single" w:color="BFBFBF" w:sz="2" w:space="0"/>
            </w:tcBorders>
          </w:tcPr>
          <w:p>
            <w:pPr>
              <w:spacing w:line="291" w:lineRule="auto"/>
              <w:rPr>
                <w:rFonts w:ascii="Arial"/>
                <w:sz w:val="21"/>
              </w:rPr>
            </w:pPr>
            <w:r/>
          </w:p>
          <w:p>
            <w:pPr>
              <w:pStyle w:val="TableText"/>
              <w:ind w:left="380"/>
              <w:spacing w:before="90" w:line="170" w:lineRule="auto"/>
              <w:rPr>
                <w:sz w:val="21"/>
                <w:szCs w:val="21"/>
              </w:rPr>
            </w:pPr>
            <w:r>
              <w:rPr>
                <w:sz w:val="21"/>
                <w:szCs w:val="21"/>
                <w:spacing w:val="-2"/>
              </w:rPr>
              <w:t>安全性高</w:t>
            </w:r>
          </w:p>
          <w:p>
            <w:pPr>
              <w:pStyle w:val="TableText"/>
              <w:ind w:left="162"/>
              <w:spacing w:before="1" w:line="166" w:lineRule="auto"/>
              <w:rPr>
                <w:sz w:val="21"/>
                <w:szCs w:val="21"/>
              </w:rPr>
            </w:pPr>
            <w:r>
              <w:rPr>
                <w:sz w:val="21"/>
                <w:szCs w:val="21"/>
                <w:spacing w:val="-1"/>
              </w:rPr>
              <w:t>功率和容量独</w:t>
            </w:r>
          </w:p>
          <w:p>
            <w:pPr>
              <w:pStyle w:val="TableText"/>
              <w:ind w:left="482"/>
              <w:spacing w:line="176" w:lineRule="auto"/>
              <w:rPr>
                <w:sz w:val="21"/>
                <w:szCs w:val="21"/>
              </w:rPr>
            </w:pPr>
            <w:r>
              <w:rPr>
                <w:sz w:val="21"/>
                <w:szCs w:val="21"/>
                <w:spacing w:val="-2"/>
              </w:rPr>
              <w:t>立设计</w:t>
            </w:r>
          </w:p>
        </w:tc>
        <w:tc>
          <w:tcPr>
            <w:shd w:val="clear" w:fill="F1F1F1"/>
            <w:tcW w:w="1562" w:type="dxa"/>
            <w:vAlign w:val="top"/>
            <w:tcBorders>
              <w:left w:val="single" w:color="BFBFBF" w:sz="2" w:space="0"/>
            </w:tcBorders>
          </w:tcPr>
          <w:p>
            <w:pPr>
              <w:spacing w:line="417" w:lineRule="auto"/>
              <w:rPr>
                <w:rFonts w:ascii="Arial"/>
                <w:sz w:val="21"/>
              </w:rPr>
            </w:pPr>
            <w:r/>
          </w:p>
          <w:p>
            <w:pPr>
              <w:pStyle w:val="TableText"/>
              <w:ind w:left="468" w:right="253" w:hanging="210"/>
              <w:spacing w:before="90" w:line="173" w:lineRule="auto"/>
              <w:rPr>
                <w:sz w:val="21"/>
                <w:szCs w:val="21"/>
              </w:rPr>
            </w:pPr>
            <w:r>
              <w:rPr>
                <w:sz w:val="21"/>
                <w:szCs w:val="21"/>
                <w:spacing w:val="-1"/>
              </w:rPr>
              <w:t>运维成本高</w:t>
            </w:r>
            <w:r>
              <w:rPr>
                <w:sz w:val="21"/>
                <w:szCs w:val="21"/>
                <w:spacing w:val="1"/>
              </w:rPr>
              <w:t xml:space="preserve"> </w:t>
            </w:r>
            <w:r>
              <w:rPr>
                <w:sz w:val="21"/>
                <w:szCs w:val="21"/>
                <w:spacing w:val="-1"/>
              </w:rPr>
              <w:t>效率低</w:t>
            </w:r>
          </w:p>
        </w:tc>
      </w:tr>
      <w:tr>
        <w:trPr>
          <w:trHeight w:val="979" w:hRule="atLeast"/>
        </w:trPr>
        <w:tc>
          <w:tcPr>
            <w:tcW w:w="1304" w:type="dxa"/>
            <w:vAlign w:val="top"/>
            <w:tcBorders>
              <w:right w:val="single" w:color="BFBFBF" w:sz="2" w:space="0"/>
              <w:bottom w:val="single" w:color="00B8F5" w:sz="12" w:space="0"/>
            </w:tcBorders>
          </w:tcPr>
          <w:p>
            <w:pPr>
              <w:spacing w:line="306" w:lineRule="auto"/>
              <w:rPr>
                <w:rFonts w:ascii="Arial"/>
                <w:sz w:val="21"/>
              </w:rPr>
            </w:pPr>
            <w:r/>
          </w:p>
          <w:p>
            <w:pPr>
              <w:pStyle w:val="TableText"/>
              <w:ind w:left="231"/>
              <w:spacing w:before="90" w:line="180" w:lineRule="auto"/>
              <w:rPr>
                <w:sz w:val="21"/>
                <w:szCs w:val="21"/>
              </w:rPr>
            </w:pPr>
            <w:r>
              <w:rPr>
                <w:sz w:val="21"/>
                <w:szCs w:val="21"/>
                <w:b/>
                <w:bCs/>
                <w:color w:val="00B8F5"/>
              </w:rPr>
              <w:t>超级电容</w:t>
            </w:r>
          </w:p>
        </w:tc>
        <w:tc>
          <w:tcPr>
            <w:tcW w:w="1474" w:type="dxa"/>
            <w:vAlign w:val="top"/>
            <w:tcBorders>
              <w:left w:val="single" w:color="BFBFBF" w:sz="2" w:space="0"/>
              <w:right w:val="single" w:color="BFBFBF" w:sz="2" w:space="0"/>
              <w:bottom w:val="single" w:color="00B8F5" w:sz="12" w:space="0"/>
            </w:tcBorders>
          </w:tcPr>
          <w:p>
            <w:pPr>
              <w:spacing w:line="309" w:lineRule="auto"/>
              <w:rPr>
                <w:rFonts w:ascii="Arial"/>
                <w:sz w:val="21"/>
              </w:rPr>
            </w:pPr>
            <w:r/>
          </w:p>
          <w:p>
            <w:pPr>
              <w:pStyle w:val="TableText"/>
              <w:ind w:left="429"/>
              <w:spacing w:before="90" w:line="177" w:lineRule="auto"/>
              <w:rPr>
                <w:sz w:val="21"/>
                <w:szCs w:val="21"/>
              </w:rPr>
            </w:pPr>
            <w:r>
              <w:rPr>
                <w:sz w:val="21"/>
                <w:szCs w:val="21"/>
                <w:spacing w:val="-2"/>
              </w:rPr>
              <w:t>毫秒级</w:t>
            </w:r>
          </w:p>
        </w:tc>
        <w:tc>
          <w:tcPr>
            <w:tcW w:w="1417" w:type="dxa"/>
            <w:vAlign w:val="top"/>
            <w:tcBorders>
              <w:left w:val="single" w:color="BFBFBF" w:sz="2" w:space="0"/>
              <w:right w:val="single" w:color="BFBFBF" w:sz="2" w:space="0"/>
              <w:bottom w:val="single" w:color="00B8F5" w:sz="12" w:space="0"/>
            </w:tcBorders>
          </w:tcPr>
          <w:p>
            <w:pPr>
              <w:spacing w:line="308" w:lineRule="auto"/>
              <w:rPr>
                <w:rFonts w:ascii="Arial"/>
                <w:sz w:val="21"/>
              </w:rPr>
            </w:pPr>
            <w:r/>
          </w:p>
          <w:p>
            <w:pPr>
              <w:pStyle w:val="TableText"/>
              <w:ind w:left="151"/>
              <w:spacing w:before="90" w:line="177" w:lineRule="auto"/>
              <w:rPr>
                <w:sz w:val="21"/>
                <w:szCs w:val="21"/>
              </w:rPr>
            </w:pPr>
            <w:r>
              <w:rPr>
                <w:sz w:val="21"/>
                <w:szCs w:val="21"/>
                <w:spacing w:val="-5"/>
              </w:rPr>
              <w:t>毫秒-分钟级</w:t>
            </w:r>
          </w:p>
        </w:tc>
        <w:tc>
          <w:tcPr>
            <w:tcW w:w="1134" w:type="dxa"/>
            <w:vAlign w:val="top"/>
            <w:tcBorders>
              <w:left w:val="single" w:color="BFBFBF" w:sz="2" w:space="0"/>
              <w:right w:val="single" w:color="BFBFBF" w:sz="2" w:space="0"/>
              <w:bottom w:val="single" w:color="00B8F5" w:sz="12" w:space="0"/>
            </w:tcBorders>
          </w:tcPr>
          <w:p>
            <w:pPr>
              <w:spacing w:line="329" w:lineRule="auto"/>
              <w:rPr>
                <w:rFonts w:ascii="Arial"/>
                <w:sz w:val="21"/>
              </w:rPr>
            </w:pPr>
            <w:r/>
          </w:p>
          <w:p>
            <w:pPr>
              <w:pStyle w:val="TableText"/>
              <w:ind w:left="306"/>
              <w:spacing w:before="90" w:line="171" w:lineRule="auto"/>
              <w:rPr>
                <w:sz w:val="21"/>
                <w:szCs w:val="21"/>
              </w:rPr>
            </w:pPr>
            <w:r>
              <w:rPr>
                <w:sz w:val="21"/>
                <w:szCs w:val="21"/>
                <w:spacing w:val="-10"/>
              </w:rPr>
              <w:t>90-95</w:t>
            </w:r>
          </w:p>
        </w:tc>
        <w:tc>
          <w:tcPr>
            <w:tcW w:w="1148" w:type="dxa"/>
            <w:vAlign w:val="top"/>
            <w:tcBorders>
              <w:left w:val="single" w:color="BFBFBF" w:sz="2" w:space="0"/>
              <w:right w:val="single" w:color="BFBFBF" w:sz="2" w:space="0"/>
              <w:bottom w:val="single" w:color="00B8F5" w:sz="12" w:space="0"/>
            </w:tcBorders>
          </w:tcPr>
          <w:p>
            <w:pPr>
              <w:spacing w:line="329" w:lineRule="auto"/>
              <w:rPr>
                <w:rFonts w:ascii="Arial"/>
                <w:sz w:val="21"/>
              </w:rPr>
            </w:pPr>
            <w:r/>
          </w:p>
          <w:p>
            <w:pPr>
              <w:pStyle w:val="TableText"/>
              <w:ind w:left="407"/>
              <w:spacing w:before="90" w:line="171" w:lineRule="auto"/>
              <w:rPr>
                <w:sz w:val="21"/>
                <w:szCs w:val="21"/>
              </w:rPr>
            </w:pPr>
            <w:r>
              <w:rPr>
                <w:sz w:val="21"/>
                <w:szCs w:val="21"/>
                <w:spacing w:val="-8"/>
              </w:rPr>
              <w:t>20+</w:t>
            </w:r>
          </w:p>
        </w:tc>
        <w:tc>
          <w:tcPr>
            <w:tcW w:w="1587" w:type="dxa"/>
            <w:vAlign w:val="top"/>
            <w:tcBorders>
              <w:left w:val="single" w:color="BFBFBF" w:sz="2" w:space="0"/>
              <w:right w:val="single" w:color="BFBFBF" w:sz="2" w:space="0"/>
              <w:bottom w:val="single" w:color="00B8F5" w:sz="12" w:space="0"/>
            </w:tcBorders>
          </w:tcPr>
          <w:p>
            <w:pPr>
              <w:pStyle w:val="TableText"/>
              <w:ind w:left="479" w:right="477" w:hanging="1"/>
              <w:spacing w:before="274" w:line="173" w:lineRule="auto"/>
              <w:rPr>
                <w:sz w:val="21"/>
                <w:szCs w:val="21"/>
              </w:rPr>
            </w:pPr>
            <w:r>
              <w:rPr>
                <w:sz w:val="21"/>
                <w:szCs w:val="21"/>
                <w:spacing w:val="-2"/>
              </w:rPr>
              <w:t>效率高</w:t>
            </w:r>
            <w:r>
              <w:rPr>
                <w:sz w:val="21"/>
                <w:szCs w:val="21"/>
              </w:rPr>
              <w:t xml:space="preserve"> </w:t>
            </w:r>
            <w:r>
              <w:rPr>
                <w:sz w:val="21"/>
                <w:szCs w:val="21"/>
                <w:spacing w:val="-2"/>
              </w:rPr>
              <w:t>寿命长</w:t>
            </w:r>
          </w:p>
        </w:tc>
        <w:tc>
          <w:tcPr>
            <w:tcW w:w="1562" w:type="dxa"/>
            <w:vAlign w:val="top"/>
            <w:tcBorders>
              <w:left w:val="single" w:color="BFBFBF" w:sz="2" w:space="0"/>
              <w:bottom w:val="single" w:color="00B8F5" w:sz="12" w:space="0"/>
            </w:tcBorders>
          </w:tcPr>
          <w:p>
            <w:pPr>
              <w:pStyle w:val="TableText"/>
              <w:ind w:left="469" w:right="464"/>
              <w:spacing w:before="275" w:line="173" w:lineRule="auto"/>
              <w:rPr>
                <w:sz w:val="21"/>
                <w:szCs w:val="21"/>
              </w:rPr>
            </w:pPr>
            <w:r>
              <w:rPr>
                <w:sz w:val="21"/>
                <w:szCs w:val="21"/>
                <w:spacing w:val="-2"/>
              </w:rPr>
              <w:t>成本高</w:t>
            </w:r>
            <w:r>
              <w:rPr>
                <w:sz w:val="21"/>
                <w:szCs w:val="21"/>
              </w:rPr>
              <w:t xml:space="preserve"> </w:t>
            </w:r>
            <w:r>
              <w:rPr>
                <w:sz w:val="21"/>
                <w:szCs w:val="21"/>
                <w:spacing w:val="-2"/>
              </w:rPr>
              <w:t>容量小</w:t>
            </w:r>
          </w:p>
        </w:tc>
      </w:tr>
    </w:tbl>
    <w:p>
      <w:pPr>
        <w:ind w:left="10"/>
        <w:spacing w:before="304" w:line="186"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6"/>
        </w:rPr>
        <w:t>资料来源： </w:t>
      </w:r>
      <w:r>
        <w:rPr>
          <w:rFonts w:ascii="Microsoft YaHei" w:hAnsi="Microsoft YaHei" w:eastAsia="Microsoft YaHei" w:cs="Microsoft YaHei"/>
          <w:sz w:val="15"/>
          <w:szCs w:val="15"/>
        </w:rPr>
        <w:t>EESI</w:t>
      </w:r>
      <w:r>
        <w:rPr>
          <w:rFonts w:ascii="Microsoft YaHei" w:hAnsi="Microsoft YaHei" w:eastAsia="Microsoft YaHei" w:cs="Microsoft YaHei"/>
          <w:sz w:val="15"/>
          <w:szCs w:val="15"/>
          <w:spacing w:val="6"/>
        </w:rPr>
        <w:t>，公开资料，毕马威分析</w:t>
      </w:r>
    </w:p>
    <w:p>
      <w:pPr>
        <w:pStyle w:val="BodyText"/>
        <w:spacing w:line="259"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ict>
          <v:shape id="_x0000_s306" style="position:absolute;margin-left:0.25pt;margin-top:5.05529pt;mso-position-vertical-relative:text;mso-position-horizontal-relative:text;width:81.3pt;height:0.5pt;z-index:251842560;" filled="false" strokecolor="#000000" strokeweight="0.50pt" coordsize="1626,10" coordorigin="0,0" path="m0,5l1625,5e">
            <v:stroke joinstyle="miter"/>
          </v:shape>
        </w:pict>
      </w:r>
      <w:r/>
    </w:p>
    <w:p>
      <w:pPr>
        <w:ind w:left="13" w:right="5992" w:hanging="4"/>
        <w:spacing w:before="56" w:line="187"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4"/>
          <w:position w:val="4"/>
        </w:rPr>
        <w:t>11</w:t>
      </w:r>
      <w:r>
        <w:rPr>
          <w:rFonts w:ascii="Microsoft YaHei" w:hAnsi="Microsoft YaHei" w:eastAsia="Microsoft YaHei" w:cs="Microsoft YaHei"/>
          <w:sz w:val="13"/>
          <w:szCs w:val="13"/>
          <w:spacing w:val="4"/>
        </w:rPr>
        <w:t>全球储能领域发生70多余起储能安全事故汇总，索比储能网，  2022年11月1日，</w:t>
      </w:r>
      <w:r>
        <w:rPr>
          <w:rFonts w:ascii="Microsoft YaHei" w:hAnsi="Microsoft YaHei" w:eastAsia="Microsoft YaHei" w:cs="Microsoft YaHei"/>
          <w:sz w:val="13"/>
          <w:szCs w:val="13"/>
        </w:rPr>
        <w:t xml:space="preserve"> </w:t>
      </w:r>
      <w:hyperlink w:history="true" r:id="rId68">
        <w:r>
          <w:rPr>
            <w:rFonts w:ascii="Microsoft YaHei" w:hAnsi="Microsoft YaHei" w:eastAsia="Microsoft YaHei" w:cs="Microsoft YaHei"/>
            <w:sz w:val="13"/>
            <w:szCs w:val="13"/>
          </w:rPr>
          <w:t>https</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cn</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solarbe</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com</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news</w:t>
        </w:r>
        <w:r>
          <w:rPr>
            <w:rFonts w:ascii="Microsoft YaHei" w:hAnsi="Microsoft YaHei" w:eastAsia="Microsoft YaHei" w:cs="Microsoft YaHei"/>
            <w:sz w:val="13"/>
            <w:szCs w:val="13"/>
            <w:spacing w:val="6"/>
          </w:rPr>
          <w:t>/20221101/57114.</w:t>
        </w:r>
        <w:r>
          <w:rPr>
            <w:rFonts w:ascii="Microsoft YaHei" w:hAnsi="Microsoft YaHei" w:eastAsia="Microsoft YaHei" w:cs="Microsoft YaHei"/>
            <w:sz w:val="13"/>
            <w:szCs w:val="13"/>
          </w:rPr>
          <w:t>html</w:t>
        </w:r>
      </w:hyperlink>
    </w:p>
    <w:p>
      <w:pPr>
        <w:ind w:left="505" w:right="1241" w:hanging="411"/>
        <w:spacing w:before="183"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1300" w:header="0" w:footer="0" w:gutter="0"/>
        </w:sectPr>
        <w:rPr>
          <w:rFonts w:ascii="Microsoft YaHei" w:hAnsi="Microsoft YaHei" w:eastAsia="Microsoft YaHei" w:cs="Microsoft YaHei"/>
          <w:sz w:val="11"/>
          <w:szCs w:val="11"/>
        </w:rPr>
      </w:pPr>
    </w:p>
    <w:p>
      <w:pPr>
        <w:spacing w:before="314" w:line="193" w:lineRule="auto"/>
        <w:rPr>
          <w:rFonts w:ascii="Microsoft YaHei" w:hAnsi="Microsoft YaHei" w:eastAsia="Microsoft YaHei" w:cs="Microsoft YaHei"/>
          <w:sz w:val="18"/>
          <w:szCs w:val="18"/>
        </w:rPr>
      </w:pPr>
      <w:r>
        <w:pict>
          <v:rect id="_x0000_s308" style="position:absolute;margin-left:611.99pt;margin-top:0pt;mso-position-vertical-relative:page;mso-position-horizontal-relative:page;width:0.25pt;height:859pt;z-index:251860992;" o:allowincell="f" fillcolor="#000000" filled="true" stroked="false"/>
        </w:pict>
      </w:r>
      <w:r>
        <w:rPr>
          <w:rFonts w:ascii="Microsoft YaHei" w:hAnsi="Microsoft YaHei" w:eastAsia="Microsoft YaHei" w:cs="Microsoft YaHei"/>
          <w:sz w:val="18"/>
          <w:szCs w:val="18"/>
          <w:b/>
          <w:bCs/>
          <w:color w:val="A8A8A8"/>
          <w:spacing w:val="-1"/>
        </w:rPr>
        <w:t>21</w:t>
      </w:r>
      <w:r>
        <w:rPr>
          <w:rFonts w:ascii="Microsoft YaHei" w:hAnsi="Microsoft YaHei" w:eastAsia="Microsoft YaHei" w:cs="Microsoft YaHei"/>
          <w:sz w:val="18"/>
          <w:szCs w:val="18"/>
          <w:b/>
          <w:bCs/>
          <w:color w:val="A8A8A8"/>
          <w:spacing w:val="14"/>
        </w:rPr>
        <w:t xml:space="preserve">  </w:t>
      </w:r>
      <w:r>
        <w:rPr>
          <w:sz w:val="18"/>
          <w:szCs w:val="18"/>
          <w:position w:val="-4"/>
        </w:rPr>
        <w:drawing>
          <wp:inline distT="0" distB="0" distL="0" distR="0">
            <wp:extent cx="6350" cy="130175"/>
            <wp:effectExtent l="0" t="0" r="0" b="0"/>
            <wp:docPr id="162" name="IM 162"/>
            <wp:cNvGraphicFramePr/>
            <a:graphic>
              <a:graphicData uri="http://schemas.openxmlformats.org/drawingml/2006/picture">
                <pic:pic>
                  <pic:nvPicPr>
                    <pic:cNvPr id="162" name="IM 162"/>
                    <pic:cNvPicPr/>
                  </pic:nvPicPr>
                  <pic:blipFill>
                    <a:blip r:embed="rId69"/>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A8A8A8"/>
          <w:spacing w:val="26"/>
        </w:rPr>
        <w:t xml:space="preserve">  </w:t>
      </w:r>
      <w:r>
        <w:rPr>
          <w:rFonts w:ascii="Microsoft YaHei" w:hAnsi="Microsoft YaHei" w:eastAsia="Microsoft YaHei" w:cs="Microsoft YaHei"/>
          <w:sz w:val="18"/>
          <w:szCs w:val="18"/>
          <w:color w:val="A8A8A8"/>
          <w:spacing w:val="-1"/>
        </w:rPr>
        <w:t>新型储能助力能源转型</w:t>
      </w:r>
    </w:p>
    <w:p>
      <w:pPr>
        <w:pStyle w:val="BodyText"/>
        <w:spacing w:line="312" w:lineRule="auto"/>
        <w:rPr/>
      </w:pPr>
      <w:r/>
    </w:p>
    <w:p>
      <w:pPr>
        <w:pStyle w:val="BodyText"/>
        <w:spacing w:line="313" w:lineRule="auto"/>
        <w:rPr/>
      </w:pPr>
      <w:r/>
    </w:p>
    <w:p>
      <w:pPr>
        <w:pStyle w:val="BodyText"/>
        <w:spacing w:line="313" w:lineRule="auto"/>
        <w:rPr/>
      </w:pPr>
      <w:r/>
    </w:p>
    <w:p>
      <w:pPr>
        <w:ind w:left="370"/>
        <w:spacing w:before="154" w:line="168" w:lineRule="auto"/>
        <w:outlineLvl w:val="0"/>
        <w:rPr>
          <w:rFonts w:ascii="Microsoft YaHei" w:hAnsi="Microsoft YaHei" w:eastAsia="Microsoft YaHei" w:cs="Microsoft YaHei"/>
          <w:sz w:val="36"/>
          <w:szCs w:val="36"/>
        </w:rPr>
      </w:pPr>
      <w:r>
        <w:rPr>
          <w:rFonts w:ascii="Microsoft YaHei" w:hAnsi="Microsoft YaHei" w:eastAsia="Microsoft YaHei" w:cs="Microsoft YaHei"/>
          <w:sz w:val="36"/>
          <w:szCs w:val="36"/>
          <w:b/>
          <w:bCs/>
          <w:color w:val="00338D"/>
          <w:spacing w:val="-1"/>
        </w:rPr>
        <w:t>新型储能技术适用场景各异，聚焦三大降本思路促</w:t>
      </w:r>
    </w:p>
    <w:p>
      <w:pPr>
        <w:ind w:left="368"/>
        <w:spacing w:line="180" w:lineRule="auto"/>
        <w:rPr>
          <w:rFonts w:ascii="Microsoft YaHei" w:hAnsi="Microsoft YaHei" w:eastAsia="Microsoft YaHei" w:cs="Microsoft YaHei"/>
          <w:sz w:val="36"/>
          <w:szCs w:val="36"/>
        </w:rPr>
      </w:pPr>
      <w:r>
        <w:rPr>
          <w:rFonts w:ascii="Microsoft YaHei" w:hAnsi="Microsoft YaHei" w:eastAsia="Microsoft YaHei" w:cs="Microsoft YaHei"/>
          <w:sz w:val="36"/>
          <w:szCs w:val="36"/>
          <w:b/>
          <w:bCs/>
          <w:color w:val="00338D"/>
          <w:spacing w:val="-2"/>
        </w:rPr>
        <w:t>进规模化应用</w:t>
      </w:r>
    </w:p>
    <w:p>
      <w:pPr>
        <w:ind w:left="348" w:right="2998" w:hanging="2"/>
        <w:spacing w:before="131" w:line="217"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从技术成熟度角度来看</w:t>
      </w:r>
      <w:r>
        <w:rPr>
          <w:rFonts w:ascii="Microsoft YaHei" w:hAnsi="Microsoft YaHei" w:eastAsia="Microsoft YaHei" w:cs="Microsoft YaHei"/>
          <w:sz w:val="21"/>
          <w:szCs w:val="21"/>
          <w:spacing w:val="-27"/>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41"/>
        </w:rPr>
        <w:t xml:space="preserve"> </w:t>
      </w:r>
      <w:r>
        <w:rPr>
          <w:rFonts w:ascii="Microsoft YaHei" w:hAnsi="Microsoft YaHei" w:eastAsia="Microsoft YaHei" w:cs="Microsoft YaHei"/>
          <w:sz w:val="21"/>
          <w:szCs w:val="21"/>
          <w:spacing w:val="2"/>
        </w:rPr>
        <w:t>中国目前是全球储能技术基础研究最活跃的国家之一</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，锂离</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子电池、铅蓄电池、液流电池、超级电容、压缩空气储能、热（冷）储能等技术已达</w:t>
      </w:r>
      <w:r>
        <w:rPr>
          <w:rFonts w:ascii="Microsoft YaHei" w:hAnsi="Microsoft YaHei" w:eastAsia="Microsoft YaHei" w:cs="Microsoft YaHei"/>
          <w:sz w:val="21"/>
          <w:szCs w:val="21"/>
          <w:spacing w:val="13"/>
        </w:rPr>
        <w:t xml:space="preserve"> </w:t>
      </w:r>
      <w:r>
        <w:rPr>
          <w:rFonts w:ascii="Microsoft YaHei" w:hAnsi="Microsoft YaHei" w:eastAsia="Microsoft YaHei" w:cs="Microsoft YaHei"/>
          <w:sz w:val="21"/>
          <w:szCs w:val="21"/>
          <w:spacing w:val="-1"/>
        </w:rPr>
        <w:t>到或接近世界先进水平，飞轮储能与世界先进水平尚有一定距离（表</w:t>
      </w:r>
      <w:r>
        <w:rPr>
          <w:rFonts w:ascii="Microsoft YaHei" w:hAnsi="Microsoft YaHei" w:eastAsia="Microsoft YaHei" w:cs="Microsoft YaHei"/>
          <w:sz w:val="21"/>
          <w:szCs w:val="21"/>
          <w:spacing w:val="-19"/>
        </w:rPr>
        <w:t xml:space="preserve"> </w:t>
      </w:r>
      <w:r>
        <w:rPr>
          <w:rFonts w:ascii="Microsoft YaHei" w:hAnsi="Microsoft YaHei" w:eastAsia="Microsoft YaHei" w:cs="Microsoft YaHei"/>
          <w:sz w:val="21"/>
          <w:szCs w:val="21"/>
          <w:spacing w:val="-1"/>
        </w:rPr>
        <w:t>3）。</w:t>
      </w:r>
    </w:p>
    <w:p>
      <w:pPr>
        <w:ind w:left="364"/>
        <w:spacing w:before="256" w:line="19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B8F5"/>
          <w:spacing w:val="-4"/>
        </w:rPr>
        <w:t>表 3 | 2021年中国主要储能技术研发进展</w:t>
      </w:r>
    </w:p>
    <w:p>
      <w:pPr>
        <w:spacing w:line="142" w:lineRule="exact"/>
        <w:rPr/>
      </w:pPr>
      <w:r/>
    </w:p>
    <w:tbl>
      <w:tblPr>
        <w:tblStyle w:val="TableNormal"/>
        <w:tblW w:w="9637" w:type="dxa"/>
        <w:tblInd w:w="359" w:type="dxa"/>
        <w:tblLayout w:type="fixed"/>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
      <w:tblGrid>
        <w:gridCol w:w="1707"/>
        <w:gridCol w:w="7930"/>
      </w:tblGrid>
      <w:tr>
        <w:trPr>
          <w:trHeight w:val="612" w:hRule="atLeast"/>
        </w:trPr>
        <w:tc>
          <w:tcPr>
            <w:shd w:val="clear" w:fill="00B8F5"/>
            <w:tcW w:w="1707" w:type="dxa"/>
            <w:vAlign w:val="top"/>
            <w:tcBorders>
              <w:bottom w:val="single" w:color="FFFFFF" w:sz="24" w:space="0"/>
            </w:tcBorders>
          </w:tcPr>
          <w:p>
            <w:pPr>
              <w:pStyle w:val="TableText"/>
              <w:ind w:left="104"/>
              <w:spacing w:before="191" w:line="178" w:lineRule="auto"/>
              <w:rPr>
                <w:sz w:val="21"/>
                <w:szCs w:val="21"/>
              </w:rPr>
            </w:pPr>
            <w:r>
              <w:rPr>
                <w:sz w:val="21"/>
                <w:szCs w:val="21"/>
                <w:b/>
                <w:bCs/>
                <w:color w:val="FFFFFF"/>
                <w:spacing w:val="-1"/>
              </w:rPr>
              <w:t>技术类型</w:t>
            </w:r>
          </w:p>
        </w:tc>
        <w:tc>
          <w:tcPr>
            <w:shd w:val="clear" w:fill="00B8F5"/>
            <w:tcW w:w="7930" w:type="dxa"/>
            <w:vAlign w:val="top"/>
            <w:tcBorders>
              <w:bottom w:val="single" w:color="FFFFFF" w:sz="24" w:space="0"/>
            </w:tcBorders>
          </w:tcPr>
          <w:p>
            <w:pPr>
              <w:pStyle w:val="TableText"/>
              <w:ind w:left="110"/>
              <w:spacing w:before="189" w:line="180" w:lineRule="auto"/>
              <w:rPr>
                <w:sz w:val="21"/>
                <w:szCs w:val="21"/>
              </w:rPr>
            </w:pPr>
            <w:r>
              <w:rPr>
                <w:sz w:val="21"/>
                <w:szCs w:val="21"/>
                <w:b/>
                <w:bCs/>
                <w:color w:val="FFFFFF"/>
                <w:spacing w:val="-2"/>
              </w:rPr>
              <w:t>中国研发进展</w:t>
            </w:r>
          </w:p>
        </w:tc>
      </w:tr>
      <w:tr>
        <w:trPr>
          <w:trHeight w:val="787" w:hRule="atLeast"/>
        </w:trPr>
        <w:tc>
          <w:tcPr>
            <w:tcW w:w="1707" w:type="dxa"/>
            <w:vAlign w:val="top"/>
            <w:tcBorders>
              <w:top w:val="single" w:color="FFFFFF" w:sz="24" w:space="0"/>
            </w:tcBorders>
          </w:tcPr>
          <w:p>
            <w:pPr>
              <w:pStyle w:val="TableText"/>
              <w:ind w:left="102"/>
              <w:spacing w:before="255" w:line="180" w:lineRule="auto"/>
              <w:rPr>
                <w:sz w:val="21"/>
                <w:szCs w:val="21"/>
              </w:rPr>
            </w:pPr>
            <w:r>
              <w:rPr>
                <w:sz w:val="21"/>
                <w:szCs w:val="21"/>
                <w:b/>
                <w:bCs/>
                <w:color w:val="00B8F5"/>
              </w:rPr>
              <w:t>锂离子电池</w:t>
            </w:r>
          </w:p>
        </w:tc>
        <w:tc>
          <w:tcPr>
            <w:tcW w:w="7930" w:type="dxa"/>
            <w:vAlign w:val="top"/>
            <w:tcBorders>
              <w:top w:val="single" w:color="FFFFFF" w:sz="24" w:space="0"/>
            </w:tcBorders>
          </w:tcPr>
          <w:p>
            <w:pPr>
              <w:pStyle w:val="TableText"/>
              <w:ind w:left="103"/>
              <w:spacing w:before="130" w:line="170" w:lineRule="auto"/>
              <w:rPr>
                <w:sz w:val="21"/>
                <w:szCs w:val="21"/>
              </w:rPr>
            </w:pPr>
            <w:r>
              <w:rPr>
                <w:sz w:val="21"/>
                <w:szCs w:val="21"/>
                <w:spacing w:val="-1"/>
              </w:rPr>
              <w:t>正负极材料、快充技术、固态电池等取得重要突破；</w:t>
            </w:r>
          </w:p>
          <w:p>
            <w:pPr>
              <w:pStyle w:val="TableText"/>
              <w:ind w:left="100"/>
              <w:spacing w:line="176" w:lineRule="auto"/>
              <w:rPr>
                <w:sz w:val="21"/>
                <w:szCs w:val="21"/>
              </w:rPr>
            </w:pPr>
            <w:r>
              <w:rPr>
                <w:sz w:val="21"/>
                <w:szCs w:val="21"/>
              </w:rPr>
              <w:t>技术进步亮点包括锂补偿技术、无模组技术和刀片电池是技术进展亮点。</w:t>
            </w:r>
          </w:p>
        </w:tc>
      </w:tr>
      <w:tr>
        <w:trPr>
          <w:trHeight w:val="826" w:hRule="atLeast"/>
        </w:trPr>
        <w:tc>
          <w:tcPr>
            <w:shd w:val="clear" w:fill="F1F1F1"/>
            <w:tcW w:w="1707" w:type="dxa"/>
            <w:vAlign w:val="top"/>
          </w:tcPr>
          <w:p>
            <w:pPr>
              <w:pStyle w:val="TableText"/>
              <w:ind w:left="102"/>
              <w:spacing w:before="300" w:line="179" w:lineRule="auto"/>
              <w:rPr>
                <w:sz w:val="21"/>
                <w:szCs w:val="21"/>
              </w:rPr>
            </w:pPr>
            <w:r>
              <w:rPr>
                <w:sz w:val="21"/>
                <w:szCs w:val="21"/>
                <w:b/>
                <w:bCs/>
                <w:color w:val="00B8F5"/>
              </w:rPr>
              <w:t>铅蓄电池</w:t>
            </w:r>
          </w:p>
        </w:tc>
        <w:tc>
          <w:tcPr>
            <w:shd w:val="clear" w:fill="F1F1F1"/>
            <w:tcW w:w="7930" w:type="dxa"/>
            <w:vAlign w:val="top"/>
          </w:tcPr>
          <w:p>
            <w:pPr>
              <w:pStyle w:val="TableText"/>
              <w:ind w:left="101" w:right="243" w:hanging="3"/>
              <w:spacing w:before="175" w:line="173" w:lineRule="auto"/>
              <w:rPr>
                <w:sz w:val="21"/>
                <w:szCs w:val="21"/>
              </w:rPr>
            </w:pPr>
            <w:r>
              <w:rPr>
                <w:sz w:val="21"/>
                <w:szCs w:val="21"/>
              </w:rPr>
              <w:t>集中攻克铅炭电池，通过在负极添加高活性的碳材料，抑制负极硫酸盐化引起的容</w:t>
            </w:r>
            <w:r>
              <w:rPr>
                <w:sz w:val="21"/>
                <w:szCs w:val="21"/>
                <w:spacing w:val="6"/>
              </w:rPr>
              <w:t xml:space="preserve"> </w:t>
            </w:r>
            <w:r>
              <w:rPr>
                <w:sz w:val="21"/>
                <w:szCs w:val="21"/>
                <w:spacing w:val="-6"/>
              </w:rPr>
              <w:t>量快速衰减。</w:t>
            </w:r>
          </w:p>
        </w:tc>
      </w:tr>
      <w:tr>
        <w:trPr>
          <w:trHeight w:val="826" w:hRule="atLeast"/>
        </w:trPr>
        <w:tc>
          <w:tcPr>
            <w:tcW w:w="1707" w:type="dxa"/>
            <w:vAlign w:val="top"/>
          </w:tcPr>
          <w:p>
            <w:pPr>
              <w:pStyle w:val="TableText"/>
              <w:ind w:left="104"/>
              <w:spacing w:before="303" w:line="179" w:lineRule="auto"/>
              <w:rPr>
                <w:sz w:val="21"/>
                <w:szCs w:val="21"/>
              </w:rPr>
            </w:pPr>
            <w:r>
              <w:rPr>
                <w:sz w:val="21"/>
                <w:szCs w:val="21"/>
                <w:b/>
                <w:bCs/>
                <w:color w:val="00B8F5"/>
                <w:spacing w:val="-1"/>
              </w:rPr>
              <w:t>液流电池</w:t>
            </w:r>
          </w:p>
        </w:tc>
        <w:tc>
          <w:tcPr>
            <w:tcW w:w="7930" w:type="dxa"/>
            <w:vAlign w:val="top"/>
          </w:tcPr>
          <w:p>
            <w:pPr>
              <w:pStyle w:val="TableText"/>
              <w:ind w:left="103" w:right="906"/>
              <w:spacing w:before="179" w:line="173" w:lineRule="auto"/>
              <w:rPr>
                <w:sz w:val="21"/>
                <w:szCs w:val="21"/>
              </w:rPr>
            </w:pPr>
            <w:r>
              <w:rPr>
                <w:sz w:val="21"/>
                <w:szCs w:val="21"/>
                <w:spacing w:val="-1"/>
              </w:rPr>
              <w:t>主流技术是全钒液流电池，解决其规模化、成本、效率等问题是研究热点；</w:t>
            </w:r>
            <w:r>
              <w:rPr>
                <w:sz w:val="21"/>
                <w:szCs w:val="21"/>
              </w:rPr>
              <w:t xml:space="preserve"> </w:t>
            </w:r>
            <w:r>
              <w:rPr>
                <w:sz w:val="21"/>
                <w:szCs w:val="21"/>
                <w:spacing w:val="-2"/>
              </w:rPr>
              <w:t>正在探索锌溴、铁铬液流电池。</w:t>
            </w:r>
          </w:p>
        </w:tc>
      </w:tr>
      <w:tr>
        <w:trPr>
          <w:trHeight w:val="826" w:hRule="atLeast"/>
        </w:trPr>
        <w:tc>
          <w:tcPr>
            <w:shd w:val="clear" w:fill="F1F1F1"/>
            <w:tcW w:w="1707" w:type="dxa"/>
            <w:vAlign w:val="top"/>
          </w:tcPr>
          <w:p>
            <w:pPr>
              <w:pStyle w:val="TableText"/>
              <w:ind w:left="102"/>
              <w:spacing w:before="307" w:line="180" w:lineRule="auto"/>
              <w:rPr>
                <w:sz w:val="21"/>
                <w:szCs w:val="21"/>
              </w:rPr>
            </w:pPr>
            <w:r>
              <w:rPr>
                <w:sz w:val="21"/>
                <w:szCs w:val="21"/>
                <w:b/>
                <w:bCs/>
                <w:color w:val="00B8F5"/>
              </w:rPr>
              <w:t>超级电容</w:t>
            </w:r>
          </w:p>
        </w:tc>
        <w:tc>
          <w:tcPr>
            <w:shd w:val="clear" w:fill="F1F1F1"/>
            <w:tcW w:w="7930" w:type="dxa"/>
            <w:vAlign w:val="top"/>
          </w:tcPr>
          <w:p>
            <w:pPr>
              <w:pStyle w:val="TableText"/>
              <w:ind w:left="100"/>
              <w:spacing w:before="309" w:line="181" w:lineRule="auto"/>
              <w:rPr>
                <w:sz w:val="21"/>
                <w:szCs w:val="21"/>
              </w:rPr>
            </w:pPr>
            <w:r>
              <w:rPr>
                <w:sz w:val="21"/>
                <w:szCs w:val="21"/>
                <w:spacing w:val="-1"/>
              </w:rPr>
              <w:t>在关键材料、单体技术等方面进行全链条技术攻关，并实现规模示范。</w:t>
            </w:r>
          </w:p>
        </w:tc>
      </w:tr>
      <w:tr>
        <w:trPr>
          <w:trHeight w:val="827" w:hRule="atLeast"/>
        </w:trPr>
        <w:tc>
          <w:tcPr>
            <w:tcW w:w="1707" w:type="dxa"/>
            <w:vAlign w:val="top"/>
          </w:tcPr>
          <w:p>
            <w:pPr>
              <w:pStyle w:val="TableText"/>
              <w:ind w:left="102"/>
              <w:spacing w:before="311" w:line="181" w:lineRule="auto"/>
              <w:rPr>
                <w:sz w:val="21"/>
                <w:szCs w:val="21"/>
              </w:rPr>
            </w:pPr>
            <w:r>
              <w:rPr>
                <w:sz w:val="21"/>
                <w:szCs w:val="21"/>
                <w:b/>
                <w:bCs/>
                <w:color w:val="00B8F5"/>
              </w:rPr>
              <w:t>压缩空气储能</w:t>
            </w:r>
          </w:p>
        </w:tc>
        <w:tc>
          <w:tcPr>
            <w:tcW w:w="7930" w:type="dxa"/>
            <w:vAlign w:val="top"/>
          </w:tcPr>
          <w:p>
            <w:pPr>
              <w:pStyle w:val="TableText"/>
              <w:ind w:left="110"/>
              <w:spacing w:before="189" w:line="169" w:lineRule="auto"/>
              <w:rPr>
                <w:sz w:val="21"/>
                <w:szCs w:val="21"/>
              </w:rPr>
            </w:pPr>
            <w:r>
              <w:rPr>
                <w:sz w:val="21"/>
                <w:szCs w:val="21"/>
                <w:spacing w:val="-8"/>
              </w:rPr>
              <w:t>10-100MW储能系统取得里程碑式进展；</w:t>
            </w:r>
          </w:p>
          <w:p>
            <w:pPr>
              <w:pStyle w:val="TableText"/>
              <w:ind w:left="111"/>
              <w:spacing w:line="176" w:lineRule="auto"/>
              <w:rPr>
                <w:sz w:val="21"/>
                <w:szCs w:val="21"/>
              </w:rPr>
            </w:pPr>
            <w:r>
              <w:rPr>
                <w:sz w:val="21"/>
                <w:szCs w:val="21"/>
                <w:spacing w:val="-4"/>
              </w:rPr>
              <w:t>张家口首套100MW压缩空气储能项目达到世界引领水平。</w:t>
            </w:r>
          </w:p>
        </w:tc>
      </w:tr>
      <w:tr>
        <w:trPr>
          <w:trHeight w:val="827" w:hRule="atLeast"/>
        </w:trPr>
        <w:tc>
          <w:tcPr>
            <w:shd w:val="clear" w:fill="F1F1F1"/>
            <w:tcW w:w="1707" w:type="dxa"/>
            <w:vAlign w:val="top"/>
          </w:tcPr>
          <w:p>
            <w:pPr>
              <w:pStyle w:val="TableText"/>
              <w:ind w:left="105"/>
              <w:spacing w:before="314" w:line="177" w:lineRule="auto"/>
              <w:rPr>
                <w:sz w:val="21"/>
                <w:szCs w:val="21"/>
              </w:rPr>
            </w:pPr>
            <w:r>
              <w:rPr>
                <w:sz w:val="21"/>
                <w:szCs w:val="21"/>
                <w:b/>
                <w:bCs/>
                <w:color w:val="00B8F5"/>
                <w:spacing w:val="-1"/>
              </w:rPr>
              <w:t>热（冷）储能</w:t>
            </w:r>
          </w:p>
        </w:tc>
        <w:tc>
          <w:tcPr>
            <w:shd w:val="clear" w:fill="F1F1F1"/>
            <w:tcW w:w="7930" w:type="dxa"/>
            <w:vAlign w:val="top"/>
          </w:tcPr>
          <w:p>
            <w:pPr>
              <w:pStyle w:val="TableText"/>
              <w:ind w:left="99"/>
              <w:spacing w:before="317" w:line="176" w:lineRule="auto"/>
              <w:rPr>
                <w:sz w:val="21"/>
                <w:szCs w:val="21"/>
              </w:rPr>
            </w:pPr>
            <w:r>
              <w:rPr>
                <w:sz w:val="21"/>
                <w:szCs w:val="21"/>
                <w:spacing w:val="-1"/>
              </w:rPr>
              <w:t>研发热点包括高温熔盐储热、大容量跨季节储热和储冷、热泵储热等。</w:t>
            </w:r>
          </w:p>
        </w:tc>
      </w:tr>
      <w:tr>
        <w:trPr>
          <w:trHeight w:val="841" w:hRule="atLeast"/>
        </w:trPr>
        <w:tc>
          <w:tcPr>
            <w:tcW w:w="1707" w:type="dxa"/>
            <w:vAlign w:val="top"/>
            <w:tcBorders>
              <w:bottom w:val="single" w:color="00B8F5" w:sz="12" w:space="0"/>
            </w:tcBorders>
          </w:tcPr>
          <w:p>
            <w:pPr>
              <w:pStyle w:val="TableText"/>
              <w:ind w:left="109"/>
              <w:spacing w:before="319" w:line="179" w:lineRule="auto"/>
              <w:rPr>
                <w:sz w:val="21"/>
                <w:szCs w:val="21"/>
              </w:rPr>
            </w:pPr>
            <w:r>
              <w:rPr>
                <w:sz w:val="21"/>
                <w:szCs w:val="21"/>
                <w:b/>
                <w:bCs/>
                <w:color w:val="00B8F5"/>
                <w:spacing w:val="-2"/>
              </w:rPr>
              <w:t>飞轮储能</w:t>
            </w:r>
          </w:p>
        </w:tc>
        <w:tc>
          <w:tcPr>
            <w:tcW w:w="7930" w:type="dxa"/>
            <w:vAlign w:val="top"/>
            <w:tcBorders>
              <w:bottom w:val="single" w:color="00B8F5" w:sz="12" w:space="0"/>
            </w:tcBorders>
          </w:tcPr>
          <w:p>
            <w:pPr>
              <w:pStyle w:val="TableText"/>
              <w:ind w:left="101"/>
              <w:spacing w:before="321" w:line="180" w:lineRule="auto"/>
              <w:rPr>
                <w:sz w:val="21"/>
                <w:szCs w:val="21"/>
              </w:rPr>
            </w:pPr>
            <w:r>
              <w:rPr>
                <w:sz w:val="21"/>
                <w:szCs w:val="21"/>
              </w:rPr>
              <w:t>大容器功率型飞轮储能取得阶段性进展，缩小了与国际先进水平的差距.</w:t>
            </w:r>
          </w:p>
        </w:tc>
      </w:tr>
    </w:tbl>
    <w:p>
      <w:pPr>
        <w:ind w:left="345"/>
        <w:spacing w:before="234" w:line="186"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5"/>
        </w:rPr>
        <w:t>资料来源： </w:t>
      </w:r>
      <w:r>
        <w:rPr>
          <w:rFonts w:ascii="Microsoft YaHei" w:hAnsi="Microsoft YaHei" w:eastAsia="Microsoft YaHei" w:cs="Microsoft YaHei"/>
          <w:sz w:val="15"/>
          <w:szCs w:val="15"/>
        </w:rPr>
        <w:t>CNESA</w:t>
      </w:r>
      <w:r>
        <w:rPr>
          <w:rFonts w:ascii="Microsoft YaHei" w:hAnsi="Microsoft YaHei" w:eastAsia="Microsoft YaHei" w:cs="Microsoft YaHei"/>
          <w:sz w:val="15"/>
          <w:szCs w:val="15"/>
          <w:spacing w:val="5"/>
        </w:rPr>
        <w:t>，公开资料，毕马威分析</w:t>
      </w:r>
    </w:p>
    <w:p>
      <w:pPr>
        <w:pStyle w:val="BodyText"/>
        <w:spacing w:line="329" w:lineRule="auto"/>
        <w:rPr/>
      </w:pPr>
      <w:r/>
    </w:p>
    <w:p>
      <w:pPr>
        <w:ind w:left="343" w:right="2827" w:firstLine="2"/>
        <w:spacing w:before="90" w:line="218"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在推动技术规模化应用过程中</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，需要针对不同的应用</w:t>
      </w:r>
      <w:r>
        <w:rPr>
          <w:rFonts w:ascii="Microsoft YaHei" w:hAnsi="Microsoft YaHei" w:eastAsia="Microsoft YaHei" w:cs="Microsoft YaHei"/>
          <w:sz w:val="21"/>
          <w:szCs w:val="21"/>
          <w:spacing w:val="2"/>
        </w:rPr>
        <w:t>场景</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，筛选出能够满足电网高安</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全性、大规模、长寿命、低成本、高效率等需求的主流技术（表 4）。从场景适用性角</w:t>
      </w:r>
      <w:r>
        <w:rPr>
          <w:rFonts w:ascii="Microsoft YaHei" w:hAnsi="Microsoft YaHei" w:eastAsia="Microsoft YaHei" w:cs="Microsoft YaHei"/>
          <w:sz w:val="21"/>
          <w:szCs w:val="21"/>
          <w:spacing w:val="3"/>
        </w:rPr>
        <w:t xml:space="preserve">    </w:t>
      </w:r>
      <w:r>
        <w:rPr>
          <w:rFonts w:ascii="Microsoft YaHei" w:hAnsi="Microsoft YaHei" w:eastAsia="Microsoft YaHei" w:cs="Microsoft YaHei"/>
          <w:sz w:val="21"/>
          <w:szCs w:val="21"/>
          <w:spacing w:val="2"/>
        </w:rPr>
        <w:t>度分析</w:t>
      </w:r>
      <w:r>
        <w:rPr>
          <w:rFonts w:ascii="Microsoft YaHei" w:hAnsi="Microsoft YaHei" w:eastAsia="Microsoft YaHei" w:cs="Microsoft YaHei"/>
          <w:sz w:val="21"/>
          <w:szCs w:val="21"/>
          <w:spacing w:val="-25"/>
        </w:rPr>
        <w:t xml:space="preserve"> </w:t>
      </w:r>
      <w:r>
        <w:rPr>
          <w:rFonts w:ascii="Microsoft YaHei" w:hAnsi="Microsoft YaHei" w:eastAsia="Microsoft YaHei" w:cs="Microsoft YaHei"/>
          <w:sz w:val="21"/>
          <w:szCs w:val="21"/>
          <w:spacing w:val="2"/>
        </w:rPr>
        <w:t>，除了电化学储能技术的市场前景值得关注外</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，压缩空气储能、</w:t>
      </w:r>
      <w:r>
        <w:rPr>
          <w:rFonts w:ascii="Microsoft YaHei" w:hAnsi="Microsoft YaHei" w:eastAsia="Microsoft YaHei" w:cs="Microsoft YaHei"/>
          <w:sz w:val="21"/>
          <w:szCs w:val="21"/>
          <w:spacing w:val="-42"/>
        </w:rPr>
        <w:t xml:space="preserve"> </w:t>
      </w:r>
      <w:r>
        <w:rPr>
          <w:rFonts w:ascii="Microsoft YaHei" w:hAnsi="Microsoft YaHei" w:eastAsia="Microsoft YaHei" w:cs="Microsoft YaHei"/>
          <w:sz w:val="21"/>
          <w:szCs w:val="21"/>
          <w:spacing w:val="2"/>
        </w:rPr>
        <w:t>飞轮储能、氢</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（氨）</w:t>
      </w:r>
      <w:r>
        <w:rPr>
          <w:rFonts w:ascii="Microsoft YaHei" w:hAnsi="Microsoft YaHei" w:eastAsia="Microsoft YaHei" w:cs="Microsoft YaHei"/>
          <w:sz w:val="21"/>
          <w:szCs w:val="21"/>
          <w:spacing w:val="-40"/>
        </w:rPr>
        <w:t xml:space="preserve"> </w:t>
      </w:r>
      <w:r>
        <w:rPr>
          <w:rFonts w:ascii="Microsoft YaHei" w:hAnsi="Microsoft YaHei" w:eastAsia="Microsoft YaHei" w:cs="Microsoft YaHei"/>
          <w:sz w:val="21"/>
          <w:szCs w:val="21"/>
          <w:spacing w:val="3"/>
        </w:rPr>
        <w:t>储能等的商业化潜力同样不容小觑。例如</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，压缩空气储能被视为抽水蓄能的最</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佳替代品</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，两者同属于机械储能</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，具备容量大、寿命长等优点</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2"/>
        </w:rPr>
        <w:t>，而压缩空气储</w:t>
      </w:r>
      <w:r>
        <w:rPr>
          <w:rFonts w:ascii="Microsoft YaHei" w:hAnsi="Microsoft YaHei" w:eastAsia="Microsoft YaHei" w:cs="Microsoft YaHei"/>
          <w:sz w:val="21"/>
          <w:szCs w:val="21"/>
          <w:spacing w:val="1"/>
        </w:rPr>
        <w:t>能选址</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条件更宽松</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，对生态环境影响更小</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3"/>
        </w:rPr>
        <w:t>，适用于电网削峰填谷、集中式可再生能源并网等</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大容量长时储能场景。</w:t>
      </w:r>
      <w:r>
        <w:rPr>
          <w:rFonts w:ascii="Microsoft YaHei" w:hAnsi="Microsoft YaHei" w:eastAsia="Microsoft YaHei" w:cs="Microsoft YaHei"/>
          <w:sz w:val="21"/>
          <w:szCs w:val="21"/>
          <w:spacing w:val="-36"/>
        </w:rPr>
        <w:t xml:space="preserve"> </w:t>
      </w:r>
      <w:r>
        <w:rPr>
          <w:rFonts w:ascii="Microsoft YaHei" w:hAnsi="Microsoft YaHei" w:eastAsia="Microsoft YaHei" w:cs="Microsoft YaHei"/>
          <w:sz w:val="21"/>
          <w:szCs w:val="21"/>
          <w:spacing w:val="2"/>
        </w:rPr>
        <w:t>飞轮储能瞬时功率大</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，具有毫秒级响应速度和</w:t>
      </w:r>
      <w:r>
        <w:rPr>
          <w:rFonts w:ascii="Microsoft YaHei" w:hAnsi="Microsoft YaHei" w:eastAsia="Microsoft YaHei" w:cs="Microsoft YaHei"/>
          <w:sz w:val="21"/>
          <w:szCs w:val="21"/>
          <w:spacing w:val="1"/>
        </w:rPr>
        <w:t>分钟级放电时间，</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更适合电网调频、改善电能质量等高频短时场景。此外</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，氢（氨）</w:t>
      </w:r>
      <w:r>
        <w:rPr>
          <w:rFonts w:ascii="Microsoft YaHei" w:hAnsi="Microsoft YaHei" w:eastAsia="Microsoft YaHei" w:cs="Microsoft YaHei"/>
          <w:sz w:val="21"/>
          <w:szCs w:val="21"/>
          <w:spacing w:val="-38"/>
        </w:rPr>
        <w:t xml:space="preserve"> </w:t>
      </w:r>
      <w:r>
        <w:rPr>
          <w:rFonts w:ascii="Microsoft YaHei" w:hAnsi="Microsoft YaHei" w:eastAsia="Microsoft YaHei" w:cs="Microsoft YaHei"/>
          <w:sz w:val="21"/>
          <w:szCs w:val="21"/>
          <w:spacing w:val="3"/>
        </w:rPr>
        <w:t>储能近来愈发</w:t>
      </w:r>
      <w:r>
        <w:rPr>
          <w:rFonts w:ascii="Microsoft YaHei" w:hAnsi="Microsoft YaHei" w:eastAsia="Microsoft YaHei" w:cs="Microsoft YaHei"/>
          <w:sz w:val="21"/>
          <w:szCs w:val="21"/>
          <w:spacing w:val="2"/>
        </w:rPr>
        <w:t>受到</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关注，原理是利用“电-氢-电”的互变性</w:t>
      </w:r>
      <w:r>
        <w:rPr>
          <w:rFonts w:ascii="Microsoft YaHei" w:hAnsi="Microsoft YaHei" w:eastAsia="Microsoft YaHei" w:cs="Microsoft YaHei"/>
          <w:sz w:val="21"/>
          <w:szCs w:val="21"/>
          <w:spacing w:val="-1"/>
        </w:rPr>
        <w:t>实现能量存储和释放，具有清洁低碳、存储时</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间长、运输距离远等优势，在大规模长距离能量储运场景中优势明显。</w:t>
      </w:r>
    </w:p>
    <w:p>
      <w:pPr>
        <w:pStyle w:val="BodyText"/>
        <w:spacing w:line="289" w:lineRule="auto"/>
        <w:rPr/>
      </w:pPr>
      <w:r/>
    </w:p>
    <w:p>
      <w:pPr>
        <w:pStyle w:val="BodyText"/>
        <w:spacing w:line="289" w:lineRule="auto"/>
        <w:rPr/>
      </w:pPr>
      <w:r/>
    </w:p>
    <w:p>
      <w:pPr>
        <w:pStyle w:val="BodyText"/>
        <w:spacing w:line="289" w:lineRule="auto"/>
        <w:rPr/>
      </w:pPr>
      <w:r/>
    </w:p>
    <w:p>
      <w:pPr>
        <w:pStyle w:val="BodyText"/>
        <w:spacing w:line="290" w:lineRule="auto"/>
        <w:rPr/>
      </w:pPr>
      <w:r/>
    </w:p>
    <w:p>
      <w:pPr>
        <w:ind w:left="840" w:right="1241" w:hanging="411"/>
        <w:spacing w:before="48"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965" w:header="0" w:footer="0" w:gutter="0"/>
        </w:sectPr>
        <w:rPr>
          <w:rFonts w:ascii="Microsoft YaHei" w:hAnsi="Microsoft YaHei" w:eastAsia="Microsoft YaHei" w:cs="Microsoft YaHei"/>
          <w:sz w:val="11"/>
          <w:szCs w:val="11"/>
        </w:rPr>
      </w:pPr>
    </w:p>
    <w:p>
      <w:pPr>
        <w:ind w:left="7674"/>
        <w:spacing w:before="314" w:line="193" w:lineRule="auto"/>
        <w:rPr>
          <w:rFonts w:ascii="Microsoft YaHei" w:hAnsi="Microsoft YaHei" w:eastAsia="Microsoft YaHei" w:cs="Microsoft YaHei"/>
          <w:sz w:val="18"/>
          <w:szCs w:val="18"/>
        </w:rPr>
      </w:pPr>
      <w:r>
        <w:pict>
          <v:rect id="_x0000_s310" style="position:absolute;margin-left:611.99pt;margin-top:0pt;mso-position-vertical-relative:page;mso-position-horizontal-relative:page;width:0.25pt;height:859pt;z-index:251881472;" o:allowincell="f" fillcolor="#000000" filled="true" stroked="false"/>
        </w:pict>
      </w:r>
      <w:r>
        <w:rPr>
          <w:rFonts w:ascii="Microsoft YaHei" w:hAnsi="Microsoft YaHei" w:eastAsia="Microsoft YaHei" w:cs="Microsoft YaHei"/>
          <w:sz w:val="18"/>
          <w:szCs w:val="18"/>
          <w:color w:val="A8A8A8"/>
          <w:spacing w:val="-1"/>
        </w:rPr>
        <w:t>新型储能助力能源转型</w:t>
      </w:r>
      <w:r>
        <w:rPr>
          <w:rFonts w:ascii="Microsoft YaHei" w:hAnsi="Microsoft YaHei" w:eastAsia="Microsoft YaHei" w:cs="Microsoft YaHei"/>
          <w:sz w:val="18"/>
          <w:szCs w:val="18"/>
          <w:color w:val="A8A8A8"/>
          <w:spacing w:val="25"/>
          <w:w w:val="101"/>
        </w:rPr>
        <w:t xml:space="preserve">  </w:t>
      </w:r>
      <w:r>
        <w:rPr>
          <w:sz w:val="18"/>
          <w:szCs w:val="18"/>
          <w:position w:val="-4"/>
        </w:rPr>
        <w:drawing>
          <wp:inline distT="0" distB="0" distL="0" distR="0">
            <wp:extent cx="6350" cy="130175"/>
            <wp:effectExtent l="0" t="0" r="0" b="0"/>
            <wp:docPr id="164" name="IM 164"/>
            <wp:cNvGraphicFramePr/>
            <a:graphic>
              <a:graphicData uri="http://schemas.openxmlformats.org/drawingml/2006/picture">
                <pic:pic>
                  <pic:nvPicPr>
                    <pic:cNvPr id="164" name="IM 164"/>
                    <pic:cNvPicPr/>
                  </pic:nvPicPr>
                  <pic:blipFill>
                    <a:blip r:embed="rId70"/>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spacing w:val="16"/>
          <w:w w:val="101"/>
        </w:rPr>
        <w:t xml:space="preserve">  </w:t>
      </w:r>
      <w:r>
        <w:rPr>
          <w:rFonts w:ascii="Microsoft YaHei" w:hAnsi="Microsoft YaHei" w:eastAsia="Microsoft YaHei" w:cs="Microsoft YaHei"/>
          <w:sz w:val="18"/>
          <w:szCs w:val="18"/>
          <w:b/>
          <w:bCs/>
          <w:color w:val="A8A8A8"/>
          <w:spacing w:val="-1"/>
        </w:rPr>
        <w:t>22</w:t>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29"/>
        <w:spacing w:before="90" w:line="191" w:lineRule="auto"/>
        <w:outlineLvl w:val="0"/>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B8F5"/>
          <w:spacing w:val="-3"/>
        </w:rPr>
        <w:t>表 4 | 各类储能应用场景适用技术种类</w:t>
      </w:r>
    </w:p>
    <w:p>
      <w:pPr>
        <w:spacing w:line="132" w:lineRule="exact"/>
        <w:rPr/>
      </w:pPr>
      <w:r/>
    </w:p>
    <w:tbl>
      <w:tblPr>
        <w:tblStyle w:val="TableNormal"/>
        <w:tblW w:w="9623" w:type="dxa"/>
        <w:tblInd w:w="24" w:type="dxa"/>
        <w:tblLayout w:type="fixed"/>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
      <w:tblGrid>
        <w:gridCol w:w="3970"/>
        <w:gridCol w:w="3210"/>
        <w:gridCol w:w="2443"/>
      </w:tblGrid>
      <w:tr>
        <w:trPr>
          <w:trHeight w:val="482" w:hRule="atLeast"/>
        </w:trPr>
        <w:tc>
          <w:tcPr>
            <w:shd w:val="clear" w:fill="00B8F5"/>
            <w:tcW w:w="3970" w:type="dxa"/>
            <w:vAlign w:val="top"/>
            <w:tcBorders>
              <w:bottom w:val="single" w:color="FFFFFF" w:sz="24" w:space="0"/>
            </w:tcBorders>
          </w:tcPr>
          <w:p>
            <w:pPr>
              <w:pStyle w:val="TableText"/>
              <w:ind w:left="104"/>
              <w:spacing w:before="125" w:line="181" w:lineRule="auto"/>
              <w:rPr>
                <w:sz w:val="21"/>
                <w:szCs w:val="21"/>
              </w:rPr>
            </w:pPr>
            <w:r>
              <w:rPr>
                <w:sz w:val="21"/>
                <w:szCs w:val="21"/>
                <w:b/>
                <w:bCs/>
                <w:color w:val="FFFFFF"/>
                <w:spacing w:val="-1"/>
              </w:rPr>
              <w:t>应用场景</w:t>
            </w:r>
          </w:p>
        </w:tc>
        <w:tc>
          <w:tcPr>
            <w:shd w:val="clear" w:fill="00B8F5"/>
            <w:tcW w:w="3210" w:type="dxa"/>
            <w:vAlign w:val="top"/>
            <w:tcBorders>
              <w:bottom w:val="single" w:color="FFFFFF" w:sz="24" w:space="0"/>
            </w:tcBorders>
          </w:tcPr>
          <w:p>
            <w:pPr>
              <w:pStyle w:val="TableText"/>
              <w:ind w:left="102"/>
              <w:spacing w:before="125" w:line="180" w:lineRule="auto"/>
              <w:rPr>
                <w:sz w:val="21"/>
                <w:szCs w:val="21"/>
              </w:rPr>
            </w:pPr>
            <w:r>
              <w:rPr>
                <w:sz w:val="21"/>
                <w:szCs w:val="21"/>
                <w:b/>
                <w:bCs/>
                <w:color w:val="FFFFFF"/>
                <w:spacing w:val="-1"/>
              </w:rPr>
              <w:t>场景需求</w:t>
            </w:r>
          </w:p>
        </w:tc>
        <w:tc>
          <w:tcPr>
            <w:shd w:val="clear" w:fill="00B8F5"/>
            <w:tcW w:w="2443" w:type="dxa"/>
            <w:vAlign w:val="top"/>
            <w:tcBorders>
              <w:bottom w:val="single" w:color="FFFFFF" w:sz="24" w:space="0"/>
            </w:tcBorders>
          </w:tcPr>
          <w:p>
            <w:pPr>
              <w:pStyle w:val="TableText"/>
              <w:ind w:left="109"/>
              <w:spacing w:before="126" w:line="179" w:lineRule="auto"/>
              <w:rPr>
                <w:sz w:val="21"/>
                <w:szCs w:val="21"/>
              </w:rPr>
            </w:pPr>
            <w:r>
              <w:rPr>
                <w:sz w:val="21"/>
                <w:szCs w:val="21"/>
                <w:b/>
                <w:bCs/>
                <w:color w:val="FFFFFF"/>
                <w:spacing w:val="-1"/>
              </w:rPr>
              <w:t>适用技术</w:t>
            </w:r>
          </w:p>
        </w:tc>
      </w:tr>
      <w:tr>
        <w:trPr>
          <w:trHeight w:val="1317" w:hRule="atLeast"/>
        </w:trPr>
        <w:tc>
          <w:tcPr>
            <w:tcW w:w="3970" w:type="dxa"/>
            <w:vAlign w:val="top"/>
            <w:tcBorders>
              <w:top w:val="single" w:color="FFFFFF" w:sz="24" w:space="0"/>
            </w:tcBorders>
          </w:tcPr>
          <w:p>
            <w:pPr>
              <w:spacing w:line="459" w:lineRule="auto"/>
              <w:rPr>
                <w:rFonts w:ascii="Arial"/>
                <w:sz w:val="21"/>
              </w:rPr>
            </w:pPr>
            <w:r/>
          </w:p>
          <w:p>
            <w:pPr>
              <w:pStyle w:val="TableText"/>
              <w:ind w:left="105"/>
              <w:spacing w:before="77" w:line="180" w:lineRule="auto"/>
              <w:rPr>
                <w:sz w:val="18"/>
                <w:szCs w:val="18"/>
              </w:rPr>
            </w:pPr>
            <w:r>
              <w:rPr>
                <w:sz w:val="18"/>
                <w:szCs w:val="18"/>
                <w:b/>
                <w:bCs/>
                <w:color w:val="00B8F5"/>
                <w:spacing w:val="1"/>
              </w:rPr>
              <w:t>削峰填谷、离网储能</w:t>
            </w:r>
          </w:p>
        </w:tc>
        <w:tc>
          <w:tcPr>
            <w:tcW w:w="3210" w:type="dxa"/>
            <w:vAlign w:val="top"/>
            <w:tcBorders>
              <w:top w:val="single" w:color="FFFFFF" w:sz="24" w:space="0"/>
            </w:tcBorders>
          </w:tcPr>
          <w:p>
            <w:pPr>
              <w:spacing w:line="353" w:lineRule="auto"/>
              <w:rPr>
                <w:rFonts w:ascii="Arial"/>
                <w:sz w:val="21"/>
              </w:rPr>
            </w:pPr>
            <w:r/>
          </w:p>
          <w:p>
            <w:pPr>
              <w:pStyle w:val="TableText"/>
              <w:ind w:left="104"/>
              <w:spacing w:before="78" w:line="166" w:lineRule="auto"/>
              <w:rPr>
                <w:sz w:val="18"/>
                <w:szCs w:val="18"/>
              </w:rPr>
            </w:pPr>
            <w:r>
              <w:rPr>
                <w:sz w:val="18"/>
                <w:szCs w:val="18"/>
                <w:spacing w:val="-1"/>
              </w:rPr>
              <w:t>大容量</w:t>
            </w:r>
          </w:p>
          <w:p>
            <w:pPr>
              <w:pStyle w:val="TableText"/>
              <w:ind w:left="107"/>
              <w:spacing w:before="1" w:line="176" w:lineRule="auto"/>
              <w:rPr>
                <w:sz w:val="18"/>
                <w:szCs w:val="18"/>
              </w:rPr>
            </w:pPr>
            <w:r>
              <w:rPr>
                <w:sz w:val="18"/>
                <w:szCs w:val="18"/>
                <w:spacing w:val="16"/>
              </w:rPr>
              <w:t>长时储能(≥4小时）</w:t>
            </w:r>
          </w:p>
        </w:tc>
        <w:tc>
          <w:tcPr>
            <w:tcW w:w="2443" w:type="dxa"/>
            <w:vAlign w:val="top"/>
            <w:tcBorders>
              <w:top w:val="single" w:color="FFFFFF" w:sz="24" w:space="0"/>
            </w:tcBorders>
          </w:tcPr>
          <w:p>
            <w:pPr>
              <w:pStyle w:val="TableText"/>
              <w:ind w:left="109"/>
              <w:spacing w:before="2" w:line="167" w:lineRule="auto"/>
              <w:rPr>
                <w:sz w:val="18"/>
                <w:szCs w:val="18"/>
              </w:rPr>
            </w:pPr>
            <w:r>
              <w:rPr>
                <w:sz w:val="18"/>
                <w:szCs w:val="18"/>
              </w:rPr>
              <w:t>铅碳电池</w:t>
            </w:r>
          </w:p>
          <w:p>
            <w:pPr>
              <w:pStyle w:val="TableText"/>
              <w:ind w:left="112"/>
              <w:spacing w:line="167" w:lineRule="auto"/>
              <w:rPr>
                <w:sz w:val="18"/>
                <w:szCs w:val="18"/>
              </w:rPr>
            </w:pPr>
            <w:r>
              <w:rPr>
                <w:sz w:val="18"/>
                <w:szCs w:val="18"/>
              </w:rPr>
              <w:t>液流电池</w:t>
            </w:r>
          </w:p>
          <w:p>
            <w:pPr>
              <w:pStyle w:val="TableText"/>
              <w:ind w:left="110" w:right="1407"/>
              <w:spacing w:line="168" w:lineRule="auto"/>
              <w:rPr>
                <w:sz w:val="18"/>
                <w:szCs w:val="18"/>
              </w:rPr>
            </w:pPr>
            <w:r>
              <w:rPr>
                <w:sz w:val="18"/>
                <w:szCs w:val="18"/>
              </w:rPr>
              <w:t>钠离子电池</w:t>
            </w:r>
            <w:r>
              <w:rPr>
                <w:sz w:val="18"/>
                <w:szCs w:val="18"/>
                <w:spacing w:val="3"/>
              </w:rPr>
              <w:t xml:space="preserve"> </w:t>
            </w:r>
            <w:r>
              <w:rPr>
                <w:sz w:val="18"/>
                <w:szCs w:val="18"/>
              </w:rPr>
              <w:t>压缩空气</w:t>
            </w:r>
          </w:p>
          <w:p>
            <w:pPr>
              <w:pStyle w:val="TableText"/>
              <w:ind w:left="114" w:right="1589" w:hanging="6"/>
              <w:spacing w:before="1" w:line="171" w:lineRule="auto"/>
              <w:rPr>
                <w:sz w:val="18"/>
                <w:szCs w:val="18"/>
              </w:rPr>
            </w:pPr>
            <w:r>
              <w:rPr>
                <w:sz w:val="18"/>
                <w:szCs w:val="18"/>
                <w:spacing w:val="1"/>
              </w:rPr>
              <w:t>储热蓄冷</w:t>
            </w:r>
            <w:r>
              <w:rPr>
                <w:sz w:val="18"/>
                <w:szCs w:val="18"/>
              </w:rPr>
              <w:t xml:space="preserve"> </w:t>
            </w:r>
            <w:r>
              <w:rPr>
                <w:sz w:val="18"/>
                <w:szCs w:val="18"/>
                <w:spacing w:val="-1"/>
              </w:rPr>
              <w:t>氢储能等</w:t>
            </w:r>
          </w:p>
        </w:tc>
      </w:tr>
      <w:tr>
        <w:trPr>
          <w:trHeight w:val="767" w:hRule="atLeast"/>
        </w:trPr>
        <w:tc>
          <w:tcPr>
            <w:shd w:val="clear" w:fill="F1F1F1"/>
            <w:tcW w:w="3970" w:type="dxa"/>
            <w:vAlign w:val="top"/>
          </w:tcPr>
          <w:p>
            <w:pPr>
              <w:pStyle w:val="TableText"/>
              <w:ind w:left="102"/>
              <w:spacing w:before="290" w:line="182" w:lineRule="auto"/>
              <w:rPr>
                <w:sz w:val="18"/>
                <w:szCs w:val="18"/>
              </w:rPr>
            </w:pPr>
            <w:r>
              <w:rPr>
                <w:sz w:val="18"/>
                <w:szCs w:val="18"/>
                <w:b/>
                <w:bCs/>
                <w:color w:val="00B8F5"/>
                <w:spacing w:val="1"/>
              </w:rPr>
              <w:t>独立储能电站、电网侧储能</w:t>
            </w:r>
          </w:p>
        </w:tc>
        <w:tc>
          <w:tcPr>
            <w:shd w:val="clear" w:fill="F1F1F1"/>
            <w:tcW w:w="3210" w:type="dxa"/>
            <w:vAlign w:val="top"/>
          </w:tcPr>
          <w:p>
            <w:pPr>
              <w:pStyle w:val="TableText"/>
              <w:ind w:left="108" w:right="2546" w:hanging="4"/>
              <w:spacing w:before="80" w:line="166" w:lineRule="auto"/>
              <w:rPr>
                <w:sz w:val="18"/>
                <w:szCs w:val="18"/>
              </w:rPr>
            </w:pPr>
            <w:r>
              <w:rPr>
                <w:sz w:val="18"/>
                <w:szCs w:val="18"/>
                <w:spacing w:val="-1"/>
              </w:rPr>
              <w:t>灵活性</w:t>
            </w:r>
            <w:r>
              <w:rPr>
                <w:sz w:val="18"/>
                <w:szCs w:val="18"/>
                <w:spacing w:val="1"/>
              </w:rPr>
              <w:t xml:space="preserve"> </w:t>
            </w:r>
            <w:r>
              <w:rPr>
                <w:sz w:val="18"/>
                <w:szCs w:val="18"/>
                <w:spacing w:val="-2"/>
              </w:rPr>
              <w:t>安全性</w:t>
            </w:r>
          </w:p>
          <w:p>
            <w:pPr>
              <w:pStyle w:val="TableText"/>
              <w:ind w:left="114"/>
              <w:spacing w:before="1" w:line="176" w:lineRule="auto"/>
              <w:rPr>
                <w:sz w:val="18"/>
                <w:szCs w:val="18"/>
              </w:rPr>
            </w:pPr>
            <w:r>
              <w:rPr>
                <w:sz w:val="18"/>
                <w:szCs w:val="18"/>
                <w:spacing w:val="-5"/>
              </w:rPr>
              <w:t>中短时长（1-2小时）</w:t>
            </w:r>
          </w:p>
        </w:tc>
        <w:tc>
          <w:tcPr>
            <w:shd w:val="clear" w:fill="F1F1F1"/>
            <w:tcW w:w="2443" w:type="dxa"/>
            <w:vAlign w:val="top"/>
          </w:tcPr>
          <w:p>
            <w:pPr>
              <w:pStyle w:val="TableText"/>
              <w:ind w:left="110"/>
              <w:spacing w:before="295" w:line="176" w:lineRule="auto"/>
              <w:rPr>
                <w:sz w:val="18"/>
                <w:szCs w:val="18"/>
              </w:rPr>
            </w:pPr>
            <w:r>
              <w:rPr>
                <w:sz w:val="18"/>
                <w:szCs w:val="18"/>
                <w:spacing w:val="1"/>
              </w:rPr>
              <w:t>磷酸铁锂电池为主</w:t>
            </w:r>
          </w:p>
        </w:tc>
      </w:tr>
      <w:tr>
        <w:trPr>
          <w:trHeight w:val="767" w:hRule="atLeast"/>
        </w:trPr>
        <w:tc>
          <w:tcPr>
            <w:tcW w:w="3970" w:type="dxa"/>
            <w:vAlign w:val="top"/>
          </w:tcPr>
          <w:p>
            <w:pPr>
              <w:pStyle w:val="TableText"/>
              <w:ind w:left="97"/>
              <w:spacing w:before="298" w:line="180" w:lineRule="auto"/>
              <w:rPr>
                <w:sz w:val="18"/>
                <w:szCs w:val="18"/>
              </w:rPr>
            </w:pPr>
            <w:r>
              <w:rPr>
                <w:sz w:val="18"/>
                <w:szCs w:val="18"/>
                <w:b/>
                <w:bCs/>
                <w:color w:val="00B8F5"/>
                <w:spacing w:val="-1"/>
              </w:rPr>
              <w:t>AGC调频、平滑间歇性电源功率波动</w:t>
            </w:r>
          </w:p>
        </w:tc>
        <w:tc>
          <w:tcPr>
            <w:tcW w:w="3210" w:type="dxa"/>
            <w:vAlign w:val="top"/>
          </w:tcPr>
          <w:p>
            <w:pPr>
              <w:pStyle w:val="TableText"/>
              <w:ind w:left="102"/>
              <w:spacing w:before="192" w:line="166" w:lineRule="auto"/>
              <w:rPr>
                <w:sz w:val="18"/>
                <w:szCs w:val="18"/>
              </w:rPr>
            </w:pPr>
            <w:r>
              <w:rPr>
                <w:sz w:val="18"/>
                <w:szCs w:val="18"/>
              </w:rPr>
              <w:t>快速响应</w:t>
            </w:r>
          </w:p>
          <w:p>
            <w:pPr>
              <w:pStyle w:val="TableText"/>
              <w:ind w:left="104"/>
              <w:spacing w:before="1" w:line="176" w:lineRule="auto"/>
              <w:rPr>
                <w:sz w:val="18"/>
                <w:szCs w:val="18"/>
              </w:rPr>
            </w:pPr>
            <w:r>
              <w:rPr>
                <w:sz w:val="18"/>
                <w:szCs w:val="18"/>
                <w:spacing w:val="14"/>
              </w:rPr>
              <w:t>短时储能(≤30分钟）</w:t>
            </w:r>
          </w:p>
        </w:tc>
        <w:tc>
          <w:tcPr>
            <w:tcW w:w="2443" w:type="dxa"/>
            <w:vAlign w:val="top"/>
          </w:tcPr>
          <w:p>
            <w:pPr>
              <w:pStyle w:val="TableText"/>
              <w:ind w:left="109" w:right="1589" w:firstLine="7"/>
              <w:spacing w:before="85" w:line="167" w:lineRule="auto"/>
              <w:rPr>
                <w:sz w:val="18"/>
                <w:szCs w:val="18"/>
              </w:rPr>
            </w:pPr>
            <w:r>
              <w:rPr>
                <w:sz w:val="18"/>
                <w:szCs w:val="18"/>
                <w:spacing w:val="-1"/>
              </w:rPr>
              <w:t>飞轮储能</w:t>
            </w:r>
            <w:r>
              <w:rPr>
                <w:sz w:val="18"/>
                <w:szCs w:val="18"/>
              </w:rPr>
              <w:t xml:space="preserve"> </w:t>
            </w:r>
            <w:r>
              <w:rPr>
                <w:sz w:val="18"/>
                <w:szCs w:val="18"/>
              </w:rPr>
              <w:t>超级电容</w:t>
            </w:r>
          </w:p>
          <w:p>
            <w:pPr>
              <w:pStyle w:val="TableText"/>
              <w:ind w:left="110"/>
              <w:spacing w:line="177" w:lineRule="auto"/>
              <w:rPr>
                <w:sz w:val="18"/>
                <w:szCs w:val="18"/>
              </w:rPr>
            </w:pPr>
            <w:r>
              <w:rPr>
                <w:sz w:val="18"/>
                <w:szCs w:val="18"/>
                <w:spacing w:val="1"/>
              </w:rPr>
              <w:t>各类功率型电池</w:t>
            </w:r>
          </w:p>
        </w:tc>
      </w:tr>
      <w:tr>
        <w:trPr>
          <w:trHeight w:val="550" w:hRule="atLeast"/>
        </w:trPr>
        <w:tc>
          <w:tcPr>
            <w:shd w:val="clear" w:fill="F1F1F1"/>
            <w:tcW w:w="3970" w:type="dxa"/>
            <w:vAlign w:val="top"/>
            <w:tcBorders>
              <w:bottom w:val="single" w:color="00B8F5" w:sz="12" w:space="0"/>
            </w:tcBorders>
          </w:tcPr>
          <w:p>
            <w:pPr>
              <w:pStyle w:val="TableText"/>
              <w:ind w:left="102"/>
              <w:spacing w:before="186" w:line="183" w:lineRule="auto"/>
              <w:rPr>
                <w:sz w:val="18"/>
                <w:szCs w:val="18"/>
              </w:rPr>
            </w:pPr>
            <w:r>
              <w:rPr>
                <w:sz w:val="18"/>
                <w:szCs w:val="18"/>
                <w:b/>
                <w:bCs/>
                <w:color w:val="00B8F5"/>
              </w:rPr>
              <w:t>数据中心和通讯基站等备用电源场景</w:t>
            </w:r>
          </w:p>
        </w:tc>
        <w:tc>
          <w:tcPr>
            <w:shd w:val="clear" w:fill="F1F1F1"/>
            <w:tcW w:w="3210" w:type="dxa"/>
            <w:vAlign w:val="top"/>
            <w:tcBorders>
              <w:bottom w:val="single" w:color="00B8F5" w:sz="12" w:space="0"/>
            </w:tcBorders>
          </w:tcPr>
          <w:p>
            <w:pPr>
              <w:pStyle w:val="TableText"/>
              <w:ind w:left="102"/>
              <w:spacing w:before="190" w:line="176" w:lineRule="auto"/>
              <w:rPr>
                <w:sz w:val="18"/>
                <w:szCs w:val="18"/>
              </w:rPr>
            </w:pPr>
            <w:r>
              <w:rPr>
                <w:sz w:val="18"/>
                <w:szCs w:val="18"/>
                <w:spacing w:val="3"/>
              </w:rPr>
              <w:t>持续时间放电时间≥15分钟</w:t>
            </w:r>
          </w:p>
        </w:tc>
        <w:tc>
          <w:tcPr>
            <w:shd w:val="clear" w:fill="F1F1F1"/>
            <w:tcW w:w="2443" w:type="dxa"/>
            <w:vAlign w:val="top"/>
            <w:tcBorders>
              <w:bottom w:val="single" w:color="00B8F5" w:sz="12" w:space="0"/>
            </w:tcBorders>
          </w:tcPr>
          <w:p>
            <w:pPr>
              <w:pStyle w:val="TableText"/>
              <w:ind w:left="110"/>
              <w:spacing w:before="81" w:line="168" w:lineRule="auto"/>
              <w:rPr>
                <w:sz w:val="18"/>
                <w:szCs w:val="18"/>
              </w:rPr>
            </w:pPr>
            <w:r>
              <w:rPr>
                <w:sz w:val="18"/>
                <w:szCs w:val="18"/>
              </w:rPr>
              <w:t>铅蓄电池</w:t>
            </w:r>
          </w:p>
          <w:p>
            <w:pPr>
              <w:pStyle w:val="TableText"/>
              <w:ind w:left="110"/>
              <w:spacing w:line="176" w:lineRule="auto"/>
              <w:rPr>
                <w:sz w:val="18"/>
                <w:szCs w:val="18"/>
              </w:rPr>
            </w:pPr>
            <w:r>
              <w:rPr>
                <w:sz w:val="18"/>
                <w:szCs w:val="18"/>
                <w:spacing w:val="1"/>
              </w:rPr>
              <w:t>梯级利用电池</w:t>
            </w:r>
          </w:p>
        </w:tc>
      </w:tr>
    </w:tbl>
    <w:p>
      <w:pPr>
        <w:ind w:left="10"/>
        <w:spacing w:before="230" w:line="186"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8"/>
        </w:rPr>
        <w:t>资料来源：绿色和平，中华环保联合会，毕马威分析</w:t>
      </w:r>
    </w:p>
    <w:p>
      <w:pPr>
        <w:pStyle w:val="BodyText"/>
        <w:spacing w:line="260" w:lineRule="auto"/>
        <w:rPr/>
      </w:pPr>
      <w:r/>
    </w:p>
    <w:p>
      <w:pPr>
        <w:ind w:left="11" w:right="2997"/>
        <w:spacing w:before="90" w:line="217"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不难看出</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，各类新型储能技术在应用上既有替代性又有互补性</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w:t>
      </w:r>
      <w:r>
        <w:rPr>
          <w:rFonts w:ascii="Microsoft YaHei" w:hAnsi="Microsoft YaHei" w:eastAsia="Microsoft YaHei" w:cs="Microsoft YaHei"/>
          <w:sz w:val="21"/>
          <w:szCs w:val="21"/>
          <w:spacing w:val="2"/>
        </w:rPr>
        <w:t>这是推动新型储能多</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元化发展的重要前提。</w:t>
      </w:r>
      <w:r>
        <w:rPr>
          <w:rFonts w:ascii="Microsoft YaHei" w:hAnsi="Microsoft YaHei" w:eastAsia="Microsoft YaHei" w:cs="Microsoft YaHei"/>
          <w:sz w:val="21"/>
          <w:szCs w:val="21"/>
          <w:spacing w:val="-41"/>
        </w:rPr>
        <w:t xml:space="preserve"> </w:t>
      </w:r>
      <w:r>
        <w:rPr>
          <w:rFonts w:ascii="Microsoft YaHei" w:hAnsi="Microsoft YaHei" w:eastAsia="Microsoft YaHei" w:cs="Microsoft YaHei"/>
          <w:sz w:val="21"/>
          <w:szCs w:val="21"/>
          <w:spacing w:val="2"/>
        </w:rPr>
        <w:t>不过也应注意到</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，现阶段中国主流储能形式仍是抽水蓄能</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，原</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因是电化学等新型储能的度电成本较高（图 5</w:t>
      </w:r>
      <w:r>
        <w:rPr>
          <w:rFonts w:ascii="Microsoft YaHei" w:hAnsi="Microsoft YaHei" w:eastAsia="Microsoft YaHei" w:cs="Microsoft YaHei"/>
          <w:sz w:val="21"/>
          <w:szCs w:val="21"/>
          <w:spacing w:val="4"/>
        </w:rPr>
        <w:t>），</w:t>
      </w:r>
      <w:r>
        <w:rPr>
          <w:rFonts w:ascii="Microsoft YaHei" w:hAnsi="Microsoft YaHei" w:eastAsia="Microsoft YaHei" w:cs="Microsoft YaHei"/>
          <w:sz w:val="21"/>
          <w:szCs w:val="21"/>
          <w:spacing w:val="-1"/>
        </w:rPr>
        <w:t>也是当前制约新型储能规模化应用的</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关键瓶颈之一。</w:t>
      </w:r>
    </w:p>
    <w:p>
      <w:pPr>
        <w:pStyle w:val="BodyText"/>
        <w:spacing w:line="389" w:lineRule="auto"/>
        <w:rPr/>
      </w:pPr>
      <w:r>
        <w:pict>
          <v:shape id="_x0000_s312" style="position:absolute;margin-left:36.96pt;margin-top:22.8765pt;mso-position-vertical-relative:text;mso-position-horizontal-relative:text;width:1pt;height:13.85pt;z-index:251884544;" filled="false" strokecolor="#00B8F5" strokeweight="1.00pt" coordsize="20,277" coordorigin="0,0" path="m10,0l10,276e">
            <v:stroke joinstyle="miter"/>
          </v:shape>
        </w:pict>
      </w:r>
      <w:r/>
    </w:p>
    <w:p>
      <w:pPr>
        <w:ind w:left="916"/>
        <w:spacing w:before="91" w:line="192" w:lineRule="auto"/>
        <w:rPr>
          <w:rFonts w:ascii="Microsoft YaHei" w:hAnsi="Microsoft YaHei" w:eastAsia="Microsoft YaHei" w:cs="Microsoft YaHei"/>
          <w:sz w:val="13"/>
          <w:szCs w:val="13"/>
        </w:rPr>
      </w:pPr>
      <w:r>
        <w:pict>
          <v:shape id="_x0000_s314" style="position:absolute;margin-left:7.00914pt;margin-top:4.02823pt;mso-position-vertical-relative:text;mso-position-horizontal-relative:text;width:20.4pt;height:15.05pt;z-index:251882496;" filled="false" stroked="false" type="#_x0000_t202">
            <v:fill on="false"/>
            <v:stroke on="false"/>
            <v:path/>
            <v:imagedata o:title=""/>
            <o:lock v:ext="edit" aspectratio="false"/>
            <v:textbox inset="0mm,0mm,0mm,0mm">
              <w:txbxContent>
                <w:p>
                  <w:pPr>
                    <w:ind w:left="20"/>
                    <w:spacing w:before="19" w:line="17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B8F5"/>
                      <w:spacing w:val="-8"/>
                    </w:rPr>
                    <w:t>图</w:t>
                  </w:r>
                  <w:r>
                    <w:rPr>
                      <w:rFonts w:ascii="Microsoft YaHei" w:hAnsi="Microsoft YaHei" w:eastAsia="Microsoft YaHei" w:cs="Microsoft YaHei"/>
                      <w:sz w:val="21"/>
                      <w:szCs w:val="21"/>
                      <w:b/>
                      <w:bCs/>
                      <w:color w:val="00B8F5"/>
                      <w:spacing w:val="-9"/>
                    </w:rPr>
                    <w:t xml:space="preserve"> </w:t>
                  </w:r>
                  <w:r>
                    <w:rPr>
                      <w:rFonts w:ascii="Microsoft YaHei" w:hAnsi="Microsoft YaHei" w:eastAsia="Microsoft YaHei" w:cs="Microsoft YaHei"/>
                      <w:sz w:val="21"/>
                      <w:szCs w:val="21"/>
                      <w:b/>
                      <w:bCs/>
                      <w:color w:val="00B8F5"/>
                      <w:spacing w:val="-8"/>
                    </w:rPr>
                    <w:t>5</w:t>
                  </w:r>
                </w:p>
              </w:txbxContent>
            </v:textbox>
          </v:shape>
        </w:pict>
      </w:r>
      <w:r>
        <w:pict>
          <v:group id="_x0000_s316" style="position:absolute;margin-left:0pt;margin-top:-6.77341pt;mso-position-vertical-relative:text;mso-position-horizontal-relative:text;width:482.2pt;height:29.55pt;z-index:-251436032;" filled="false" stroked="false" coordsize="9644,590" coordorigin="0,0">
            <v:shape id="_x0000_s318" style="position:absolute;left:0;top:71;width:9644;height:519;" fillcolor="#F1F1F1" filled="true" stroked="false" coordsize="9644,519" coordorigin="0,0" path="m,l9643,0l9643,518l0,518l0,0xe"/>
            <v:shape id="_x0000_s320" style="position:absolute;left:2;top:0;width:610;height:100;" filled="false" strokecolor="#00B8F5" strokeweight="5.00pt" coordsize="610,100" coordorigin="0,0" path="m0,50l610,50e">
              <v:stroke joinstyle="miter"/>
            </v:shape>
          </v:group>
        </w:pict>
      </w:r>
      <w:r>
        <w:rPr>
          <w:rFonts w:ascii="Microsoft YaHei" w:hAnsi="Microsoft YaHei" w:eastAsia="Microsoft YaHei" w:cs="Microsoft YaHei"/>
          <w:sz w:val="21"/>
          <w:szCs w:val="21"/>
          <w:b/>
          <w:bCs/>
          <w:color w:val="00B8F5"/>
          <w:spacing w:val="-4"/>
        </w:rPr>
        <w:t>储能技术度电成本对比，元/</w:t>
      </w:r>
      <w:r>
        <w:rPr>
          <w:rFonts w:ascii="Microsoft YaHei" w:hAnsi="Microsoft YaHei" w:eastAsia="Microsoft YaHei" w:cs="Microsoft YaHei"/>
          <w:sz w:val="21"/>
          <w:szCs w:val="21"/>
          <w:b/>
          <w:bCs/>
          <w:color w:val="00B8F5"/>
          <w:spacing w:val="1"/>
        </w:rPr>
        <w:t xml:space="preserve"> </w:t>
      </w:r>
      <w:r>
        <w:rPr>
          <w:rFonts w:ascii="Microsoft YaHei" w:hAnsi="Microsoft YaHei" w:eastAsia="Microsoft YaHei" w:cs="Microsoft YaHei"/>
          <w:sz w:val="21"/>
          <w:szCs w:val="21"/>
          <w:b/>
          <w:bCs/>
          <w:color w:val="00B8F5"/>
          <w:spacing w:val="-4"/>
        </w:rPr>
        <w:t>kWh </w:t>
      </w:r>
      <w:r>
        <w:rPr>
          <w:rFonts w:ascii="Microsoft YaHei" w:hAnsi="Microsoft YaHei" w:eastAsia="Microsoft YaHei" w:cs="Microsoft YaHei"/>
          <w:sz w:val="13"/>
          <w:szCs w:val="13"/>
          <w:b/>
          <w:bCs/>
          <w:color w:val="00B8F5"/>
          <w:spacing w:val="-4"/>
          <w:position w:val="6"/>
        </w:rPr>
        <w:t>12</w:t>
      </w:r>
    </w:p>
    <w:p>
      <w:pPr>
        <w:pStyle w:val="BodyText"/>
        <w:spacing w:line="241" w:lineRule="auto"/>
        <w:rPr/>
      </w:pPr>
      <w:r/>
    </w:p>
    <w:p>
      <w:pPr>
        <w:pStyle w:val="BodyText"/>
        <w:ind w:firstLine="278"/>
        <w:spacing w:line="2260" w:lineRule="exact"/>
        <w:rPr/>
      </w:pPr>
      <w:r>
        <w:rPr>
          <w:position w:val="-45"/>
        </w:rPr>
        <w:pict>
          <v:group id="_x0000_s322" style="mso-position-vertical-relative:line;mso-position-horizontal-relative:char;width:453.4pt;height:113.05pt;" filled="false" stroked="false" coordsize="9067,2261" coordorigin="0,0">
            <v:shape id="_x0000_s324" style="position:absolute;left:0;top:361;width:9067;height:1455;" filled="false" stroked="false" type="#_x0000_t75">
              <v:imagedata o:title="" r:id="rId71"/>
            </v:shape>
            <v:shape id="_x0000_s326" style="position:absolute;left:2387;top:220;width:2411;height:1998;" filled="false" stroked="false" type="#_x0000_t202">
              <v:fill on="false"/>
              <v:stroke on="false"/>
              <v:path/>
              <v:imagedata o:title=""/>
              <o:lock v:ext="edit" aspectratio="false"/>
              <v:textbox inset="0mm,0mm,0mm,0mm">
                <w:txbxContent>
                  <w:p>
                    <w:pPr>
                      <w:spacing w:before="19" w:line="185" w:lineRule="auto"/>
                      <w:jc w:val="right"/>
                      <w:rPr>
                        <w:rFonts w:ascii="Trebuchet MS" w:hAnsi="Trebuchet MS" w:eastAsia="Trebuchet MS" w:cs="Trebuchet MS"/>
                        <w:sz w:val="32"/>
                        <w:szCs w:val="32"/>
                      </w:rPr>
                    </w:pPr>
                    <w:r>
                      <w:rPr>
                        <w:rFonts w:ascii="Trebuchet MS" w:hAnsi="Trebuchet MS" w:eastAsia="Trebuchet MS" w:cs="Trebuchet MS"/>
                        <w:sz w:val="32"/>
                        <w:szCs w:val="32"/>
                        <w:b/>
                        <w:bCs/>
                        <w:color w:val="00B8F5"/>
                        <w:spacing w:val="-27"/>
                        <w:w w:val="72"/>
                      </w:rPr>
                      <w:t>0.</w:t>
                    </w:r>
                    <w:r>
                      <w:rPr>
                        <w:rFonts w:ascii="Trebuchet MS" w:hAnsi="Trebuchet MS" w:eastAsia="Trebuchet MS" w:cs="Trebuchet MS"/>
                        <w:sz w:val="32"/>
                        <w:szCs w:val="32"/>
                        <w:b/>
                        <w:bCs/>
                        <w:color w:val="00B8F5"/>
                        <w:spacing w:val="-26"/>
                        <w:w w:val="72"/>
                      </w:rPr>
                      <w:t>6</w:t>
                    </w:r>
                    <w:r>
                      <w:rPr>
                        <w:rFonts w:ascii="Trebuchet MS" w:hAnsi="Trebuchet MS" w:eastAsia="Trebuchet MS" w:cs="Trebuchet MS"/>
                        <w:sz w:val="32"/>
                        <w:szCs w:val="32"/>
                        <w:b/>
                        <w:bCs/>
                        <w:color w:val="00B8F5"/>
                        <w:spacing w:val="-8"/>
                        <w:w w:val="72"/>
                      </w:rPr>
                      <w:t>7</w:t>
                    </w:r>
                  </w:p>
                  <w:p>
                    <w:pPr>
                      <w:spacing w:line="365" w:lineRule="auto"/>
                      <w:rPr>
                        <w:rFonts w:ascii="Arial"/>
                        <w:sz w:val="21"/>
                      </w:rPr>
                    </w:pPr>
                    <w:r/>
                  </w:p>
                  <w:p>
                    <w:pPr>
                      <w:ind w:left="54"/>
                      <w:spacing w:before="93" w:line="185" w:lineRule="auto"/>
                      <w:rPr>
                        <w:rFonts w:ascii="Trebuchet MS" w:hAnsi="Trebuchet MS" w:eastAsia="Trebuchet MS" w:cs="Trebuchet MS"/>
                        <w:sz w:val="32"/>
                        <w:szCs w:val="32"/>
                      </w:rPr>
                    </w:pPr>
                    <w:r>
                      <w:rPr>
                        <w:rFonts w:ascii="Trebuchet MS" w:hAnsi="Trebuchet MS" w:eastAsia="Trebuchet MS" w:cs="Trebuchet MS"/>
                        <w:sz w:val="32"/>
                        <w:szCs w:val="32"/>
                        <w:b/>
                        <w:bCs/>
                        <w:color w:val="00B8F5"/>
                        <w:spacing w:val="-45"/>
                        <w:w w:val="98"/>
                      </w:rPr>
                      <w:t>0.41</w:t>
                    </w:r>
                  </w:p>
                  <w:p>
                    <w:pPr>
                      <w:spacing w:before="52" w:line="185" w:lineRule="auto"/>
                      <w:jc w:val="right"/>
                      <w:rPr>
                        <w:rFonts w:ascii="Trebuchet MS" w:hAnsi="Trebuchet MS" w:eastAsia="Trebuchet MS" w:cs="Trebuchet MS"/>
                        <w:sz w:val="32"/>
                        <w:szCs w:val="32"/>
                      </w:rPr>
                    </w:pPr>
                    <w:r>
                      <w:rPr>
                        <w:rFonts w:ascii="Trebuchet MS" w:hAnsi="Trebuchet MS" w:eastAsia="Trebuchet MS" w:cs="Trebuchet MS"/>
                        <w:sz w:val="32"/>
                        <w:szCs w:val="32"/>
                        <w:b/>
                        <w:bCs/>
                        <w:color w:val="00B8F5"/>
                        <w:spacing w:val="-28"/>
                        <w:w w:val="77"/>
                      </w:rPr>
                      <w:t>0.4</w:t>
                    </w:r>
                    <w:r>
                      <w:rPr>
                        <w:rFonts w:ascii="Trebuchet MS" w:hAnsi="Trebuchet MS" w:eastAsia="Trebuchet MS" w:cs="Trebuchet MS"/>
                        <w:sz w:val="32"/>
                        <w:szCs w:val="32"/>
                        <w:b/>
                        <w:bCs/>
                        <w:color w:val="00B8F5"/>
                        <w:spacing w:val="-20"/>
                        <w:w w:val="77"/>
                      </w:rPr>
                      <w:t>8</w:t>
                    </w:r>
                  </w:p>
                  <w:p>
                    <w:pPr>
                      <w:spacing w:line="267" w:lineRule="auto"/>
                      <w:rPr>
                        <w:rFonts w:ascii="Arial"/>
                        <w:sz w:val="21"/>
                      </w:rPr>
                    </w:pPr>
                    <w:r/>
                  </w:p>
                  <w:p>
                    <w:pPr>
                      <w:ind w:left="20"/>
                      <w:spacing w:before="93" w:line="185" w:lineRule="auto"/>
                      <w:rPr>
                        <w:rFonts w:ascii="Trebuchet MS" w:hAnsi="Trebuchet MS" w:eastAsia="Trebuchet MS" w:cs="Trebuchet MS"/>
                        <w:sz w:val="32"/>
                        <w:szCs w:val="32"/>
                      </w:rPr>
                    </w:pPr>
                    <w:r>
                      <w:rPr>
                        <w:rFonts w:ascii="Trebuchet MS" w:hAnsi="Trebuchet MS" w:eastAsia="Trebuchet MS" w:cs="Trebuchet MS"/>
                        <w:sz w:val="32"/>
                        <w:szCs w:val="32"/>
                        <w:b/>
                        <w:bCs/>
                        <w:color w:val="00B8F5"/>
                        <w:spacing w:val="-32"/>
                        <w:w w:val="88"/>
                      </w:rPr>
                      <w:t>0.25</w:t>
                    </w:r>
                  </w:p>
                </w:txbxContent>
              </v:textbox>
            </v:shape>
            <v:shape id="_x0000_s328" style="position:absolute;left:6169;top:158;width:525;height:1530;" filled="false" stroked="false" type="#_x0000_t202">
              <v:fill on="false"/>
              <v:stroke on="false"/>
              <v:path/>
              <v:imagedata o:title=""/>
              <o:lock v:ext="edit" aspectratio="false"/>
              <v:textbox inset="0mm,0mm,0mm,0mm">
                <w:txbxContent>
                  <w:p>
                    <w:pPr>
                      <w:ind w:left="20"/>
                      <w:spacing w:before="19" w:line="185" w:lineRule="auto"/>
                      <w:rPr>
                        <w:rFonts w:ascii="Trebuchet MS" w:hAnsi="Trebuchet MS" w:eastAsia="Trebuchet MS" w:cs="Trebuchet MS"/>
                        <w:sz w:val="32"/>
                        <w:szCs w:val="32"/>
                      </w:rPr>
                    </w:pPr>
                    <w:r>
                      <w:rPr>
                        <w:rFonts w:ascii="Trebuchet MS" w:hAnsi="Trebuchet MS" w:eastAsia="Trebuchet MS" w:cs="Trebuchet MS"/>
                        <w:sz w:val="32"/>
                        <w:szCs w:val="32"/>
                        <w:b/>
                        <w:bCs/>
                        <w:color w:val="00B8F5"/>
                        <w:spacing w:val="-32"/>
                        <w:w w:val="90"/>
                      </w:rPr>
                      <w:t>0.69</w:t>
                    </w:r>
                  </w:p>
                  <w:p>
                    <w:pPr>
                      <w:spacing w:line="294" w:lineRule="auto"/>
                      <w:rPr>
                        <w:rFonts w:ascii="Arial"/>
                        <w:sz w:val="21"/>
                      </w:rPr>
                    </w:pPr>
                    <w:r/>
                  </w:p>
                  <w:p>
                    <w:pPr>
                      <w:spacing w:line="294" w:lineRule="auto"/>
                      <w:rPr>
                        <w:rFonts w:ascii="Arial"/>
                        <w:sz w:val="21"/>
                      </w:rPr>
                    </w:pPr>
                    <w:r/>
                  </w:p>
                  <w:p>
                    <w:pPr>
                      <w:spacing w:line="294" w:lineRule="auto"/>
                      <w:rPr>
                        <w:rFonts w:ascii="Arial"/>
                        <w:sz w:val="21"/>
                      </w:rPr>
                    </w:pPr>
                    <w:r/>
                  </w:p>
                  <w:p>
                    <w:pPr>
                      <w:spacing w:before="93" w:line="185" w:lineRule="auto"/>
                      <w:jc w:val="right"/>
                      <w:rPr>
                        <w:rFonts w:ascii="Trebuchet MS" w:hAnsi="Trebuchet MS" w:eastAsia="Trebuchet MS" w:cs="Trebuchet MS"/>
                        <w:sz w:val="32"/>
                        <w:szCs w:val="32"/>
                      </w:rPr>
                    </w:pPr>
                    <w:r>
                      <w:rPr>
                        <w:rFonts w:ascii="Trebuchet MS" w:hAnsi="Trebuchet MS" w:eastAsia="Trebuchet MS" w:cs="Trebuchet MS"/>
                        <w:sz w:val="32"/>
                        <w:szCs w:val="32"/>
                        <w:b/>
                        <w:bCs/>
                        <w:color w:val="00B8F5"/>
                        <w:spacing w:val="-26"/>
                        <w:w w:val="75"/>
                      </w:rPr>
                      <w:t>0.</w:t>
                    </w:r>
                    <w:r>
                      <w:rPr>
                        <w:rFonts w:ascii="Trebuchet MS" w:hAnsi="Trebuchet MS" w:eastAsia="Trebuchet MS" w:cs="Trebuchet MS"/>
                        <w:sz w:val="32"/>
                        <w:szCs w:val="32"/>
                        <w:b/>
                        <w:bCs/>
                        <w:color w:val="00B8F5"/>
                        <w:spacing w:val="-25"/>
                        <w:w w:val="75"/>
                      </w:rPr>
                      <w:t>4</w:t>
                    </w:r>
                    <w:r>
                      <w:rPr>
                        <w:rFonts w:ascii="Trebuchet MS" w:hAnsi="Trebuchet MS" w:eastAsia="Trebuchet MS" w:cs="Trebuchet MS"/>
                        <w:sz w:val="32"/>
                        <w:szCs w:val="32"/>
                        <w:b/>
                        <w:bCs/>
                        <w:color w:val="00B8F5"/>
                        <w:spacing w:val="-11"/>
                        <w:w w:val="75"/>
                      </w:rPr>
                      <w:t>4</w:t>
                    </w:r>
                  </w:p>
                </w:txbxContent>
              </v:textbox>
            </v:shape>
            <v:shape id="_x0000_s330" style="position:absolute;left:8157;top:-20;width:447;height:1483;" filled="false" stroked="false" type="#_x0000_t202">
              <v:fill on="false"/>
              <v:stroke on="false"/>
              <v:path/>
              <v:imagedata o:title=""/>
              <o:lock v:ext="edit" aspectratio="false"/>
              <v:textbox inset="0mm,0mm,0mm,0mm">
                <w:txbxContent>
                  <w:p>
                    <w:pPr>
                      <w:spacing w:before="19" w:line="185" w:lineRule="auto"/>
                      <w:jc w:val="right"/>
                      <w:rPr>
                        <w:rFonts w:ascii="Trebuchet MS" w:hAnsi="Trebuchet MS" w:eastAsia="Trebuchet MS" w:cs="Trebuchet MS"/>
                        <w:sz w:val="32"/>
                        <w:szCs w:val="32"/>
                      </w:rPr>
                    </w:pPr>
                    <w:r>
                      <w:rPr>
                        <w:rFonts w:ascii="Trebuchet MS" w:hAnsi="Trebuchet MS" w:eastAsia="Trebuchet MS" w:cs="Trebuchet MS"/>
                        <w:sz w:val="32"/>
                        <w:szCs w:val="32"/>
                        <w:b/>
                        <w:bCs/>
                        <w:color w:val="00B8F5"/>
                        <w:spacing w:val="-26"/>
                        <w:w w:val="73"/>
                      </w:rPr>
                      <w:t>0.7</w:t>
                    </w:r>
                    <w:r>
                      <w:rPr>
                        <w:rFonts w:ascii="Trebuchet MS" w:hAnsi="Trebuchet MS" w:eastAsia="Trebuchet MS" w:cs="Trebuchet MS"/>
                        <w:sz w:val="32"/>
                        <w:szCs w:val="32"/>
                        <w:b/>
                        <w:bCs/>
                        <w:color w:val="00B8F5"/>
                        <w:spacing w:val="-22"/>
                        <w:w w:val="73"/>
                      </w:rPr>
                      <w:t>5</w:t>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spacing w:before="93" w:line="185" w:lineRule="auto"/>
                      <w:jc w:val="right"/>
                      <w:rPr>
                        <w:rFonts w:ascii="Trebuchet MS" w:hAnsi="Trebuchet MS" w:eastAsia="Trebuchet MS" w:cs="Trebuchet MS"/>
                        <w:sz w:val="32"/>
                        <w:szCs w:val="32"/>
                      </w:rPr>
                    </w:pPr>
                    <w:r>
                      <w:rPr>
                        <w:rFonts w:ascii="Trebuchet MS" w:hAnsi="Trebuchet MS" w:eastAsia="Trebuchet MS" w:cs="Trebuchet MS"/>
                        <w:sz w:val="32"/>
                        <w:szCs w:val="32"/>
                        <w:b/>
                        <w:bCs/>
                        <w:color w:val="00B8F5"/>
                        <w:spacing w:val="-32"/>
                        <w:w w:val="75"/>
                      </w:rPr>
                      <w:t>0</w:t>
                    </w:r>
                    <w:r>
                      <w:rPr>
                        <w:rFonts w:ascii="Trebuchet MS" w:hAnsi="Trebuchet MS" w:eastAsia="Trebuchet MS" w:cs="Trebuchet MS"/>
                        <w:sz w:val="32"/>
                        <w:szCs w:val="32"/>
                        <w:b/>
                        <w:bCs/>
                        <w:color w:val="00B8F5"/>
                        <w:spacing w:val="-31"/>
                        <w:w w:val="75"/>
                      </w:rPr>
                      <w:t>.5</w:t>
                    </w:r>
                    <w:r>
                      <w:rPr>
                        <w:rFonts w:ascii="Trebuchet MS" w:hAnsi="Trebuchet MS" w:eastAsia="Trebuchet MS" w:cs="Trebuchet MS"/>
                        <w:sz w:val="32"/>
                        <w:szCs w:val="32"/>
                        <w:b/>
                        <w:bCs/>
                        <w:color w:val="00B8F5"/>
                        <w:spacing w:val="-14"/>
                        <w:w w:val="75"/>
                      </w:rPr>
                      <w:t>2</w:t>
                    </w:r>
                  </w:p>
                </w:txbxContent>
              </v:textbox>
            </v:shape>
            <v:shape id="_x0000_s332" style="position:absolute;left:463;top:1198;width:475;height:1081;" filled="false" stroked="false" type="#_x0000_t202">
              <v:fill on="false"/>
              <v:stroke on="false"/>
              <v:path/>
              <v:imagedata o:title=""/>
              <o:lock v:ext="edit" aspectratio="false"/>
              <v:textbox inset="0mm,0mm,0mm,0mm">
                <w:txbxContent>
                  <w:p>
                    <w:pPr>
                      <w:spacing w:before="19" w:line="185" w:lineRule="auto"/>
                      <w:jc w:val="right"/>
                      <w:rPr>
                        <w:rFonts w:ascii="Trebuchet MS" w:hAnsi="Trebuchet MS" w:eastAsia="Trebuchet MS" w:cs="Trebuchet MS"/>
                        <w:sz w:val="32"/>
                        <w:szCs w:val="32"/>
                      </w:rPr>
                    </w:pPr>
                    <w:r>
                      <w:rPr>
                        <w:rFonts w:ascii="Trebuchet MS" w:hAnsi="Trebuchet MS" w:eastAsia="Trebuchet MS" w:cs="Trebuchet MS"/>
                        <w:sz w:val="32"/>
                        <w:szCs w:val="32"/>
                        <w:b/>
                        <w:bCs/>
                        <w:color w:val="00B8F5"/>
                        <w:spacing w:val="-34"/>
                        <w:w w:val="78"/>
                      </w:rPr>
                      <w:t>0.</w:t>
                    </w:r>
                    <w:r>
                      <w:rPr>
                        <w:rFonts w:ascii="Trebuchet MS" w:hAnsi="Trebuchet MS" w:eastAsia="Trebuchet MS" w:cs="Trebuchet MS"/>
                        <w:sz w:val="32"/>
                        <w:szCs w:val="32"/>
                        <w:b/>
                        <w:bCs/>
                        <w:color w:val="00B8F5"/>
                        <w:spacing w:val="-33"/>
                        <w:w w:val="78"/>
                      </w:rPr>
                      <w:t>3</w:t>
                    </w:r>
                    <w:r>
                      <w:rPr>
                        <w:rFonts w:ascii="Trebuchet MS" w:hAnsi="Trebuchet MS" w:eastAsia="Trebuchet MS" w:cs="Trebuchet MS"/>
                        <w:sz w:val="32"/>
                        <w:szCs w:val="32"/>
                        <w:b/>
                        <w:bCs/>
                        <w:color w:val="00B8F5"/>
                        <w:spacing w:val="-11"/>
                        <w:w w:val="78"/>
                      </w:rPr>
                      <w:t>4</w:t>
                    </w:r>
                  </w:p>
                  <w:p>
                    <w:pPr>
                      <w:spacing w:line="436" w:lineRule="auto"/>
                      <w:rPr>
                        <w:rFonts w:ascii="Arial"/>
                        <w:sz w:val="21"/>
                      </w:rPr>
                    </w:pPr>
                    <w:r/>
                  </w:p>
                  <w:p>
                    <w:pPr>
                      <w:spacing w:before="93" w:line="185" w:lineRule="auto"/>
                      <w:jc w:val="right"/>
                      <w:rPr>
                        <w:rFonts w:ascii="Trebuchet MS" w:hAnsi="Trebuchet MS" w:eastAsia="Trebuchet MS" w:cs="Trebuchet MS"/>
                        <w:sz w:val="32"/>
                        <w:szCs w:val="32"/>
                      </w:rPr>
                    </w:pPr>
                    <w:r>
                      <w:rPr>
                        <w:rFonts w:ascii="Trebuchet MS" w:hAnsi="Trebuchet MS" w:eastAsia="Trebuchet MS" w:cs="Trebuchet MS"/>
                        <w:sz w:val="32"/>
                        <w:szCs w:val="32"/>
                        <w:b/>
                        <w:bCs/>
                        <w:color w:val="00B8F5"/>
                        <w:spacing w:val="-29"/>
                        <w:w w:val="76"/>
                      </w:rPr>
                      <w:t>0.2</w:t>
                    </w:r>
                    <w:r>
                      <w:rPr>
                        <w:rFonts w:ascii="Trebuchet MS" w:hAnsi="Trebuchet MS" w:eastAsia="Trebuchet MS" w:cs="Trebuchet MS"/>
                        <w:sz w:val="32"/>
                        <w:szCs w:val="32"/>
                        <w:b/>
                        <w:bCs/>
                        <w:color w:val="00B8F5"/>
                        <w:spacing w:val="-25"/>
                        <w:w w:val="76"/>
                      </w:rPr>
                      <w:t>3</w:t>
                    </w:r>
                  </w:p>
                </w:txbxContent>
              </v:textbox>
            </v:shape>
          </v:group>
        </w:pict>
      </w:r>
    </w:p>
    <w:p>
      <w:pPr>
        <w:spacing w:before="203" w:line="75" w:lineRule="exact"/>
        <w:rPr/>
      </w:pPr>
      <w:r>
        <w:rPr>
          <w:position w:val="-1"/>
        </w:rPr>
        <w:drawing>
          <wp:inline distT="0" distB="0" distL="0" distR="0">
            <wp:extent cx="6105144" cy="47307"/>
            <wp:effectExtent l="0" t="0" r="0" b="0"/>
            <wp:docPr id="166" name="IM 166"/>
            <wp:cNvGraphicFramePr/>
            <a:graphic>
              <a:graphicData uri="http://schemas.openxmlformats.org/drawingml/2006/picture">
                <pic:pic>
                  <pic:nvPicPr>
                    <pic:cNvPr id="166" name="IM 166"/>
                    <pic:cNvPicPr/>
                  </pic:nvPicPr>
                  <pic:blipFill>
                    <a:blip r:embed="rId72"/>
                    <a:stretch>
                      <a:fillRect/>
                    </a:stretch>
                  </pic:blipFill>
                  <pic:spPr>
                    <a:xfrm rot="0">
                      <a:off x="0" y="0"/>
                      <a:ext cx="6105144" cy="47307"/>
                    </a:xfrm>
                    <a:prstGeom prst="rect">
                      <a:avLst/>
                    </a:prstGeom>
                  </pic:spPr>
                </pic:pic>
              </a:graphicData>
            </a:graphic>
          </wp:inline>
        </w:drawing>
      </w:r>
    </w:p>
    <w:p>
      <w:pPr>
        <w:ind w:left="602"/>
        <w:spacing w:before="159" w:line="179"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抽水蓄能                      压缩空气                   磷酸铁锂电池               全钒液流电池                   铅炭电池</w:t>
      </w:r>
    </w:p>
    <w:p>
      <w:pPr>
        <w:ind w:left="8"/>
        <w:spacing w:before="146" w:line="186"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7"/>
        </w:rPr>
        <w:t>数据来源：英大证券，毕马威分析</w:t>
      </w:r>
    </w:p>
    <w:p>
      <w:pPr>
        <w:ind w:left="7" w:right="2833" w:firstLine="15"/>
        <w:spacing w:before="294" w:line="219" w:lineRule="auto"/>
        <w:tabs>
          <w:tab w:val="left" w:pos="8109"/>
        </w:tabs>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以化学储能为例</w:t>
      </w:r>
      <w:r>
        <w:rPr>
          <w:rFonts w:ascii="Microsoft YaHei" w:hAnsi="Microsoft YaHei" w:eastAsia="Microsoft YaHei" w:cs="Microsoft YaHei"/>
          <w:sz w:val="21"/>
          <w:szCs w:val="21"/>
          <w:spacing w:val="-22"/>
        </w:rPr>
        <w:t xml:space="preserve"> </w:t>
      </w:r>
      <w:r>
        <w:rPr>
          <w:rFonts w:ascii="Microsoft YaHei" w:hAnsi="Microsoft YaHei" w:eastAsia="Microsoft YaHei" w:cs="Microsoft YaHei"/>
          <w:sz w:val="21"/>
          <w:szCs w:val="21"/>
          <w:spacing w:val="-1"/>
        </w:rPr>
        <w:t>，储能系统由电池组、</w:t>
      </w:r>
      <w:r>
        <w:rPr>
          <w:rFonts w:ascii="Microsoft YaHei" w:hAnsi="Microsoft YaHei" w:eastAsia="Microsoft YaHei" w:cs="Microsoft YaHei"/>
          <w:sz w:val="21"/>
          <w:szCs w:val="21"/>
          <w:spacing w:val="-42"/>
        </w:rPr>
        <w:t xml:space="preserve"> </w:t>
      </w:r>
      <w:r>
        <w:rPr>
          <w:rFonts w:ascii="Microsoft YaHei" w:hAnsi="Microsoft YaHei" w:eastAsia="Microsoft YaHei" w:cs="Microsoft YaHei"/>
          <w:sz w:val="21"/>
          <w:szCs w:val="21"/>
          <w:spacing w:val="-1"/>
        </w:rPr>
        <w:t>电池管理系统（BMS）</w:t>
      </w:r>
      <w:r>
        <w:rPr>
          <w:rFonts w:ascii="Microsoft YaHei" w:hAnsi="Microsoft YaHei" w:eastAsia="Microsoft YaHei" w:cs="Microsoft YaHei"/>
          <w:sz w:val="21"/>
          <w:szCs w:val="21"/>
          <w:spacing w:val="-37"/>
        </w:rPr>
        <w:t xml:space="preserve"> </w:t>
      </w:r>
      <w:r>
        <w:rPr>
          <w:rFonts w:ascii="Microsoft YaHei" w:hAnsi="Microsoft YaHei" w:eastAsia="Microsoft YaHei" w:cs="Microsoft YaHei"/>
          <w:sz w:val="21"/>
          <w:szCs w:val="21"/>
          <w:spacing w:val="-1"/>
        </w:rPr>
        <w:t>、能量管理系统（EMS）</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和储能变流器（PCS）</w:t>
      </w:r>
      <w:r>
        <w:rPr>
          <w:rFonts w:ascii="Microsoft YaHei" w:hAnsi="Microsoft YaHei" w:eastAsia="Microsoft YaHei" w:cs="Microsoft YaHei"/>
          <w:sz w:val="21"/>
          <w:szCs w:val="21"/>
          <w:spacing w:val="-17"/>
        </w:rPr>
        <w:t xml:space="preserve"> </w:t>
      </w:r>
      <w:r>
        <w:rPr>
          <w:rFonts w:ascii="Microsoft YaHei" w:hAnsi="Microsoft YaHei" w:eastAsia="Microsoft YaHei" w:cs="Microsoft YaHei"/>
          <w:sz w:val="21"/>
          <w:szCs w:val="21"/>
        </w:rPr>
        <w:t>以及其他电气设备组成</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rPr>
        <w:t>，其中电池组的成本占比近  60%</w:t>
      </w:r>
      <w:r>
        <w:rPr>
          <w:rFonts w:ascii="Microsoft YaHei" w:hAnsi="Microsoft YaHei" w:eastAsia="Microsoft YaHei" w:cs="Microsoft YaHei"/>
          <w:sz w:val="13"/>
          <w:szCs w:val="13"/>
          <w:position w:val="6"/>
        </w:rPr>
        <w:t>13 </w:t>
      </w:r>
      <w:r>
        <w:rPr>
          <w:rFonts w:ascii="Microsoft YaHei" w:hAnsi="Microsoft YaHei" w:eastAsia="Microsoft YaHei" w:cs="Microsoft YaHei"/>
          <w:sz w:val="21"/>
          <w:szCs w:val="21"/>
        </w:rPr>
        <w:t>，是</w:t>
      </w:r>
      <w:r>
        <w:rPr>
          <w:rFonts w:ascii="Microsoft YaHei" w:hAnsi="Microsoft YaHei" w:eastAsia="Microsoft YaHei" w:cs="Microsoft YaHei"/>
          <w:sz w:val="21"/>
          <w:szCs w:val="21"/>
        </w:rPr>
        <w:tab/>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8"/>
        </w:rPr>
        <w:t>储能系统降本的关键。根据《“十四五”</w:t>
      </w:r>
      <w:r>
        <w:rPr>
          <w:rFonts w:ascii="Microsoft YaHei" w:hAnsi="Microsoft YaHei" w:eastAsia="Microsoft YaHei" w:cs="Microsoft YaHei"/>
          <w:sz w:val="21"/>
          <w:szCs w:val="21"/>
          <w:spacing w:val="-43"/>
        </w:rPr>
        <w:t xml:space="preserve"> </w:t>
      </w:r>
      <w:r>
        <w:rPr>
          <w:rFonts w:ascii="Microsoft YaHei" w:hAnsi="Microsoft YaHei" w:eastAsia="Microsoft YaHei" w:cs="Microsoft YaHei"/>
          <w:sz w:val="21"/>
          <w:szCs w:val="21"/>
          <w:spacing w:val="8"/>
        </w:rPr>
        <w:t>新型储能发展实施方案》</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8"/>
        </w:rPr>
        <w:t>提</w:t>
      </w:r>
      <w:r>
        <w:rPr>
          <w:rFonts w:ascii="Microsoft YaHei" w:hAnsi="Microsoft YaHei" w:eastAsia="Microsoft YaHei" w:cs="Microsoft YaHei"/>
          <w:sz w:val="21"/>
          <w:szCs w:val="21"/>
          <w:spacing w:val="7"/>
        </w:rPr>
        <w:t>出的目标</w:t>
      </w:r>
      <w:r>
        <w:rPr>
          <w:rFonts w:ascii="Microsoft YaHei" w:hAnsi="Microsoft YaHei" w:eastAsia="Microsoft YaHei" w:cs="Microsoft YaHei"/>
          <w:sz w:val="21"/>
          <w:szCs w:val="21"/>
          <w:spacing w:val="-24"/>
        </w:rPr>
        <w:t xml:space="preserve"> </w:t>
      </w:r>
      <w:r>
        <w:rPr>
          <w:rFonts w:ascii="Microsoft YaHei" w:hAnsi="Microsoft YaHei" w:eastAsia="Microsoft YaHei" w:cs="Microsoft YaHei"/>
          <w:sz w:val="21"/>
          <w:szCs w:val="21"/>
          <w:spacing w:val="7"/>
        </w:rPr>
        <w:t>，到</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2025年</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rPr>
        <w:t>，</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rPr>
        <w:t>电化学储能系统成本将降低30%以上。</w:t>
      </w:r>
      <w:r>
        <w:rPr>
          <w:rFonts w:ascii="Microsoft YaHei" w:hAnsi="Microsoft YaHei" w:eastAsia="Microsoft YaHei" w:cs="Microsoft YaHei"/>
          <w:sz w:val="21"/>
          <w:szCs w:val="21"/>
          <w:spacing w:val="-39"/>
        </w:rPr>
        <w:t xml:space="preserve"> </w:t>
      </w:r>
      <w:r>
        <w:rPr>
          <w:rFonts w:ascii="Microsoft YaHei" w:hAnsi="Microsoft YaHei" w:eastAsia="Microsoft YaHei" w:cs="Microsoft YaHei"/>
          <w:sz w:val="21"/>
          <w:szCs w:val="21"/>
        </w:rPr>
        <w:t>对此，业界提出的技</w:t>
      </w:r>
      <w:r>
        <w:rPr>
          <w:rFonts w:ascii="Microsoft YaHei" w:hAnsi="Microsoft YaHei" w:eastAsia="Microsoft YaHei" w:cs="Microsoft YaHei"/>
          <w:sz w:val="21"/>
          <w:szCs w:val="21"/>
          <w:spacing w:val="-1"/>
        </w:rPr>
        <w:t>术降本思路主要</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有三：</w:t>
      </w:r>
      <w:r>
        <w:rPr>
          <w:rFonts w:ascii="Microsoft YaHei" w:hAnsi="Microsoft YaHei" w:eastAsia="Microsoft YaHei" w:cs="Microsoft YaHei"/>
          <w:sz w:val="21"/>
          <w:szCs w:val="21"/>
          <w:spacing w:val="-39"/>
        </w:rPr>
        <w:t xml:space="preserve"> </w:t>
      </w:r>
      <w:r>
        <w:rPr>
          <w:rFonts w:ascii="Microsoft YaHei" w:hAnsi="Microsoft YaHei" w:eastAsia="Microsoft YaHei" w:cs="Microsoft YaHei"/>
          <w:sz w:val="21"/>
          <w:szCs w:val="21"/>
          <w:spacing w:val="3"/>
        </w:rPr>
        <w:t>一是注重提升电池组循环寿命；二是合理降低供应链成本</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，例如实现低成本材</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料替代；三是优化储能冷却和集成方式等技术，提升储能系统整体效率</w:t>
      </w:r>
      <w:r>
        <w:rPr>
          <w:rFonts w:ascii="Microsoft YaHei" w:hAnsi="Microsoft YaHei" w:eastAsia="Microsoft YaHei" w:cs="Microsoft YaHei"/>
          <w:sz w:val="13"/>
          <w:szCs w:val="13"/>
          <w:position w:val="6"/>
        </w:rPr>
        <w:t>14</w:t>
      </w:r>
      <w:r>
        <w:rPr>
          <w:rFonts w:ascii="Microsoft YaHei" w:hAnsi="Microsoft YaHei" w:eastAsia="Microsoft YaHei" w:cs="Microsoft YaHei"/>
          <w:sz w:val="21"/>
          <w:szCs w:val="21"/>
        </w:rPr>
        <w:t>。</w:t>
      </w:r>
    </w:p>
    <w:p>
      <w:pPr>
        <w:pStyle w:val="BodyText"/>
        <w:spacing w:line="462" w:lineRule="auto"/>
        <w:rPr/>
      </w:pPr>
      <w:r>
        <w:pict>
          <v:shape id="_x0000_s334" style="position:absolute;margin-left:0.25pt;margin-top:15.1673pt;mso-position-vertical-relative:text;mso-position-horizontal-relative:text;width:81.3pt;height:0.5pt;z-index:251883520;" filled="false" strokecolor="#000000" strokeweight="0.50pt" coordsize="1626,10" coordorigin="0,0" path="m0,5l1625,5e">
            <v:stroke joinstyle="miter"/>
          </v:shape>
        </w:pict>
      </w:r>
      <w:r/>
    </w:p>
    <w:p>
      <w:pPr>
        <w:ind w:left="5" w:right="3156" w:firstLine="3"/>
        <w:spacing w:before="57" w:line="184"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9"/>
          <w:position w:val="4"/>
        </w:rPr>
        <w:t>12</w:t>
      </w:r>
      <w:r>
        <w:rPr>
          <w:rFonts w:ascii="Microsoft YaHei" w:hAnsi="Microsoft YaHei" w:eastAsia="Microsoft YaHei" w:cs="Microsoft YaHei"/>
          <w:sz w:val="9"/>
          <w:szCs w:val="9"/>
          <w:spacing w:val="16"/>
          <w:w w:val="102"/>
          <w:position w:val="4"/>
        </w:rPr>
        <w:t xml:space="preserve"> </w:t>
      </w:r>
      <w:r>
        <w:rPr>
          <w:rFonts w:ascii="Microsoft YaHei" w:hAnsi="Microsoft YaHei" w:eastAsia="Microsoft YaHei" w:cs="Microsoft YaHei"/>
          <w:sz w:val="13"/>
          <w:szCs w:val="13"/>
          <w:spacing w:val="9"/>
        </w:rPr>
        <w:t>评价指标为目前国际上通用的基于储能全生命周期建</w:t>
      </w:r>
      <w:r>
        <w:rPr>
          <w:rFonts w:ascii="Microsoft YaHei" w:hAnsi="Microsoft YaHei" w:eastAsia="Microsoft YaHei" w:cs="Microsoft YaHei"/>
          <w:sz w:val="13"/>
          <w:szCs w:val="13"/>
          <w:spacing w:val="8"/>
        </w:rPr>
        <w:t>模的储能平准化度电成本（</w:t>
      </w:r>
      <w:r>
        <w:rPr>
          <w:rFonts w:ascii="Microsoft YaHei" w:hAnsi="Microsoft YaHei" w:eastAsia="Microsoft YaHei" w:cs="Microsoft YaHei"/>
          <w:sz w:val="13"/>
          <w:szCs w:val="13"/>
        </w:rPr>
        <w:t>LCOS），</w:t>
      </w:r>
      <w:r>
        <w:rPr>
          <w:rFonts w:ascii="Microsoft YaHei" w:hAnsi="Microsoft YaHei" w:eastAsia="Microsoft YaHei" w:cs="Microsoft YaHei"/>
          <w:sz w:val="13"/>
          <w:szCs w:val="13"/>
          <w:spacing w:val="-11"/>
        </w:rPr>
        <w:t xml:space="preserve"> </w:t>
      </w:r>
      <w:r>
        <w:rPr>
          <w:rFonts w:ascii="Microsoft YaHei" w:hAnsi="Microsoft YaHei" w:eastAsia="Microsoft YaHei" w:cs="Microsoft YaHei"/>
          <w:sz w:val="13"/>
          <w:szCs w:val="13"/>
          <w:spacing w:val="8"/>
        </w:rPr>
        <w:t>详细测算过程参见《英大证券-储能</w:t>
      </w:r>
      <w:r>
        <w:rPr>
          <w:rFonts w:ascii="Microsoft YaHei" w:hAnsi="Microsoft YaHei" w:eastAsia="Microsoft YaHei" w:cs="Microsoft YaHei"/>
          <w:sz w:val="13"/>
          <w:szCs w:val="13"/>
        </w:rPr>
        <w:t xml:space="preserve"> </w:t>
      </w:r>
      <w:r>
        <w:rPr>
          <w:rFonts w:ascii="Microsoft YaHei" w:hAnsi="Microsoft YaHei" w:eastAsia="Microsoft YaHei" w:cs="Microsoft YaHei"/>
          <w:sz w:val="13"/>
          <w:szCs w:val="13"/>
          <w:spacing w:val="8"/>
        </w:rPr>
        <w:t>行业深度报告：六类储能的发展情况及其经济性评估》</w:t>
      </w:r>
    </w:p>
    <w:p>
      <w:pPr>
        <w:ind w:left="9"/>
        <w:spacing w:before="57" w:line="195"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5"/>
          <w:position w:val="4"/>
        </w:rPr>
        <w:t>13</w:t>
      </w:r>
      <w:r>
        <w:rPr>
          <w:rFonts w:ascii="Microsoft YaHei" w:hAnsi="Microsoft YaHei" w:eastAsia="Microsoft YaHei" w:cs="Microsoft YaHei"/>
          <w:sz w:val="9"/>
          <w:szCs w:val="9"/>
          <w:position w:val="4"/>
        </w:rPr>
        <w:t xml:space="preserve">  </w:t>
      </w:r>
      <w:r>
        <w:rPr>
          <w:rFonts w:ascii="Microsoft YaHei" w:hAnsi="Microsoft YaHei" w:eastAsia="Microsoft YaHei" w:cs="Microsoft YaHei"/>
          <w:sz w:val="13"/>
          <w:szCs w:val="13"/>
          <w:spacing w:val="5"/>
        </w:rPr>
        <w:t>电芯上涨“搅扰”储能市场影响几何？高工</w:t>
      </w:r>
      <w:r>
        <w:rPr>
          <w:rFonts w:ascii="Microsoft YaHei" w:hAnsi="Microsoft YaHei" w:eastAsia="Microsoft YaHei" w:cs="Microsoft YaHei"/>
          <w:sz w:val="13"/>
          <w:szCs w:val="13"/>
          <w:spacing w:val="4"/>
        </w:rPr>
        <w:t>锂电网，  2022年4月18日，</w:t>
      </w:r>
      <w:r>
        <w:rPr>
          <w:rFonts w:ascii="Microsoft YaHei" w:hAnsi="Microsoft YaHei" w:eastAsia="Microsoft YaHei" w:cs="Microsoft YaHei"/>
          <w:sz w:val="13"/>
          <w:szCs w:val="13"/>
          <w:spacing w:val="-7"/>
        </w:rPr>
        <w:t xml:space="preserve"> </w:t>
      </w:r>
      <w:hyperlink w:history="true" r:id="rId73">
        <w:r>
          <w:rPr>
            <w:rFonts w:ascii="Microsoft YaHei" w:hAnsi="Microsoft YaHei" w:eastAsia="Microsoft YaHei" w:cs="Microsoft YaHei"/>
            <w:sz w:val="13"/>
            <w:szCs w:val="13"/>
          </w:rPr>
          <w:t>https</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www</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gg</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lb</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com</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art</w:t>
        </w:r>
        <w:r>
          <w:rPr>
            <w:rFonts w:ascii="Microsoft YaHei" w:hAnsi="Microsoft YaHei" w:eastAsia="Microsoft YaHei" w:cs="Microsoft YaHei"/>
            <w:sz w:val="13"/>
            <w:szCs w:val="13"/>
            <w:spacing w:val="4"/>
          </w:rPr>
          <w:t>-44652.</w:t>
        </w:r>
        <w:r>
          <w:rPr>
            <w:rFonts w:ascii="Microsoft YaHei" w:hAnsi="Microsoft YaHei" w:eastAsia="Microsoft YaHei" w:cs="Microsoft YaHei"/>
            <w:sz w:val="13"/>
            <w:szCs w:val="13"/>
          </w:rPr>
          <w:t>html</w:t>
        </w:r>
      </w:hyperlink>
    </w:p>
    <w:p>
      <w:pPr>
        <w:ind w:left="9"/>
        <w:spacing w:before="45" w:line="194"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6"/>
          <w:position w:val="4"/>
        </w:rPr>
        <w:t>14</w:t>
      </w:r>
      <w:r>
        <w:rPr>
          <w:rFonts w:ascii="Microsoft YaHei" w:hAnsi="Microsoft YaHei" w:eastAsia="Microsoft YaHei" w:cs="Microsoft YaHei"/>
          <w:sz w:val="9"/>
          <w:szCs w:val="9"/>
          <w:spacing w:val="15"/>
          <w:w w:val="102"/>
          <w:position w:val="4"/>
        </w:rPr>
        <w:t xml:space="preserve"> </w:t>
      </w:r>
      <w:r>
        <w:rPr>
          <w:rFonts w:ascii="Microsoft YaHei" w:hAnsi="Microsoft YaHei" w:eastAsia="Microsoft YaHei" w:cs="Microsoft YaHei"/>
          <w:sz w:val="13"/>
          <w:szCs w:val="13"/>
          <w:spacing w:val="6"/>
        </w:rPr>
        <w:t>技术创新驱动储能产业降本，国际储能网，</w:t>
      </w:r>
      <w:r>
        <w:rPr>
          <w:rFonts w:ascii="Microsoft YaHei" w:hAnsi="Microsoft YaHei" w:eastAsia="Microsoft YaHei" w:cs="Microsoft YaHei"/>
          <w:sz w:val="13"/>
          <w:szCs w:val="13"/>
          <w:spacing w:val="5"/>
        </w:rPr>
        <w:t xml:space="preserve">  2022年5月19日，</w:t>
      </w:r>
      <w:r>
        <w:rPr>
          <w:rFonts w:ascii="Microsoft YaHei" w:hAnsi="Microsoft YaHei" w:eastAsia="Microsoft YaHei" w:cs="Microsoft YaHei"/>
          <w:sz w:val="13"/>
          <w:szCs w:val="13"/>
          <w:spacing w:val="-8"/>
        </w:rPr>
        <w:t xml:space="preserve"> </w:t>
      </w:r>
      <w:hyperlink w:history="true" r:id="rId74">
        <w:r>
          <w:rPr>
            <w:rFonts w:ascii="Microsoft YaHei" w:hAnsi="Microsoft YaHei" w:eastAsia="Microsoft YaHei" w:cs="Microsoft YaHei"/>
            <w:sz w:val="13"/>
            <w:szCs w:val="13"/>
          </w:rPr>
          <w:t>https</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chuneng</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in</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en</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com</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html</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chunengy</w:t>
        </w:r>
        <w:r>
          <w:rPr>
            <w:rFonts w:ascii="Microsoft YaHei" w:hAnsi="Microsoft YaHei" w:eastAsia="Microsoft YaHei" w:cs="Microsoft YaHei"/>
            <w:sz w:val="13"/>
            <w:szCs w:val="13"/>
            <w:spacing w:val="5"/>
          </w:rPr>
          <w:t>-8682.</w:t>
        </w:r>
        <w:r>
          <w:rPr>
            <w:rFonts w:ascii="Microsoft YaHei" w:hAnsi="Microsoft YaHei" w:eastAsia="Microsoft YaHei" w:cs="Microsoft YaHei"/>
            <w:sz w:val="13"/>
            <w:szCs w:val="13"/>
          </w:rPr>
          <w:t>shtml</w:t>
        </w:r>
      </w:hyperlink>
    </w:p>
    <w:p>
      <w:pPr>
        <w:ind w:left="505" w:right="1241" w:hanging="411"/>
        <w:spacing w:before="207"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1300" w:header="0" w:footer="0" w:gutter="0"/>
        </w:sectPr>
        <w:rPr>
          <w:rFonts w:ascii="Microsoft YaHei" w:hAnsi="Microsoft YaHei" w:eastAsia="Microsoft YaHei" w:cs="Microsoft YaHei"/>
          <w:sz w:val="11"/>
          <w:szCs w:val="11"/>
        </w:rPr>
      </w:pPr>
    </w:p>
    <w:p>
      <w:pPr>
        <w:spacing w:before="314" w:line="193" w:lineRule="auto"/>
        <w:rPr>
          <w:rFonts w:ascii="Microsoft YaHei" w:hAnsi="Microsoft YaHei" w:eastAsia="Microsoft YaHei" w:cs="Microsoft YaHei"/>
          <w:sz w:val="18"/>
          <w:szCs w:val="18"/>
        </w:rPr>
      </w:pPr>
      <w:r>
        <w:pict>
          <v:rect id="_x0000_s336" style="position:absolute;margin-left:611.99pt;margin-top:0pt;mso-position-vertical-relative:page;mso-position-horizontal-relative:page;width:0.25pt;height:859pt;z-index:251904000;" o:allowincell="f" fillcolor="#000000" filled="true" stroked="false"/>
        </w:pict>
      </w:r>
      <w:r>
        <w:rPr>
          <w:rFonts w:ascii="Microsoft YaHei" w:hAnsi="Microsoft YaHei" w:eastAsia="Microsoft YaHei" w:cs="Microsoft YaHei"/>
          <w:sz w:val="18"/>
          <w:szCs w:val="18"/>
          <w:b/>
          <w:bCs/>
          <w:color w:val="A8A8A8"/>
          <w:spacing w:val="-1"/>
        </w:rPr>
        <w:t>23</w:t>
      </w:r>
      <w:r>
        <w:rPr>
          <w:rFonts w:ascii="Microsoft YaHei" w:hAnsi="Microsoft YaHei" w:eastAsia="Microsoft YaHei" w:cs="Microsoft YaHei"/>
          <w:sz w:val="18"/>
          <w:szCs w:val="18"/>
          <w:b/>
          <w:bCs/>
          <w:color w:val="A8A8A8"/>
          <w:spacing w:val="14"/>
        </w:rPr>
        <w:t xml:space="preserve">  </w:t>
      </w:r>
      <w:r>
        <w:rPr>
          <w:sz w:val="18"/>
          <w:szCs w:val="18"/>
          <w:position w:val="-4"/>
        </w:rPr>
        <w:drawing>
          <wp:inline distT="0" distB="0" distL="0" distR="0">
            <wp:extent cx="6350" cy="130175"/>
            <wp:effectExtent l="0" t="0" r="0" b="0"/>
            <wp:docPr id="168" name="IM 168"/>
            <wp:cNvGraphicFramePr/>
            <a:graphic>
              <a:graphicData uri="http://schemas.openxmlformats.org/drawingml/2006/picture">
                <pic:pic>
                  <pic:nvPicPr>
                    <pic:cNvPr id="168" name="IM 168"/>
                    <pic:cNvPicPr/>
                  </pic:nvPicPr>
                  <pic:blipFill>
                    <a:blip r:embed="rId75"/>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A8A8A8"/>
          <w:spacing w:val="26"/>
        </w:rPr>
        <w:t xml:space="preserve">  </w:t>
      </w:r>
      <w:r>
        <w:rPr>
          <w:rFonts w:ascii="Microsoft YaHei" w:hAnsi="Microsoft YaHei" w:eastAsia="Microsoft YaHei" w:cs="Microsoft YaHei"/>
          <w:sz w:val="18"/>
          <w:szCs w:val="18"/>
          <w:color w:val="A8A8A8"/>
          <w:spacing w:val="-1"/>
        </w:rPr>
        <w:t>新型储能助力能源转型</w:t>
      </w:r>
    </w:p>
    <w:p>
      <w:pPr>
        <w:pStyle w:val="BodyText"/>
        <w:rPr/>
      </w:pPr>
      <w:r/>
    </w:p>
    <w:p>
      <w:pPr>
        <w:pStyle w:val="BodyText"/>
        <w:rPr/>
      </w:pPr>
      <w:r/>
    </w:p>
    <w:p>
      <w:pPr>
        <w:pStyle w:val="BodyText"/>
        <w:spacing w:line="241" w:lineRule="auto"/>
        <w:rPr/>
      </w:pPr>
      <w:r/>
    </w:p>
    <w:p>
      <w:pPr>
        <w:ind w:left="372"/>
        <w:spacing w:before="308" w:line="179" w:lineRule="auto"/>
        <w:outlineLvl w:val="0"/>
        <w:rPr>
          <w:rFonts w:ascii="Microsoft YaHei" w:hAnsi="Microsoft YaHei" w:eastAsia="Microsoft YaHei" w:cs="Microsoft YaHei"/>
          <w:sz w:val="72"/>
          <w:szCs w:val="72"/>
        </w:rPr>
      </w:pPr>
      <w:r>
        <w:rPr>
          <w:rFonts w:ascii="Microsoft YaHei" w:hAnsi="Microsoft YaHei" w:eastAsia="Microsoft YaHei" w:cs="Microsoft YaHei"/>
          <w:sz w:val="72"/>
          <w:szCs w:val="72"/>
          <w:b/>
          <w:bCs/>
          <w:color w:val="00338D"/>
          <w:spacing w:val="-2"/>
        </w:rPr>
        <w:t>储能产业规模及预测</w:t>
      </w:r>
    </w:p>
    <w:p>
      <w:pPr>
        <w:ind w:left="387" w:right="2999" w:hanging="9"/>
        <w:spacing w:before="343" w:line="174" w:lineRule="auto"/>
        <w:rPr>
          <w:rFonts w:ascii="Microsoft YaHei" w:hAnsi="Microsoft YaHei" w:eastAsia="Microsoft YaHei" w:cs="Microsoft YaHei"/>
          <w:sz w:val="36"/>
          <w:szCs w:val="36"/>
        </w:rPr>
      </w:pPr>
      <w:r>
        <w:rPr>
          <w:rFonts w:ascii="Microsoft YaHei" w:hAnsi="Microsoft YaHei" w:eastAsia="Microsoft YaHei" w:cs="Microsoft YaHei"/>
          <w:sz w:val="36"/>
          <w:szCs w:val="36"/>
          <w:b/>
          <w:bCs/>
          <w:color w:val="00338D"/>
          <w:spacing w:val="-1"/>
        </w:rPr>
        <w:t>可再生能源发电量的提升将带来全球储能市场规模</w:t>
      </w:r>
      <w:r>
        <w:rPr>
          <w:rFonts w:ascii="Microsoft YaHei" w:hAnsi="Microsoft YaHei" w:eastAsia="Microsoft YaHei" w:cs="Microsoft YaHei"/>
          <w:sz w:val="36"/>
          <w:szCs w:val="36"/>
          <w:b/>
          <w:bCs/>
          <w:color w:val="00338D"/>
          <w:spacing w:val="2"/>
        </w:rPr>
        <w:t xml:space="preserve"> </w:t>
      </w:r>
      <w:r>
        <w:rPr>
          <w:rFonts w:ascii="Microsoft YaHei" w:hAnsi="Microsoft YaHei" w:eastAsia="Microsoft YaHei" w:cs="Microsoft YaHei"/>
          <w:sz w:val="36"/>
          <w:szCs w:val="36"/>
          <w:b/>
          <w:bCs/>
          <w:color w:val="00338D"/>
          <w:spacing w:val="-5"/>
        </w:rPr>
        <w:t>的快速增长</w:t>
      </w:r>
    </w:p>
    <w:p>
      <w:pPr>
        <w:ind w:left="345" w:right="2997"/>
        <w:spacing w:before="226" w:line="217"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未来全球经济持续发展和人口增长</w:t>
      </w:r>
      <w:r>
        <w:rPr>
          <w:rFonts w:ascii="Microsoft YaHei" w:hAnsi="Microsoft YaHei" w:eastAsia="Microsoft YaHei" w:cs="Microsoft YaHei"/>
          <w:sz w:val="21"/>
          <w:szCs w:val="21"/>
          <w:spacing w:val="-26"/>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40"/>
        </w:rPr>
        <w:t xml:space="preserve"> </w:t>
      </w:r>
      <w:r>
        <w:rPr>
          <w:rFonts w:ascii="Microsoft YaHei" w:hAnsi="Microsoft YaHei" w:eastAsia="Microsoft YaHei" w:cs="Microsoft YaHei"/>
          <w:sz w:val="21"/>
          <w:szCs w:val="21"/>
          <w:spacing w:val="2"/>
        </w:rPr>
        <w:t>以及电气化水平的提高</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，将带来电力需求的持续</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较快增长。据美国能源信息署（EIA）预测，未来</w:t>
      </w:r>
      <w:r>
        <w:rPr>
          <w:rFonts w:ascii="Microsoft YaHei" w:hAnsi="Microsoft YaHei" w:eastAsia="Microsoft YaHei" w:cs="Microsoft YaHei"/>
          <w:sz w:val="21"/>
          <w:szCs w:val="21"/>
          <w:spacing w:val="31"/>
        </w:rPr>
        <w:t xml:space="preserve"> </w:t>
      </w:r>
      <w:r>
        <w:rPr>
          <w:rFonts w:ascii="Microsoft YaHei" w:hAnsi="Microsoft YaHei" w:eastAsia="Microsoft YaHei" w:cs="Microsoft YaHei"/>
          <w:sz w:val="21"/>
          <w:szCs w:val="21"/>
          <w:spacing w:val="-2"/>
        </w:rPr>
        <w:t>30</w:t>
      </w:r>
      <w:r>
        <w:rPr>
          <w:rFonts w:ascii="Microsoft YaHei" w:hAnsi="Microsoft YaHei" w:eastAsia="Microsoft YaHei" w:cs="Microsoft YaHei"/>
          <w:sz w:val="21"/>
          <w:szCs w:val="21"/>
          <w:spacing w:val="23"/>
          <w:w w:val="101"/>
        </w:rPr>
        <w:t xml:space="preserve"> </w:t>
      </w:r>
      <w:r>
        <w:rPr>
          <w:rFonts w:ascii="Microsoft YaHei" w:hAnsi="Microsoft YaHei" w:eastAsia="Microsoft YaHei" w:cs="Microsoft YaHei"/>
          <w:sz w:val="21"/>
          <w:szCs w:val="21"/>
          <w:spacing w:val="-2"/>
        </w:rPr>
        <w:t>年全球发电量将增长约</w:t>
      </w:r>
      <w:r>
        <w:rPr>
          <w:rFonts w:ascii="Microsoft YaHei" w:hAnsi="Microsoft YaHei" w:eastAsia="Microsoft YaHei" w:cs="Microsoft YaHei"/>
          <w:sz w:val="21"/>
          <w:szCs w:val="21"/>
          <w:spacing w:val="25"/>
        </w:rPr>
        <w:t xml:space="preserve"> </w:t>
      </w:r>
      <w:r>
        <w:rPr>
          <w:rFonts w:ascii="Microsoft YaHei" w:hAnsi="Microsoft YaHei" w:eastAsia="Microsoft YaHei" w:cs="Microsoft YaHei"/>
          <w:sz w:val="21"/>
          <w:szCs w:val="21"/>
          <w:spacing w:val="-2"/>
        </w:rPr>
        <w:t>70%，到</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2050</w:t>
      </w:r>
      <w:r>
        <w:rPr>
          <w:rFonts w:ascii="Microsoft YaHei" w:hAnsi="Microsoft YaHei" w:eastAsia="Microsoft YaHei" w:cs="Microsoft YaHei"/>
          <w:sz w:val="21"/>
          <w:szCs w:val="21"/>
          <w:spacing w:val="23"/>
        </w:rPr>
        <w:t xml:space="preserve"> </w:t>
      </w:r>
      <w:r>
        <w:rPr>
          <w:rFonts w:ascii="Microsoft YaHei" w:hAnsi="Microsoft YaHei" w:eastAsia="Microsoft YaHei" w:cs="Microsoft YaHei"/>
          <w:sz w:val="21"/>
          <w:szCs w:val="21"/>
          <w:spacing w:val="-2"/>
        </w:rPr>
        <w:t>年达到</w:t>
      </w:r>
      <w:r>
        <w:rPr>
          <w:rFonts w:ascii="Microsoft YaHei" w:hAnsi="Microsoft YaHei" w:eastAsia="Microsoft YaHei" w:cs="Microsoft YaHei"/>
          <w:sz w:val="21"/>
          <w:szCs w:val="21"/>
          <w:spacing w:val="19"/>
        </w:rPr>
        <w:t xml:space="preserve"> </w:t>
      </w:r>
      <w:r>
        <w:rPr>
          <w:rFonts w:ascii="Microsoft YaHei" w:hAnsi="Microsoft YaHei" w:eastAsia="Microsoft YaHei" w:cs="Microsoft YaHei"/>
          <w:sz w:val="21"/>
          <w:szCs w:val="21"/>
          <w:spacing w:val="-2"/>
        </w:rPr>
        <w:t>4.2</w:t>
      </w:r>
      <w:r>
        <w:rPr>
          <w:rFonts w:ascii="Microsoft YaHei" w:hAnsi="Microsoft YaHei" w:eastAsia="Microsoft YaHei" w:cs="Microsoft YaHei"/>
          <w:sz w:val="21"/>
          <w:szCs w:val="21"/>
          <w:spacing w:val="20"/>
        </w:rPr>
        <w:t xml:space="preserve"> </w:t>
      </w:r>
      <w:r>
        <w:rPr>
          <w:rFonts w:ascii="Microsoft YaHei" w:hAnsi="Microsoft YaHei" w:eastAsia="Microsoft YaHei" w:cs="Microsoft YaHei"/>
          <w:sz w:val="21"/>
          <w:szCs w:val="21"/>
          <w:spacing w:val="-2"/>
        </w:rPr>
        <w:t>万TWh。其中可再生能源预计未来将成为全球最主要的电力来源，到</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2050年约占总发电量的 56%</w:t>
      </w:r>
      <w:r>
        <w:rPr>
          <w:rFonts w:ascii="Microsoft YaHei" w:hAnsi="Microsoft YaHei" w:eastAsia="Microsoft YaHei" w:cs="Microsoft YaHei"/>
          <w:sz w:val="21"/>
          <w:szCs w:val="21"/>
          <w:spacing w:val="-24"/>
        </w:rPr>
        <w:t xml:space="preserve"> </w:t>
      </w:r>
      <w:r>
        <w:rPr>
          <w:rFonts w:ascii="Microsoft YaHei" w:hAnsi="Microsoft YaHei" w:eastAsia="Microsoft YaHei" w:cs="Microsoft YaHei"/>
          <w:sz w:val="21"/>
          <w:szCs w:val="21"/>
          <w:spacing w:val="-3"/>
        </w:rPr>
        <w:t>，在2020年的基础上增长了两倍多。</w:t>
      </w:r>
      <w:r>
        <w:rPr>
          <w:rFonts w:ascii="Microsoft YaHei" w:hAnsi="Microsoft YaHei" w:eastAsia="Microsoft YaHei" w:cs="Microsoft YaHei"/>
          <w:sz w:val="21"/>
          <w:szCs w:val="21"/>
          <w:spacing w:val="-32"/>
        </w:rPr>
        <w:t xml:space="preserve"> </w:t>
      </w:r>
      <w:r>
        <w:rPr>
          <w:rFonts w:ascii="Microsoft YaHei" w:hAnsi="Microsoft YaHei" w:eastAsia="Microsoft YaHei" w:cs="Microsoft YaHei"/>
          <w:sz w:val="21"/>
          <w:szCs w:val="21"/>
          <w:spacing w:val="-3"/>
        </w:rPr>
        <w:t>以煤和天然气为代表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的传统能源目前仍为主要发电能源，在2020年占比近60%，但预计在未</w:t>
      </w:r>
      <w:r>
        <w:rPr>
          <w:rFonts w:ascii="Microsoft YaHei" w:hAnsi="Microsoft YaHei" w:eastAsia="Microsoft YaHei" w:cs="Microsoft YaHei"/>
          <w:sz w:val="21"/>
          <w:szCs w:val="21"/>
          <w:spacing w:val="1"/>
        </w:rPr>
        <w:t>来几十年中的</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占比将逐步下降，到2050年下降到39%（图 6）。</w:t>
      </w:r>
    </w:p>
    <w:p>
      <w:pPr>
        <w:pStyle w:val="BodyText"/>
        <w:spacing w:line="298" w:lineRule="auto"/>
        <w:rPr/>
      </w:pPr>
      <w:r/>
    </w:p>
    <w:p>
      <w:pPr>
        <w:ind w:firstLine="335"/>
        <w:spacing w:line="585" w:lineRule="exact"/>
        <w:rPr/>
      </w:pPr>
      <w:r>
        <w:rPr>
          <w:position w:val="-11"/>
        </w:rPr>
        <w:pict>
          <v:group id="_x0000_s338" style="mso-position-vertical-relative:line;mso-position-horizontal-relative:char;width:482.2pt;height:29.3pt;" filled="false" stroked="false" coordsize="9644,585" coordorigin="0,0">
            <v:group id="_x0000_s340" style="position:absolute;left:0;top:0;width:9644;height:585;" filled="false" stroked="false" coordsize="9644,585" coordorigin="0,0">
              <v:shape id="_x0000_s342" style="position:absolute;left:0;top:66;width:9644;height:519;" fillcolor="#F1F1F1" filled="true" stroked="false" coordsize="9644,519" coordorigin="0,0" path="m,l9643,0l9643,518l0,518l0,0xe"/>
              <v:shape id="_x0000_s344" style="position:absolute;left:2;top:0;width:610;height:100;" filled="false" strokecolor="#00B8F5" strokeweight="5.00pt" coordsize="610,100" coordorigin="0,0" path="m0,50l610,50e">
                <v:stroke joinstyle="miter"/>
              </v:shape>
            </v:group>
            <v:shape id="_x0000_s346" style="position:absolute;left:-20;top:-20;width:9684;height:625;" filled="false" stroked="false" type="#_x0000_t202">
              <v:fill on="false"/>
              <v:stroke on="false"/>
              <v:path/>
              <v:imagedata o:title=""/>
              <o:lock v:ext="edit" aspectratio="false"/>
              <v:textbox inset="0mm,0mm,0mm,0mm">
                <w:txbxContent>
                  <w:p>
                    <w:pPr>
                      <w:ind w:left="180"/>
                      <w:spacing w:before="207" w:line="215" w:lineRule="auto"/>
                      <w:rPr>
                        <w:rFonts w:ascii="Microsoft YaHei" w:hAnsi="Microsoft YaHei" w:eastAsia="Microsoft YaHei" w:cs="Microsoft YaHei"/>
                        <w:sz w:val="13"/>
                        <w:szCs w:val="13"/>
                      </w:rPr>
                    </w:pPr>
                    <w:r>
                      <w:rPr>
                        <w:rFonts w:ascii="Microsoft YaHei" w:hAnsi="Microsoft YaHei" w:eastAsia="Microsoft YaHei" w:cs="Microsoft YaHei"/>
                        <w:sz w:val="21"/>
                        <w:szCs w:val="21"/>
                        <w:b/>
                        <w:bCs/>
                        <w:color w:val="00B8F5"/>
                        <w:spacing w:val="-4"/>
                      </w:rPr>
                      <w:t>图 6   </w:t>
                    </w:r>
                    <w:r>
                      <w:rPr>
                        <w:sz w:val="21"/>
                        <w:szCs w:val="21"/>
                        <w:position w:val="-5"/>
                      </w:rPr>
                      <w:drawing>
                        <wp:inline distT="0" distB="0" distL="0" distR="0">
                          <wp:extent cx="12700" cy="175666"/>
                          <wp:effectExtent l="0" t="0" r="0" b="0"/>
                          <wp:docPr id="170" name="IM 170"/>
                          <wp:cNvGraphicFramePr/>
                          <a:graphic>
                            <a:graphicData uri="http://schemas.openxmlformats.org/drawingml/2006/picture">
                              <pic:pic>
                                <pic:nvPicPr>
                                  <pic:cNvPr id="170" name="IM 170"/>
                                  <pic:cNvPicPr/>
                                </pic:nvPicPr>
                                <pic:blipFill>
                                  <a:blip r:embed="rId76"/>
                                  <a:stretch>
                                    <a:fillRect/>
                                  </a:stretch>
                                </pic:blipFill>
                                <pic:spPr>
                                  <a:xfrm rot="0">
                                    <a:off x="0" y="0"/>
                                    <a:ext cx="12700" cy="175666"/>
                                  </a:xfrm>
                                  <a:prstGeom prst="rect">
                                    <a:avLst/>
                                  </a:prstGeom>
                                </pic:spPr>
                              </pic:pic>
                            </a:graphicData>
                          </a:graphic>
                        </wp:inline>
                      </w:drawing>
                    </w:r>
                    <w:r>
                      <w:rPr>
                        <w:rFonts w:ascii="Microsoft YaHei" w:hAnsi="Microsoft YaHei" w:eastAsia="Microsoft YaHei" w:cs="Microsoft YaHei"/>
                        <w:sz w:val="21"/>
                        <w:szCs w:val="21"/>
                        <w:b/>
                        <w:bCs/>
                        <w:color w:val="00B8F5"/>
                        <w:spacing w:val="27"/>
                      </w:rPr>
                      <w:t xml:space="preserve">  </w:t>
                    </w:r>
                    <w:r>
                      <w:rPr>
                        <w:rFonts w:ascii="Microsoft YaHei" w:hAnsi="Microsoft YaHei" w:eastAsia="Microsoft YaHei" w:cs="Microsoft YaHei"/>
                        <w:sz w:val="21"/>
                        <w:szCs w:val="21"/>
                        <w:b/>
                        <w:bCs/>
                        <w:color w:val="00B8F5"/>
                        <w:spacing w:val="-4"/>
                      </w:rPr>
                      <w:t>全球不同类型能源的发电量预测，</w:t>
                    </w:r>
                    <w:r>
                      <w:rPr>
                        <w:rFonts w:ascii="Microsoft YaHei" w:hAnsi="Microsoft YaHei" w:eastAsia="Microsoft YaHei" w:cs="Microsoft YaHei"/>
                        <w:sz w:val="21"/>
                        <w:szCs w:val="21"/>
                        <w:b/>
                        <w:bCs/>
                        <w:color w:val="00B8F5"/>
                        <w:spacing w:val="-36"/>
                      </w:rPr>
                      <w:t xml:space="preserve"> </w:t>
                    </w:r>
                    <w:r>
                      <w:rPr>
                        <w:rFonts w:ascii="Microsoft YaHei" w:hAnsi="Microsoft YaHei" w:eastAsia="Microsoft YaHei" w:cs="Microsoft YaHei"/>
                        <w:sz w:val="21"/>
                        <w:szCs w:val="21"/>
                        <w:b/>
                        <w:bCs/>
                        <w:color w:val="00B8F5"/>
                        <w:spacing w:val="-4"/>
                      </w:rPr>
                      <w:t>1000TWh</w:t>
                    </w:r>
                    <w:r>
                      <w:rPr>
                        <w:rFonts w:ascii="Microsoft YaHei" w:hAnsi="Microsoft YaHei" w:eastAsia="Microsoft YaHei" w:cs="Microsoft YaHei"/>
                        <w:sz w:val="21"/>
                        <w:szCs w:val="21"/>
                        <w:b/>
                        <w:bCs/>
                        <w:color w:val="00B8F5"/>
                        <w:spacing w:val="-13"/>
                      </w:rPr>
                      <w:t xml:space="preserve"> </w:t>
                    </w:r>
                    <w:r>
                      <w:rPr>
                        <w:rFonts w:ascii="Microsoft YaHei" w:hAnsi="Microsoft YaHei" w:eastAsia="Microsoft YaHei" w:cs="Microsoft YaHei"/>
                        <w:sz w:val="13"/>
                        <w:szCs w:val="13"/>
                        <w:b/>
                        <w:bCs/>
                        <w:color w:val="00B8F5"/>
                        <w:spacing w:val="-4"/>
                        <w:position w:val="6"/>
                      </w:rPr>
                      <w:t>15</w:t>
                    </w:r>
                  </w:p>
                </w:txbxContent>
              </v:textbox>
            </v:shape>
          </v:group>
        </w:pict>
      </w:r>
    </w:p>
    <w:p>
      <w:pPr>
        <w:pStyle w:val="BodyText"/>
        <w:spacing w:line="265" w:lineRule="auto"/>
        <w:rPr/>
      </w:pPr>
      <w:r/>
    </w:p>
    <w:p>
      <w:pPr>
        <w:pStyle w:val="BodyText"/>
        <w:spacing w:line="266" w:lineRule="auto"/>
        <w:rPr/>
      </w:pPr>
      <w:r/>
    </w:p>
    <w:p>
      <w:pPr>
        <w:pStyle w:val="BodyText"/>
        <w:ind w:left="436" w:right="10425"/>
        <w:spacing w:before="61" w:line="306" w:lineRule="auto"/>
        <w:tabs>
          <w:tab w:val="left" w:pos="559"/>
        </w:tabs>
        <w:jc w:val="right"/>
        <w:rPr/>
      </w:pPr>
      <w:r>
        <w:pict>
          <v:shape id="_x0000_s348" style="position:absolute;margin-left:41.9537pt;margin-top:7.08071pt;mso-position-vertical-relative:text;mso-position-horizontal-relative:text;width:0.75pt;height:141.65pt;z-index:-251415552;" filled="false" strokecolor="#000000" strokeweight="0.75pt" coordsize="15,2832" coordorigin="0,0" path="m7,2832l7,0e">
            <v:stroke miterlimit="10"/>
          </v:shape>
        </w:pict>
      </w:r>
      <w:r>
        <w:drawing>
          <wp:anchor distT="0" distB="0" distL="0" distR="0" simplePos="0" relativeHeight="251901952" behindDoc="0" locked="0" layoutInCell="1" allowOverlap="1">
            <wp:simplePos x="0" y="0"/>
            <wp:positionH relativeFrom="column">
              <wp:posOffset>539098</wp:posOffset>
            </wp:positionH>
            <wp:positionV relativeFrom="paragraph">
              <wp:posOffset>1862337</wp:posOffset>
            </wp:positionV>
            <wp:extent cx="5821807" cy="67056"/>
            <wp:effectExtent l="0" t="0" r="0" b="0"/>
            <wp:wrapNone/>
            <wp:docPr id="172" name="IM 172"/>
            <wp:cNvGraphicFramePr/>
            <a:graphic>
              <a:graphicData uri="http://schemas.openxmlformats.org/drawingml/2006/picture">
                <pic:pic>
                  <pic:nvPicPr>
                    <pic:cNvPr id="172" name="IM 172"/>
                    <pic:cNvPicPr/>
                  </pic:nvPicPr>
                  <pic:blipFill>
                    <a:blip r:embed="rId77"/>
                    <a:stretch>
                      <a:fillRect/>
                    </a:stretch>
                  </pic:blipFill>
                  <pic:spPr>
                    <a:xfrm rot="0">
                      <a:off x="0" y="0"/>
                      <a:ext cx="5821807" cy="67056"/>
                    </a:xfrm>
                    <a:prstGeom prst="rect">
                      <a:avLst/>
                    </a:prstGeom>
                  </pic:spPr>
                </pic:pic>
              </a:graphicData>
            </a:graphic>
          </wp:anchor>
        </w:drawing>
      </w:r>
      <w:r>
        <w:drawing>
          <wp:anchor distT="0" distB="0" distL="0" distR="0" simplePos="0" relativeHeight="251902976" behindDoc="0" locked="0" layoutInCell="1" allowOverlap="1">
            <wp:simplePos x="0" y="0"/>
            <wp:positionH relativeFrom="column">
              <wp:posOffset>746362</wp:posOffset>
            </wp:positionH>
            <wp:positionV relativeFrom="paragraph">
              <wp:posOffset>213369</wp:posOffset>
            </wp:positionV>
            <wp:extent cx="5404103" cy="1673351"/>
            <wp:effectExtent l="0" t="0" r="0" b="0"/>
            <wp:wrapNone/>
            <wp:docPr id="174" name="IM 174"/>
            <wp:cNvGraphicFramePr/>
            <a:graphic>
              <a:graphicData uri="http://schemas.openxmlformats.org/drawingml/2006/picture">
                <pic:pic>
                  <pic:nvPicPr>
                    <pic:cNvPr id="174" name="IM 174"/>
                    <pic:cNvPicPr/>
                  </pic:nvPicPr>
                  <pic:blipFill>
                    <a:blip r:embed="rId78"/>
                    <a:stretch>
                      <a:fillRect/>
                    </a:stretch>
                  </pic:blipFill>
                  <pic:spPr>
                    <a:xfrm rot="0">
                      <a:off x="0" y="0"/>
                      <a:ext cx="5404103" cy="1673351"/>
                    </a:xfrm>
                    <a:prstGeom prst="rect">
                      <a:avLst/>
                    </a:prstGeom>
                  </pic:spPr>
                </pic:pic>
              </a:graphicData>
            </a:graphic>
          </wp:anchor>
        </w:drawing>
      </w:r>
      <w:r>
        <w:rPr>
          <w:spacing w:val="-1"/>
        </w:rPr>
        <w:t>45  </w:t>
      </w:r>
      <w:r>
        <w:rPr>
          <w:position w:val="6"/>
        </w:rPr>
        <w:drawing>
          <wp:inline distT="0" distB="0" distL="0" distR="0">
            <wp:extent cx="39624" cy="9525"/>
            <wp:effectExtent l="0" t="0" r="0" b="0"/>
            <wp:docPr id="176" name="IM 176"/>
            <wp:cNvGraphicFramePr/>
            <a:graphic>
              <a:graphicData uri="http://schemas.openxmlformats.org/drawingml/2006/picture">
                <pic:pic>
                  <pic:nvPicPr>
                    <pic:cNvPr id="176" name="IM 176"/>
                    <pic:cNvPicPr/>
                  </pic:nvPicPr>
                  <pic:blipFill>
                    <a:blip r:embed="rId79"/>
                    <a:stretch>
                      <a:fillRect/>
                    </a:stretch>
                  </pic:blipFill>
                  <pic:spPr>
                    <a:xfrm rot="0">
                      <a:off x="0" y="0"/>
                      <a:ext cx="39624" cy="9525"/>
                    </a:xfrm>
                    <a:prstGeom prst="rect">
                      <a:avLst/>
                    </a:prstGeom>
                  </pic:spPr>
                </pic:pic>
              </a:graphicData>
            </a:graphic>
          </wp:inline>
        </w:drawing>
      </w:r>
      <w:r>
        <w:rPr/>
        <w:t xml:space="preserve"> </w:t>
      </w:r>
      <w:r>
        <w:rPr>
          <w:spacing w:val="-1"/>
        </w:rPr>
        <w:t>40  </w:t>
      </w:r>
      <w:r>
        <w:rPr>
          <w:position w:val="6"/>
        </w:rPr>
        <w:drawing>
          <wp:inline distT="0" distB="0" distL="0" distR="0">
            <wp:extent cx="39624" cy="9525"/>
            <wp:effectExtent l="0" t="0" r="0" b="0"/>
            <wp:docPr id="178" name="IM 178"/>
            <wp:cNvGraphicFramePr/>
            <a:graphic>
              <a:graphicData uri="http://schemas.openxmlformats.org/drawingml/2006/picture">
                <pic:pic>
                  <pic:nvPicPr>
                    <pic:cNvPr id="178" name="IM 178"/>
                    <pic:cNvPicPr/>
                  </pic:nvPicPr>
                  <pic:blipFill>
                    <a:blip r:embed="rId80"/>
                    <a:stretch>
                      <a:fillRect/>
                    </a:stretch>
                  </pic:blipFill>
                  <pic:spPr>
                    <a:xfrm rot="0">
                      <a:off x="0" y="0"/>
                      <a:ext cx="39624" cy="9525"/>
                    </a:xfrm>
                    <a:prstGeom prst="rect">
                      <a:avLst/>
                    </a:prstGeom>
                  </pic:spPr>
                </pic:pic>
              </a:graphicData>
            </a:graphic>
          </wp:inline>
        </w:drawing>
      </w:r>
      <w:r>
        <w:rPr/>
        <w:t xml:space="preserve"> </w:t>
      </w:r>
      <w:r>
        <w:rPr>
          <w:spacing w:val="-1"/>
        </w:rPr>
        <w:t>35  </w:t>
      </w:r>
      <w:r>
        <w:rPr>
          <w:position w:val="6"/>
        </w:rPr>
        <w:drawing>
          <wp:inline distT="0" distB="0" distL="0" distR="0">
            <wp:extent cx="39624" cy="9525"/>
            <wp:effectExtent l="0" t="0" r="0" b="0"/>
            <wp:docPr id="180" name="IM 180"/>
            <wp:cNvGraphicFramePr/>
            <a:graphic>
              <a:graphicData uri="http://schemas.openxmlformats.org/drawingml/2006/picture">
                <pic:pic>
                  <pic:nvPicPr>
                    <pic:cNvPr id="180" name="IM 180"/>
                    <pic:cNvPicPr/>
                  </pic:nvPicPr>
                  <pic:blipFill>
                    <a:blip r:embed="rId81"/>
                    <a:stretch>
                      <a:fillRect/>
                    </a:stretch>
                  </pic:blipFill>
                  <pic:spPr>
                    <a:xfrm rot="0">
                      <a:off x="0" y="0"/>
                      <a:ext cx="39624" cy="9525"/>
                    </a:xfrm>
                    <a:prstGeom prst="rect">
                      <a:avLst/>
                    </a:prstGeom>
                  </pic:spPr>
                </pic:pic>
              </a:graphicData>
            </a:graphic>
          </wp:inline>
        </w:drawing>
      </w:r>
      <w:r>
        <w:rPr/>
        <w:t xml:space="preserve"> </w:t>
      </w:r>
      <w:r>
        <w:rPr>
          <w:spacing w:val="-1"/>
        </w:rPr>
        <w:t>30  </w:t>
      </w:r>
      <w:r>
        <w:rPr>
          <w:position w:val="6"/>
        </w:rPr>
        <w:drawing>
          <wp:inline distT="0" distB="0" distL="0" distR="0">
            <wp:extent cx="39624" cy="9525"/>
            <wp:effectExtent l="0" t="0" r="0" b="0"/>
            <wp:docPr id="182" name="IM 182"/>
            <wp:cNvGraphicFramePr/>
            <a:graphic>
              <a:graphicData uri="http://schemas.openxmlformats.org/drawingml/2006/picture">
                <pic:pic>
                  <pic:nvPicPr>
                    <pic:cNvPr id="182" name="IM 182"/>
                    <pic:cNvPicPr/>
                  </pic:nvPicPr>
                  <pic:blipFill>
                    <a:blip r:embed="rId82"/>
                    <a:stretch>
                      <a:fillRect/>
                    </a:stretch>
                  </pic:blipFill>
                  <pic:spPr>
                    <a:xfrm rot="0">
                      <a:off x="0" y="0"/>
                      <a:ext cx="39624" cy="9525"/>
                    </a:xfrm>
                    <a:prstGeom prst="rect">
                      <a:avLst/>
                    </a:prstGeom>
                  </pic:spPr>
                </pic:pic>
              </a:graphicData>
            </a:graphic>
          </wp:inline>
        </w:drawing>
      </w:r>
      <w:r>
        <w:rPr/>
        <w:t xml:space="preserve"> </w:t>
      </w:r>
      <w:r>
        <w:rPr>
          <w:spacing w:val="-1"/>
        </w:rPr>
        <w:t>25  </w:t>
      </w:r>
      <w:r>
        <w:rPr>
          <w:position w:val="6"/>
        </w:rPr>
        <w:drawing>
          <wp:inline distT="0" distB="0" distL="0" distR="0">
            <wp:extent cx="39624" cy="9525"/>
            <wp:effectExtent l="0" t="0" r="0" b="0"/>
            <wp:docPr id="184" name="IM 184"/>
            <wp:cNvGraphicFramePr/>
            <a:graphic>
              <a:graphicData uri="http://schemas.openxmlformats.org/drawingml/2006/picture">
                <pic:pic>
                  <pic:nvPicPr>
                    <pic:cNvPr id="184" name="IM 184"/>
                    <pic:cNvPicPr/>
                  </pic:nvPicPr>
                  <pic:blipFill>
                    <a:blip r:embed="rId83"/>
                    <a:stretch>
                      <a:fillRect/>
                    </a:stretch>
                  </pic:blipFill>
                  <pic:spPr>
                    <a:xfrm rot="0">
                      <a:off x="0" y="0"/>
                      <a:ext cx="39624" cy="9525"/>
                    </a:xfrm>
                    <a:prstGeom prst="rect">
                      <a:avLst/>
                    </a:prstGeom>
                  </pic:spPr>
                </pic:pic>
              </a:graphicData>
            </a:graphic>
          </wp:inline>
        </w:drawing>
      </w:r>
      <w:r>
        <w:rPr/>
        <w:t xml:space="preserve"> </w:t>
      </w:r>
      <w:r>
        <w:rPr>
          <w:spacing w:val="-1"/>
        </w:rPr>
        <w:t>20  </w:t>
      </w:r>
      <w:r>
        <w:rPr>
          <w:position w:val="6"/>
        </w:rPr>
        <w:drawing>
          <wp:inline distT="0" distB="0" distL="0" distR="0">
            <wp:extent cx="39624" cy="9525"/>
            <wp:effectExtent l="0" t="0" r="0" b="0"/>
            <wp:docPr id="186" name="IM 186"/>
            <wp:cNvGraphicFramePr/>
            <a:graphic>
              <a:graphicData uri="http://schemas.openxmlformats.org/drawingml/2006/picture">
                <pic:pic>
                  <pic:nvPicPr>
                    <pic:cNvPr id="186" name="IM 186"/>
                    <pic:cNvPicPr/>
                  </pic:nvPicPr>
                  <pic:blipFill>
                    <a:blip r:embed="rId84"/>
                    <a:stretch>
                      <a:fillRect/>
                    </a:stretch>
                  </pic:blipFill>
                  <pic:spPr>
                    <a:xfrm rot="0">
                      <a:off x="0" y="0"/>
                      <a:ext cx="39624" cy="9525"/>
                    </a:xfrm>
                    <a:prstGeom prst="rect">
                      <a:avLst/>
                    </a:prstGeom>
                  </pic:spPr>
                </pic:pic>
              </a:graphicData>
            </a:graphic>
          </wp:inline>
        </w:drawing>
      </w:r>
      <w:r>
        <w:rPr/>
        <w:t xml:space="preserve"> </w:t>
      </w:r>
      <w:r>
        <w:rPr>
          <w:spacing w:val="-1"/>
        </w:rPr>
        <w:t>15  </w:t>
      </w:r>
      <w:r>
        <w:rPr>
          <w:position w:val="5"/>
        </w:rPr>
        <w:drawing>
          <wp:inline distT="0" distB="0" distL="0" distR="0">
            <wp:extent cx="39624" cy="9525"/>
            <wp:effectExtent l="0" t="0" r="0" b="0"/>
            <wp:docPr id="188" name="IM 188"/>
            <wp:cNvGraphicFramePr/>
            <a:graphic>
              <a:graphicData uri="http://schemas.openxmlformats.org/drawingml/2006/picture">
                <pic:pic>
                  <pic:nvPicPr>
                    <pic:cNvPr id="188" name="IM 188"/>
                    <pic:cNvPicPr/>
                  </pic:nvPicPr>
                  <pic:blipFill>
                    <a:blip r:embed="rId85"/>
                    <a:stretch>
                      <a:fillRect/>
                    </a:stretch>
                  </pic:blipFill>
                  <pic:spPr>
                    <a:xfrm rot="0">
                      <a:off x="0" y="0"/>
                      <a:ext cx="39624" cy="9525"/>
                    </a:xfrm>
                    <a:prstGeom prst="rect">
                      <a:avLst/>
                    </a:prstGeom>
                  </pic:spPr>
                </pic:pic>
              </a:graphicData>
            </a:graphic>
          </wp:inline>
        </w:drawing>
      </w:r>
      <w:r>
        <w:rPr/>
        <w:t xml:space="preserve"> </w:t>
      </w:r>
      <w:r>
        <w:rPr>
          <w:spacing w:val="-1"/>
        </w:rPr>
        <w:t>10  </w:t>
      </w:r>
      <w:r>
        <w:rPr>
          <w:position w:val="6"/>
        </w:rPr>
        <w:drawing>
          <wp:inline distT="0" distB="0" distL="0" distR="0">
            <wp:extent cx="39624" cy="9525"/>
            <wp:effectExtent l="0" t="0" r="0" b="0"/>
            <wp:docPr id="190" name="IM 190"/>
            <wp:cNvGraphicFramePr/>
            <a:graphic>
              <a:graphicData uri="http://schemas.openxmlformats.org/drawingml/2006/picture">
                <pic:pic>
                  <pic:nvPicPr>
                    <pic:cNvPr id="190" name="IM 190"/>
                    <pic:cNvPicPr/>
                  </pic:nvPicPr>
                  <pic:blipFill>
                    <a:blip r:embed="rId86"/>
                    <a:stretch>
                      <a:fillRect/>
                    </a:stretch>
                  </pic:blipFill>
                  <pic:spPr>
                    <a:xfrm rot="0">
                      <a:off x="0" y="0"/>
                      <a:ext cx="39624" cy="9525"/>
                    </a:xfrm>
                    <a:prstGeom prst="rect">
                      <a:avLst/>
                    </a:prstGeom>
                  </pic:spPr>
                </pic:pic>
              </a:graphicData>
            </a:graphic>
          </wp:inline>
        </w:drawing>
      </w:r>
      <w:r>
        <w:rPr/>
        <w:t xml:space="preserve"> </w:t>
      </w:r>
      <w:r>
        <w:rPr/>
        <w:tab/>
      </w:r>
      <w:r>
        <w:rPr>
          <w:spacing w:val="-8"/>
        </w:rPr>
        <w:t>5</w:t>
      </w:r>
      <w:r>
        <w:rPr>
          <w:spacing w:val="57"/>
          <w:w w:val="101"/>
        </w:rPr>
        <w:t xml:space="preserve"> </w:t>
      </w:r>
      <w:r>
        <w:rPr>
          <w:position w:val="5"/>
        </w:rPr>
        <w:drawing>
          <wp:inline distT="0" distB="0" distL="0" distR="0">
            <wp:extent cx="39624" cy="9525"/>
            <wp:effectExtent l="0" t="0" r="0" b="0"/>
            <wp:docPr id="192" name="IM 192"/>
            <wp:cNvGraphicFramePr/>
            <a:graphic>
              <a:graphicData uri="http://schemas.openxmlformats.org/drawingml/2006/picture">
                <pic:pic>
                  <pic:nvPicPr>
                    <pic:cNvPr id="192" name="IM 192"/>
                    <pic:cNvPicPr/>
                  </pic:nvPicPr>
                  <pic:blipFill>
                    <a:blip r:embed="rId87"/>
                    <a:stretch>
                      <a:fillRect/>
                    </a:stretch>
                  </pic:blipFill>
                  <pic:spPr>
                    <a:xfrm rot="0">
                      <a:off x="0" y="0"/>
                      <a:ext cx="39624" cy="9525"/>
                    </a:xfrm>
                    <a:prstGeom prst="rect">
                      <a:avLst/>
                    </a:prstGeom>
                  </pic:spPr>
                </pic:pic>
              </a:graphicData>
            </a:graphic>
          </wp:inline>
        </w:drawing>
      </w:r>
      <w:r>
        <w:rPr/>
        <w:t xml:space="preserve"> </w:t>
      </w:r>
      <w:r>
        <w:rPr>
          <w:spacing w:val="-9"/>
        </w:rPr>
        <w:t>0</w:t>
      </w:r>
      <w:r>
        <w:rPr>
          <w:spacing w:val="57"/>
          <w:w w:val="101"/>
        </w:rPr>
        <w:t xml:space="preserve"> </w:t>
      </w:r>
      <w:r>
        <w:rPr/>
        <w:drawing>
          <wp:inline distT="0" distB="0" distL="0" distR="0">
            <wp:extent cx="44322" cy="45911"/>
            <wp:effectExtent l="0" t="0" r="0" b="0"/>
            <wp:docPr id="194" name="IM 194"/>
            <wp:cNvGraphicFramePr/>
            <a:graphic>
              <a:graphicData uri="http://schemas.openxmlformats.org/drawingml/2006/picture">
                <pic:pic>
                  <pic:nvPicPr>
                    <pic:cNvPr id="194" name="IM 194"/>
                    <pic:cNvPicPr/>
                  </pic:nvPicPr>
                  <pic:blipFill>
                    <a:blip r:embed="rId88"/>
                    <a:stretch>
                      <a:fillRect/>
                    </a:stretch>
                  </pic:blipFill>
                  <pic:spPr>
                    <a:xfrm rot="0">
                      <a:off x="0" y="0"/>
                      <a:ext cx="44322" cy="45911"/>
                    </a:xfrm>
                    <a:prstGeom prst="rect">
                      <a:avLst/>
                    </a:prstGeom>
                  </pic:spPr>
                </pic:pic>
              </a:graphicData>
            </a:graphic>
          </wp:inline>
        </w:drawing>
      </w:r>
    </w:p>
    <w:p>
      <w:pPr>
        <w:pStyle w:val="BodyText"/>
        <w:ind w:left="1275"/>
        <w:spacing w:line="195" w:lineRule="auto"/>
        <w:rPr/>
      </w:pPr>
      <w:r>
        <w:rPr>
          <w:spacing w:val="-2"/>
        </w:rPr>
        <w:t>2020</w:t>
      </w:r>
      <w:r>
        <w:rPr>
          <w:spacing w:val="3"/>
        </w:rPr>
        <w:t xml:space="preserve">              </w:t>
      </w:r>
      <w:r>
        <w:rPr>
          <w:spacing w:val="-2"/>
        </w:rPr>
        <w:t>2025</w:t>
      </w:r>
      <w:r>
        <w:rPr>
          <w:spacing w:val="2"/>
        </w:rPr>
        <w:t xml:space="preserve">              </w:t>
      </w:r>
      <w:r>
        <w:rPr>
          <w:spacing w:val="-2"/>
        </w:rPr>
        <w:t>2030</w:t>
      </w:r>
      <w:r>
        <w:rPr>
          <w:spacing w:val="2"/>
        </w:rPr>
        <w:t xml:space="preserve">              </w:t>
      </w:r>
      <w:r>
        <w:rPr>
          <w:spacing w:val="-2"/>
        </w:rPr>
        <w:t>2035</w:t>
      </w:r>
      <w:r>
        <w:rPr>
          <w:spacing w:val="2"/>
        </w:rPr>
        <w:t xml:space="preserve">              </w:t>
      </w:r>
      <w:r>
        <w:rPr>
          <w:spacing w:val="-2"/>
        </w:rPr>
        <w:t>2040</w:t>
      </w:r>
      <w:r>
        <w:rPr>
          <w:spacing w:val="3"/>
        </w:rPr>
        <w:t xml:space="preserve">              </w:t>
      </w:r>
      <w:r>
        <w:rPr>
          <w:spacing w:val="-2"/>
        </w:rPr>
        <w:t>2045</w:t>
      </w:r>
      <w:r>
        <w:rPr>
          <w:spacing w:val="2"/>
        </w:rPr>
        <w:t xml:space="preserve">              </w:t>
      </w:r>
      <w:r>
        <w:rPr>
          <w:spacing w:val="-2"/>
        </w:rPr>
        <w:t>2050</w:t>
      </w:r>
    </w:p>
    <w:p>
      <w:pPr>
        <w:ind w:left="1314"/>
        <w:spacing w:before="225" w:line="188" w:lineRule="auto"/>
        <w:rPr>
          <w:rFonts w:ascii="Microsoft YaHei" w:hAnsi="Microsoft YaHei" w:eastAsia="Microsoft YaHei" w:cs="Microsoft YaHei"/>
          <w:sz w:val="20"/>
          <w:szCs w:val="20"/>
        </w:rPr>
      </w:pPr>
      <w:r>
        <w:rPr>
          <w:rFonts w:ascii="PMingLiU" w:hAnsi="PMingLiU" w:eastAsia="PMingLiU" w:cs="PMingLiU"/>
          <w:sz w:val="21"/>
          <w:szCs w:val="21"/>
          <w:position w:val="1"/>
        </w:rPr>
        <w:drawing>
          <wp:inline distT="0" distB="0" distL="0" distR="0">
            <wp:extent cx="67055" cy="67055"/>
            <wp:effectExtent l="0" t="0" r="0" b="0"/>
            <wp:docPr id="196" name="IM 196"/>
            <wp:cNvGraphicFramePr/>
            <a:graphic>
              <a:graphicData uri="http://schemas.openxmlformats.org/drawingml/2006/picture">
                <pic:pic>
                  <pic:nvPicPr>
                    <pic:cNvPr id="196" name="IM 196"/>
                    <pic:cNvPicPr/>
                  </pic:nvPicPr>
                  <pic:blipFill>
                    <a:blip r:embed="rId89"/>
                    <a:stretch>
                      <a:fillRect/>
                    </a:stretch>
                  </pic:blipFill>
                  <pic:spPr>
                    <a:xfrm rot="0">
                      <a:off x="0" y="0"/>
                      <a:ext cx="67055" cy="67055"/>
                    </a:xfrm>
                    <a:prstGeom prst="rect">
                      <a:avLst/>
                    </a:prstGeom>
                  </pic:spPr>
                </pic:pic>
              </a:graphicData>
            </a:graphic>
          </wp:inline>
        </w:drawing>
      </w:r>
      <w:r>
        <w:rPr>
          <w:rFonts w:ascii="PMingLiU" w:hAnsi="PMingLiU" w:eastAsia="PMingLiU" w:cs="PMingLiU"/>
          <w:sz w:val="21"/>
          <w:szCs w:val="21"/>
          <w:spacing w:val="-1"/>
          <w:position w:val="1"/>
        </w:rPr>
        <w:t xml:space="preserve"> </w:t>
      </w:r>
      <w:r>
        <w:rPr>
          <w:rFonts w:ascii="PMingLiU" w:hAnsi="PMingLiU" w:eastAsia="PMingLiU" w:cs="PMingLiU"/>
          <w:sz w:val="21"/>
          <w:szCs w:val="21"/>
          <w:position w:val="1"/>
        </w:rPr>
        <w:t>液体燃料          </w:t>
      </w:r>
      <w:r>
        <w:rPr>
          <w:sz w:val="21"/>
          <w:szCs w:val="21"/>
          <w:position w:val="1"/>
        </w:rPr>
        <w:drawing>
          <wp:inline distT="0" distB="0" distL="0" distR="0">
            <wp:extent cx="67055" cy="67055"/>
            <wp:effectExtent l="0" t="0" r="0" b="0"/>
            <wp:docPr id="198" name="IM 198"/>
            <wp:cNvGraphicFramePr/>
            <a:graphic>
              <a:graphicData uri="http://schemas.openxmlformats.org/drawingml/2006/picture">
                <pic:pic>
                  <pic:nvPicPr>
                    <pic:cNvPr id="198" name="IM 198"/>
                    <pic:cNvPicPr/>
                  </pic:nvPicPr>
                  <pic:blipFill>
                    <a:blip r:embed="rId90"/>
                    <a:stretch>
                      <a:fillRect/>
                    </a:stretch>
                  </pic:blipFill>
                  <pic:spPr>
                    <a:xfrm rot="0">
                      <a:off x="0" y="0"/>
                      <a:ext cx="67055" cy="67055"/>
                    </a:xfrm>
                    <a:prstGeom prst="rect">
                      <a:avLst/>
                    </a:prstGeom>
                  </pic:spPr>
                </pic:pic>
              </a:graphicData>
            </a:graphic>
          </wp:inline>
        </w:drawing>
      </w:r>
      <w:r>
        <w:rPr>
          <w:rFonts w:ascii="PMingLiU" w:hAnsi="PMingLiU" w:eastAsia="PMingLiU" w:cs="PMingLiU"/>
          <w:sz w:val="21"/>
          <w:szCs w:val="21"/>
          <w:spacing w:val="-3"/>
          <w:position w:val="1"/>
        </w:rPr>
        <w:t xml:space="preserve"> </w:t>
      </w:r>
      <w:r>
        <w:rPr>
          <w:rFonts w:ascii="PMingLiU" w:hAnsi="PMingLiU" w:eastAsia="PMingLiU" w:cs="PMingLiU"/>
          <w:sz w:val="21"/>
          <w:szCs w:val="21"/>
          <w:position w:val="1"/>
        </w:rPr>
        <w:t>天然气          </w:t>
      </w:r>
      <w:r>
        <w:rPr>
          <w:rFonts w:ascii="PMingLiU" w:hAnsi="PMingLiU" w:eastAsia="PMingLiU" w:cs="PMingLiU"/>
          <w:sz w:val="21"/>
          <w:szCs w:val="21"/>
          <w:spacing w:val="-1"/>
          <w:position w:val="1"/>
        </w:rPr>
        <w:t xml:space="preserve"> </w:t>
      </w:r>
      <w:r>
        <w:rPr>
          <w:sz w:val="21"/>
          <w:szCs w:val="21"/>
          <w:position w:val="1"/>
        </w:rPr>
        <w:drawing>
          <wp:inline distT="0" distB="0" distL="0" distR="0">
            <wp:extent cx="67055" cy="67055"/>
            <wp:effectExtent l="0" t="0" r="0" b="0"/>
            <wp:docPr id="200" name="IM 200"/>
            <wp:cNvGraphicFramePr/>
            <a:graphic>
              <a:graphicData uri="http://schemas.openxmlformats.org/drawingml/2006/picture">
                <pic:pic>
                  <pic:nvPicPr>
                    <pic:cNvPr id="200" name="IM 200"/>
                    <pic:cNvPicPr/>
                  </pic:nvPicPr>
                  <pic:blipFill>
                    <a:blip r:embed="rId91"/>
                    <a:stretch>
                      <a:fillRect/>
                    </a:stretch>
                  </pic:blipFill>
                  <pic:spPr>
                    <a:xfrm rot="0">
                      <a:off x="0" y="0"/>
                      <a:ext cx="67055" cy="67055"/>
                    </a:xfrm>
                    <a:prstGeom prst="rect">
                      <a:avLst/>
                    </a:prstGeom>
                  </pic:spPr>
                </pic:pic>
              </a:graphicData>
            </a:graphic>
          </wp:inline>
        </w:drawing>
      </w:r>
      <w:r>
        <w:rPr>
          <w:rFonts w:ascii="PMingLiU" w:hAnsi="PMingLiU" w:eastAsia="PMingLiU" w:cs="PMingLiU"/>
          <w:sz w:val="21"/>
          <w:szCs w:val="21"/>
          <w:spacing w:val="-5"/>
          <w:position w:val="1"/>
        </w:rPr>
        <w:t xml:space="preserve"> </w:t>
      </w:r>
      <w:r>
        <w:rPr>
          <w:rFonts w:ascii="PMingLiU" w:hAnsi="PMingLiU" w:eastAsia="PMingLiU" w:cs="PMingLiU"/>
          <w:sz w:val="21"/>
          <w:szCs w:val="21"/>
          <w:spacing w:val="-1"/>
          <w:position w:val="1"/>
        </w:rPr>
        <w:t>煤           </w:t>
      </w:r>
      <w:r>
        <w:rPr>
          <w:sz w:val="21"/>
          <w:szCs w:val="21"/>
          <w:position w:val="1"/>
        </w:rPr>
        <w:drawing>
          <wp:inline distT="0" distB="0" distL="0" distR="0">
            <wp:extent cx="67055" cy="67055"/>
            <wp:effectExtent l="0" t="0" r="0" b="0"/>
            <wp:docPr id="202" name="IM 202"/>
            <wp:cNvGraphicFramePr/>
            <a:graphic>
              <a:graphicData uri="http://schemas.openxmlformats.org/drawingml/2006/picture">
                <pic:pic>
                  <pic:nvPicPr>
                    <pic:cNvPr id="202" name="IM 202"/>
                    <pic:cNvPicPr/>
                  </pic:nvPicPr>
                  <pic:blipFill>
                    <a:blip r:embed="rId92"/>
                    <a:stretch>
                      <a:fillRect/>
                    </a:stretch>
                  </pic:blipFill>
                  <pic:spPr>
                    <a:xfrm rot="0">
                      <a:off x="0" y="0"/>
                      <a:ext cx="67055" cy="67055"/>
                    </a:xfrm>
                    <a:prstGeom prst="rect">
                      <a:avLst/>
                    </a:prstGeom>
                  </pic:spPr>
                </pic:pic>
              </a:graphicData>
            </a:graphic>
          </wp:inline>
        </w:drawing>
      </w:r>
      <w:r>
        <w:rPr>
          <w:rFonts w:ascii="PMingLiU" w:hAnsi="PMingLiU" w:eastAsia="PMingLiU" w:cs="PMingLiU"/>
          <w:sz w:val="21"/>
          <w:szCs w:val="21"/>
          <w:spacing w:val="-8"/>
          <w:position w:val="1"/>
        </w:rPr>
        <w:t xml:space="preserve"> </w:t>
      </w:r>
      <w:r>
        <w:rPr>
          <w:rFonts w:ascii="PMingLiU" w:hAnsi="PMingLiU" w:eastAsia="PMingLiU" w:cs="PMingLiU"/>
          <w:sz w:val="21"/>
          <w:szCs w:val="21"/>
          <w:spacing w:val="-1"/>
          <w:position w:val="1"/>
        </w:rPr>
        <w:t>核           </w:t>
      </w:r>
      <w:r>
        <w:rPr>
          <w:sz w:val="21"/>
          <w:szCs w:val="21"/>
          <w:position w:val="1"/>
        </w:rPr>
        <w:drawing>
          <wp:inline distT="0" distB="0" distL="0" distR="0">
            <wp:extent cx="67055" cy="67055"/>
            <wp:effectExtent l="0" t="0" r="0" b="0"/>
            <wp:docPr id="204" name="IM 204"/>
            <wp:cNvGraphicFramePr/>
            <a:graphic>
              <a:graphicData uri="http://schemas.openxmlformats.org/drawingml/2006/picture">
                <pic:pic>
                  <pic:nvPicPr>
                    <pic:cNvPr id="204" name="IM 204"/>
                    <pic:cNvPicPr/>
                  </pic:nvPicPr>
                  <pic:blipFill>
                    <a:blip r:embed="rId93"/>
                    <a:stretch>
                      <a:fillRect/>
                    </a:stretch>
                  </pic:blipFill>
                  <pic:spPr>
                    <a:xfrm rot="0">
                      <a:off x="0" y="0"/>
                      <a:ext cx="67055" cy="67055"/>
                    </a:xfrm>
                    <a:prstGeom prst="rect">
                      <a:avLst/>
                    </a:prstGeom>
                  </pic:spPr>
                </pic:pic>
              </a:graphicData>
            </a:graphic>
          </wp:inline>
        </w:drawing>
      </w:r>
      <w:r>
        <w:rPr>
          <w:rFonts w:ascii="PMingLiU" w:hAnsi="PMingLiU" w:eastAsia="PMingLiU" w:cs="PMingLiU"/>
          <w:sz w:val="21"/>
          <w:szCs w:val="21"/>
          <w:spacing w:val="20"/>
          <w:w w:val="101"/>
          <w:position w:val="1"/>
        </w:rPr>
        <w:t xml:space="preserve"> </w:t>
      </w:r>
      <w:r>
        <w:rPr>
          <w:rFonts w:ascii="Microsoft YaHei" w:hAnsi="Microsoft YaHei" w:eastAsia="Microsoft YaHei" w:cs="Microsoft YaHei"/>
          <w:sz w:val="20"/>
          <w:szCs w:val="20"/>
          <w:spacing w:val="-1"/>
          <w:position w:val="-1"/>
        </w:rPr>
        <w:t>可再生能源（包括水力发电）</w:t>
      </w:r>
    </w:p>
    <w:p>
      <w:pPr>
        <w:ind w:left="343"/>
        <w:spacing w:before="280" w:line="197"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4"/>
        </w:rPr>
        <w:t>数据来源： </w:t>
      </w:r>
      <w:r>
        <w:rPr>
          <w:rFonts w:ascii="Microsoft YaHei" w:hAnsi="Microsoft YaHei" w:eastAsia="Microsoft YaHei" w:cs="Microsoft YaHei"/>
          <w:sz w:val="15"/>
          <w:szCs w:val="15"/>
        </w:rPr>
        <w:t>EIA</w:t>
      </w:r>
      <w:r>
        <w:rPr>
          <w:rFonts w:ascii="Microsoft YaHei" w:hAnsi="Microsoft YaHei" w:eastAsia="Microsoft YaHei" w:cs="Microsoft YaHei"/>
          <w:sz w:val="15"/>
          <w:szCs w:val="15"/>
          <w:spacing w:val="4"/>
        </w:rPr>
        <w:t>, </w:t>
      </w:r>
      <w:r>
        <w:rPr>
          <w:rFonts w:ascii="Microsoft YaHei" w:hAnsi="Microsoft YaHei" w:eastAsia="Microsoft YaHei" w:cs="Microsoft YaHei"/>
          <w:sz w:val="15"/>
          <w:szCs w:val="15"/>
        </w:rPr>
        <w:t>Statista</w:t>
      </w:r>
      <w:r>
        <w:rPr>
          <w:rFonts w:ascii="Microsoft YaHei" w:hAnsi="Microsoft YaHei" w:eastAsia="Microsoft YaHei" w:cs="Microsoft YaHei"/>
          <w:sz w:val="15"/>
          <w:szCs w:val="15"/>
          <w:spacing w:val="4"/>
        </w:rPr>
        <w:t>,</w:t>
      </w:r>
      <w:r>
        <w:rPr>
          <w:rFonts w:ascii="Microsoft YaHei" w:hAnsi="Microsoft YaHei" w:eastAsia="Microsoft YaHei" w:cs="Microsoft YaHei"/>
          <w:sz w:val="15"/>
          <w:szCs w:val="15"/>
          <w:spacing w:val="18"/>
        </w:rPr>
        <w:t xml:space="preserve"> </w:t>
      </w:r>
      <w:r>
        <w:rPr>
          <w:rFonts w:ascii="Microsoft YaHei" w:hAnsi="Microsoft YaHei" w:eastAsia="Microsoft YaHei" w:cs="Microsoft YaHei"/>
          <w:sz w:val="15"/>
          <w:szCs w:val="15"/>
          <w:spacing w:val="4"/>
        </w:rPr>
        <w:t>毕马威分析</w:t>
      </w:r>
    </w:p>
    <w:p>
      <w:pPr>
        <w:ind w:left="346" w:right="2997"/>
        <w:spacing w:before="302" w:line="21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从不同类型的可再生能源发电量分布来看</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4"/>
        </w:rPr>
        <w:t>，风能和太阳能</w:t>
      </w:r>
      <w:r>
        <w:rPr>
          <w:rFonts w:ascii="Microsoft YaHei" w:hAnsi="Microsoft YaHei" w:eastAsia="Microsoft YaHei" w:cs="Microsoft YaHei"/>
          <w:sz w:val="21"/>
          <w:szCs w:val="21"/>
          <w:spacing w:val="3"/>
        </w:rPr>
        <w:t>的快速发展将成为未来的主</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要驱动。据EIA预测，至2050年，风能和太阳能发电将占到可再生能源发电量的72%</w:t>
      </w:r>
      <w:r>
        <w:rPr>
          <w:rFonts w:ascii="Microsoft YaHei" w:hAnsi="Microsoft YaHei" w:eastAsia="Microsoft YaHei" w:cs="Microsoft YaHei"/>
          <w:sz w:val="21"/>
          <w:szCs w:val="21"/>
          <w:spacing w:val="-15"/>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较2020年占比提升近一倍。而传统的水</w:t>
      </w:r>
      <w:r>
        <w:rPr>
          <w:rFonts w:ascii="Microsoft YaHei" w:hAnsi="Microsoft YaHei" w:eastAsia="Microsoft YaHei" w:cs="Microsoft YaHei"/>
          <w:sz w:val="21"/>
          <w:szCs w:val="21"/>
          <w:spacing w:val="1"/>
        </w:rPr>
        <w:t>力发电在未来几十年间的发展则将趋于平稳</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占比由2020年的58%下降至2050年的</w:t>
      </w:r>
      <w:r>
        <w:rPr>
          <w:rFonts w:ascii="Microsoft YaHei" w:hAnsi="Microsoft YaHei" w:eastAsia="Microsoft YaHei" w:cs="Microsoft YaHei"/>
          <w:sz w:val="21"/>
          <w:szCs w:val="21"/>
          <w:spacing w:val="-3"/>
        </w:rPr>
        <w:t>24%（图</w:t>
      </w:r>
      <w:r>
        <w:rPr>
          <w:rFonts w:ascii="Microsoft YaHei" w:hAnsi="Microsoft YaHei" w:eastAsia="Microsoft YaHei" w:cs="Microsoft YaHei"/>
          <w:sz w:val="21"/>
          <w:szCs w:val="21"/>
          <w:spacing w:val="39"/>
        </w:rPr>
        <w:t xml:space="preserve"> </w:t>
      </w:r>
      <w:r>
        <w:rPr>
          <w:rFonts w:ascii="Microsoft YaHei" w:hAnsi="Microsoft YaHei" w:eastAsia="Microsoft YaHei" w:cs="Microsoft YaHei"/>
          <w:sz w:val="21"/>
          <w:szCs w:val="21"/>
          <w:spacing w:val="-3"/>
        </w:rPr>
        <w:t>7）。</w:t>
      </w:r>
      <w:r>
        <w:rPr>
          <w:rFonts w:ascii="Microsoft YaHei" w:hAnsi="Microsoft YaHei" w:eastAsia="Microsoft YaHei" w:cs="Microsoft YaHei"/>
          <w:sz w:val="21"/>
          <w:szCs w:val="21"/>
          <w:spacing w:val="19"/>
          <w:w w:val="101"/>
        </w:rPr>
        <w:t xml:space="preserve"> </w:t>
      </w:r>
      <w:r>
        <w:rPr>
          <w:rFonts w:ascii="Microsoft YaHei" w:hAnsi="Microsoft YaHei" w:eastAsia="Microsoft YaHei" w:cs="Microsoft YaHei"/>
          <w:sz w:val="21"/>
          <w:szCs w:val="21"/>
          <w:spacing w:val="-3"/>
        </w:rPr>
        <w:t>风能和太阳能等新能源所特有的</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间歇性和不稳定性将推动全球储能市场的快速发展。</w:t>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ict>
          <v:shape id="_x0000_s350" style="position:absolute;margin-left:17.0187pt;margin-top:4.54403pt;mso-position-vertical-relative:text;mso-position-horizontal-relative:text;width:81.3pt;height:0.5pt;z-index:251905024;" filled="false" strokecolor="#000000" strokeweight="0.50pt" coordsize="1626,10" coordorigin="0,0" path="m0,5l1625,5e">
            <v:stroke joinstyle="miter"/>
          </v:shape>
        </w:pict>
      </w:r>
      <w:r/>
    </w:p>
    <w:p>
      <w:pPr>
        <w:ind w:left="345"/>
        <w:spacing w:before="56" w:line="199"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2"/>
          <w:position w:val="4"/>
        </w:rPr>
        <w:t>15</w:t>
      </w:r>
      <w:r>
        <w:rPr>
          <w:rFonts w:ascii="Microsoft YaHei" w:hAnsi="Microsoft YaHei" w:eastAsia="Microsoft YaHei" w:cs="Microsoft YaHei"/>
          <w:sz w:val="9"/>
          <w:szCs w:val="9"/>
          <w:spacing w:val="30"/>
          <w:w w:val="102"/>
          <w:position w:val="4"/>
        </w:rPr>
        <w:t xml:space="preserve"> </w:t>
      </w:r>
      <w:r>
        <w:rPr>
          <w:rFonts w:ascii="Microsoft YaHei" w:hAnsi="Microsoft YaHei" w:eastAsia="Microsoft YaHei" w:cs="Microsoft YaHei"/>
          <w:sz w:val="13"/>
          <w:szCs w:val="13"/>
          <w:spacing w:val="-2"/>
        </w:rPr>
        <w:t>1TWh（太瓦时）</w:t>
      </w:r>
      <w:r>
        <w:rPr>
          <w:rFonts w:ascii="Microsoft YaHei" w:hAnsi="Microsoft YaHei" w:eastAsia="Microsoft YaHei" w:cs="Microsoft YaHei"/>
          <w:sz w:val="13"/>
          <w:szCs w:val="13"/>
          <w:spacing w:val="14"/>
          <w:w w:val="102"/>
        </w:rPr>
        <w:t xml:space="preserve"> </w:t>
      </w:r>
      <w:r>
        <w:rPr>
          <w:rFonts w:ascii="Microsoft YaHei" w:hAnsi="Microsoft YaHei" w:eastAsia="Microsoft YaHei" w:cs="Microsoft YaHei"/>
          <w:sz w:val="13"/>
          <w:szCs w:val="13"/>
          <w:spacing w:val="-2"/>
        </w:rPr>
        <w:t>=1,000GWh（吉瓦时）</w:t>
      </w:r>
      <w:r>
        <w:rPr>
          <w:rFonts w:ascii="Microsoft YaHei" w:hAnsi="Microsoft YaHei" w:eastAsia="Microsoft YaHei" w:cs="Microsoft YaHei"/>
          <w:sz w:val="13"/>
          <w:szCs w:val="13"/>
          <w:spacing w:val="14"/>
          <w:w w:val="101"/>
        </w:rPr>
        <w:t xml:space="preserve"> </w:t>
      </w:r>
      <w:r>
        <w:rPr>
          <w:rFonts w:ascii="Microsoft YaHei" w:hAnsi="Microsoft YaHei" w:eastAsia="Microsoft YaHei" w:cs="Microsoft YaHei"/>
          <w:sz w:val="13"/>
          <w:szCs w:val="13"/>
          <w:spacing w:val="-2"/>
        </w:rPr>
        <w:t>=10亿kWh</w:t>
      </w:r>
      <w:r>
        <w:rPr>
          <w:rFonts w:ascii="Microsoft YaHei" w:hAnsi="Microsoft YaHei" w:eastAsia="Microsoft YaHei" w:cs="Microsoft YaHei"/>
          <w:sz w:val="13"/>
          <w:szCs w:val="13"/>
          <w:spacing w:val="-16"/>
        </w:rPr>
        <w:t xml:space="preserve"> </w:t>
      </w:r>
      <w:r>
        <w:rPr>
          <w:rFonts w:ascii="Microsoft YaHei" w:hAnsi="Microsoft YaHei" w:eastAsia="Microsoft YaHei" w:cs="Microsoft YaHei"/>
          <w:sz w:val="13"/>
          <w:szCs w:val="13"/>
          <w:spacing w:val="-2"/>
        </w:rPr>
        <w:t>（千瓦时）</w:t>
      </w:r>
    </w:p>
    <w:p>
      <w:pPr>
        <w:ind w:left="840" w:right="1241" w:hanging="411"/>
        <w:spacing w:before="198"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965" w:header="0" w:footer="0" w:gutter="0"/>
        </w:sectPr>
        <w:rPr>
          <w:rFonts w:ascii="Microsoft YaHei" w:hAnsi="Microsoft YaHei" w:eastAsia="Microsoft YaHei" w:cs="Microsoft YaHei"/>
          <w:sz w:val="11"/>
          <w:szCs w:val="11"/>
        </w:rPr>
      </w:pPr>
    </w:p>
    <w:p>
      <w:pPr>
        <w:ind w:left="7674"/>
        <w:spacing w:before="314" w:line="193" w:lineRule="auto"/>
        <w:rPr>
          <w:rFonts w:ascii="Microsoft YaHei" w:hAnsi="Microsoft YaHei" w:eastAsia="Microsoft YaHei" w:cs="Microsoft YaHei"/>
          <w:sz w:val="18"/>
          <w:szCs w:val="18"/>
        </w:rPr>
      </w:pPr>
      <w:r>
        <w:pict>
          <v:rect id="_x0000_s352" style="position:absolute;margin-left:611.99pt;margin-top:0pt;mso-position-vertical-relative:page;mso-position-horizontal-relative:page;width:0.25pt;height:859pt;z-index:251939840;" o:allowincell="f" fillcolor="#000000" filled="true" stroked="false"/>
        </w:pict>
      </w:r>
      <w:r>
        <w:rPr>
          <w:rFonts w:ascii="Microsoft YaHei" w:hAnsi="Microsoft YaHei" w:eastAsia="Microsoft YaHei" w:cs="Microsoft YaHei"/>
          <w:sz w:val="18"/>
          <w:szCs w:val="18"/>
          <w:color w:val="A8A8A8"/>
          <w:spacing w:val="-1"/>
        </w:rPr>
        <w:t>新型储能助力能源转型</w:t>
      </w:r>
      <w:r>
        <w:rPr>
          <w:rFonts w:ascii="Microsoft YaHei" w:hAnsi="Microsoft YaHei" w:eastAsia="Microsoft YaHei" w:cs="Microsoft YaHei"/>
          <w:sz w:val="18"/>
          <w:szCs w:val="18"/>
          <w:color w:val="A8A8A8"/>
          <w:spacing w:val="25"/>
          <w:w w:val="101"/>
        </w:rPr>
        <w:t xml:space="preserve">  </w:t>
      </w:r>
      <w:r>
        <w:rPr>
          <w:sz w:val="18"/>
          <w:szCs w:val="18"/>
          <w:position w:val="-4"/>
        </w:rPr>
        <w:drawing>
          <wp:inline distT="0" distB="0" distL="0" distR="0">
            <wp:extent cx="6350" cy="130175"/>
            <wp:effectExtent l="0" t="0" r="0" b="0"/>
            <wp:docPr id="206" name="IM 206"/>
            <wp:cNvGraphicFramePr/>
            <a:graphic>
              <a:graphicData uri="http://schemas.openxmlformats.org/drawingml/2006/picture">
                <pic:pic>
                  <pic:nvPicPr>
                    <pic:cNvPr id="206" name="IM 206"/>
                    <pic:cNvPicPr/>
                  </pic:nvPicPr>
                  <pic:blipFill>
                    <a:blip r:embed="rId94"/>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spacing w:val="16"/>
          <w:w w:val="101"/>
        </w:rPr>
        <w:t xml:space="preserve">  </w:t>
      </w:r>
      <w:r>
        <w:rPr>
          <w:rFonts w:ascii="Microsoft YaHei" w:hAnsi="Microsoft YaHei" w:eastAsia="Microsoft YaHei" w:cs="Microsoft YaHei"/>
          <w:sz w:val="18"/>
          <w:szCs w:val="18"/>
          <w:b/>
          <w:bCs/>
          <w:color w:val="A8A8A8"/>
          <w:spacing w:val="-1"/>
        </w:rPr>
        <w:t>24</w:t>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ict>
          <v:rect id="_x0000_s354" style="position:absolute;margin-left:0.119995pt;margin-top:7.26282pt;mso-position-vertical-relative:text;mso-position-horizontal-relative:text;width:30.5pt;height:5pt;z-index:251944960;" fillcolor="#00B8F5" filled="true" stroked="false"/>
        </w:pict>
      </w:r>
      <w:r/>
    </w:p>
    <w:p>
      <w:pPr>
        <w:ind w:left="916"/>
        <w:spacing w:before="90" w:line="186" w:lineRule="auto"/>
        <w:rPr>
          <w:rFonts w:ascii="Microsoft YaHei" w:hAnsi="Microsoft YaHei" w:eastAsia="Microsoft YaHei" w:cs="Microsoft YaHei"/>
          <w:sz w:val="21"/>
          <w:szCs w:val="21"/>
        </w:rPr>
      </w:pPr>
      <w:r>
        <mc:AlternateContent xmlns:mc="http://schemas.openxmlformats.org/markup-compatibility/2006">
          <mc:Choice Requires="wps">
            <w:drawing>
              <wp:anchor distT="0" distB="0" distL="0" distR="0" simplePos="0" relativeHeight="251921408" behindDoc="1" locked="0" layoutInCell="1" allowOverlap="1">
                <wp:simplePos x="0" y="0"/>
                <wp:positionH relativeFrom="column">
                  <wp:posOffset>0</wp:posOffset>
                </wp:positionH>
                <wp:positionV relativeFrom="paragraph">
                  <wp:posOffset>-42324</wp:posOffset>
                </wp:positionV>
                <wp:extent cx="6123940" cy="332740"/>
                <wp:effectExtent l="0" t="0" r="0" b="0"/>
                <wp:wrapNone/>
                <wp:docPr id="208" name="Rect 208"/>
                <wp:cNvGraphicFramePr/>
                <a:graphic>
                  <a:graphicData uri="http://schemas.microsoft.com/office/word/2010/wordprocessingShape">
                    <wps:wsp>
                      <wps:cNvPr id="208" name="Rect 208"/>
                      <wps:cNvSpPr/>
                      <wps:spPr>
                        <a:xfrm>
                          <a:off x="0" y="-42324"/>
                          <a:ext cx="6123940" cy="332740"/>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356" style="position:absolute;margin-left:0pt;margin-top:-3.33265pt;mso-position-vertical-relative:text;mso-position-horizontal-relative:text;width:482.2pt;height:26.2pt;z-index:-251395072;" fillcolor="#F1F1F1" filled="true" stroked="false"/>
            </w:pict>
          </mc:Fallback>
        </mc:AlternateContent>
      </w:r>
      <w:r>
        <w:pict>
          <v:shape id="_x0000_s358" style="position:absolute;margin-left:7.00914pt;margin-top:1.66735pt;mso-position-vertical-relative:text;mso-position-horizontal-relative:text;width:31.5pt;height:18.2pt;z-index:251937792;" filled="false" stroked="false" type="#_x0000_t202">
            <v:fill on="false"/>
            <v:stroke on="false"/>
            <v:path/>
            <v:imagedata o:title=""/>
            <o:lock v:ext="edit" aspectratio="false"/>
            <v:textbox inset="0mm,0mm,0mm,0mm">
              <w:txbxContent>
                <w:p>
                  <w:pPr>
                    <w:ind w:left="20"/>
                    <w:spacing w:before="20" w:line="215" w:lineRule="auto"/>
                    <w:rPr>
                      <w:sz w:val="21"/>
                      <w:szCs w:val="21"/>
                    </w:rPr>
                  </w:pPr>
                  <w:r>
                    <w:rPr>
                      <w:rFonts w:ascii="Microsoft YaHei" w:hAnsi="Microsoft YaHei" w:eastAsia="Microsoft YaHei" w:cs="Microsoft YaHei"/>
                      <w:sz w:val="21"/>
                      <w:szCs w:val="21"/>
                      <w:b/>
                      <w:bCs/>
                      <w:color w:val="00B8F5"/>
                      <w:spacing w:val="-12"/>
                    </w:rPr>
                    <w:t>图 7</w:t>
                  </w:r>
                  <w:r>
                    <w:rPr>
                      <w:rFonts w:ascii="Microsoft YaHei" w:hAnsi="Microsoft YaHei" w:eastAsia="Microsoft YaHei" w:cs="Microsoft YaHei"/>
                      <w:sz w:val="21"/>
                      <w:szCs w:val="21"/>
                      <w:b/>
                      <w:bCs/>
                      <w:color w:val="00B8F5"/>
                      <w:spacing w:val="4"/>
                    </w:rPr>
                    <w:t xml:space="preserve">   </w:t>
                  </w:r>
                  <w:r>
                    <w:rPr>
                      <w:sz w:val="21"/>
                      <w:szCs w:val="21"/>
                      <w:position w:val="-5"/>
                    </w:rPr>
                    <w:drawing>
                      <wp:inline distT="0" distB="0" distL="0" distR="0">
                        <wp:extent cx="12700" cy="175666"/>
                        <wp:effectExtent l="0" t="0" r="0" b="0"/>
                        <wp:docPr id="210" name="IM 210"/>
                        <wp:cNvGraphicFramePr/>
                        <a:graphic>
                          <a:graphicData uri="http://schemas.openxmlformats.org/drawingml/2006/picture">
                            <pic:pic>
                              <pic:nvPicPr>
                                <pic:cNvPr id="210" name="IM 210"/>
                                <pic:cNvPicPr/>
                              </pic:nvPicPr>
                              <pic:blipFill>
                                <a:blip r:embed="rId95"/>
                                <a:stretch>
                                  <a:fillRect/>
                                </a:stretch>
                              </pic:blipFill>
                              <pic:spPr>
                                <a:xfrm rot="0">
                                  <a:off x="0" y="0"/>
                                  <a:ext cx="12700" cy="175666"/>
                                </a:xfrm>
                                <a:prstGeom prst="rect">
                                  <a:avLst/>
                                </a:prstGeom>
                              </pic:spPr>
                            </pic:pic>
                          </a:graphicData>
                        </a:graphic>
                      </wp:inline>
                    </w:drawing>
                  </w:r>
                </w:p>
              </w:txbxContent>
            </v:textbox>
          </v:shape>
        </w:pict>
      </w:r>
      <w:r>
        <w:rPr>
          <w:rFonts w:ascii="Microsoft YaHei" w:hAnsi="Microsoft YaHei" w:eastAsia="Microsoft YaHei" w:cs="Microsoft YaHei"/>
          <w:sz w:val="21"/>
          <w:szCs w:val="21"/>
          <w:b/>
          <w:bCs/>
          <w:color w:val="00B8F5"/>
          <w:spacing w:val="-5"/>
        </w:rPr>
        <w:t>全球可再生能源发电量预测，</w:t>
      </w:r>
      <w:r>
        <w:rPr>
          <w:rFonts w:ascii="Microsoft YaHei" w:hAnsi="Microsoft YaHei" w:eastAsia="Microsoft YaHei" w:cs="Microsoft YaHei"/>
          <w:sz w:val="21"/>
          <w:szCs w:val="21"/>
          <w:b/>
          <w:bCs/>
          <w:color w:val="00B8F5"/>
          <w:spacing w:val="-15"/>
        </w:rPr>
        <w:t xml:space="preserve"> </w:t>
      </w:r>
      <w:r>
        <w:rPr>
          <w:rFonts w:ascii="Microsoft YaHei" w:hAnsi="Microsoft YaHei" w:eastAsia="Microsoft YaHei" w:cs="Microsoft YaHei"/>
          <w:sz w:val="21"/>
          <w:szCs w:val="21"/>
          <w:b/>
          <w:bCs/>
          <w:color w:val="00B8F5"/>
          <w:spacing w:val="-5"/>
        </w:rPr>
        <w:t>1000TWh</w:t>
      </w:r>
    </w:p>
    <w:p>
      <w:pPr>
        <w:pStyle w:val="BodyText"/>
        <w:spacing w:line="474" w:lineRule="auto"/>
        <w:rPr/>
      </w:pPr>
      <w:r/>
    </w:p>
    <w:p>
      <w:pPr>
        <w:pStyle w:val="BodyText"/>
        <w:ind w:left="35"/>
        <w:spacing w:before="61" w:line="195" w:lineRule="auto"/>
        <w:outlineLvl w:val="0"/>
        <w:rPr/>
      </w:pPr>
      <w:r>
        <w:pict>
          <v:shape id="_x0000_s360" style="position:absolute;margin-left:21.825pt;margin-top:7.24425pt;mso-position-vertical-relative:text;mso-position-horizontal-relative:text;width:0.75pt;height:141.6pt;z-index:-251394048;" filled="false" strokecolor="#000000" strokeweight="0.75pt" coordsize="15,2832" coordorigin="0,0" path="m7,2831l7,0e">
            <v:stroke miterlimit="10"/>
          </v:shape>
        </w:pict>
      </w:r>
      <w:r>
        <w:rPr>
          <w:spacing w:val="-4"/>
        </w:rPr>
        <w:t>25</w:t>
      </w:r>
      <w:r>
        <w:rPr>
          <w:spacing w:val="1"/>
        </w:rPr>
        <w:t xml:space="preserve">  </w:t>
      </w:r>
      <w:r>
        <w:rPr>
          <w:position w:val="6"/>
        </w:rPr>
        <w:drawing>
          <wp:inline distT="0" distB="0" distL="0" distR="0">
            <wp:extent cx="39624" cy="9525"/>
            <wp:effectExtent l="0" t="0" r="0" b="0"/>
            <wp:docPr id="212" name="IM 212"/>
            <wp:cNvGraphicFramePr/>
            <a:graphic>
              <a:graphicData uri="http://schemas.openxmlformats.org/drawingml/2006/picture">
                <pic:pic>
                  <pic:nvPicPr>
                    <pic:cNvPr id="212" name="IM 212"/>
                    <pic:cNvPicPr/>
                  </pic:nvPicPr>
                  <pic:blipFill>
                    <a:blip r:embed="rId96"/>
                    <a:stretch>
                      <a:fillRect/>
                    </a:stretch>
                  </pic:blipFill>
                  <pic:spPr>
                    <a:xfrm rot="0">
                      <a:off x="0" y="0"/>
                      <a:ext cx="39624" cy="9525"/>
                    </a:xfrm>
                    <a:prstGeom prst="rect">
                      <a:avLst/>
                    </a:prstGeom>
                  </pic:spPr>
                </pic:pic>
              </a:graphicData>
            </a:graphic>
          </wp:inline>
        </w:drawing>
      </w:r>
    </w:p>
    <w:p>
      <w:pPr>
        <w:pStyle w:val="BodyText"/>
        <w:spacing w:line="307" w:lineRule="auto"/>
        <w:rPr/>
      </w:pPr>
      <w:r>
        <w:drawing>
          <wp:anchor distT="0" distB="0" distL="0" distR="0" simplePos="0" relativeHeight="251923456" behindDoc="1" locked="0" layoutInCell="1" allowOverlap="1">
            <wp:simplePos x="0" y="0"/>
            <wp:positionH relativeFrom="column">
              <wp:posOffset>490727</wp:posOffset>
            </wp:positionH>
            <wp:positionV relativeFrom="paragraph">
              <wp:posOffset>106936</wp:posOffset>
            </wp:positionV>
            <wp:extent cx="5401055" cy="1618488"/>
            <wp:effectExtent l="0" t="0" r="0" b="0"/>
            <wp:wrapNone/>
            <wp:docPr id="214" name="IM 214"/>
            <wp:cNvGraphicFramePr/>
            <a:graphic>
              <a:graphicData uri="http://schemas.openxmlformats.org/drawingml/2006/picture">
                <pic:pic>
                  <pic:nvPicPr>
                    <pic:cNvPr id="214" name="IM 214"/>
                    <pic:cNvPicPr/>
                  </pic:nvPicPr>
                  <pic:blipFill>
                    <a:blip r:embed="rId97"/>
                    <a:stretch>
                      <a:fillRect/>
                    </a:stretch>
                  </pic:blipFill>
                  <pic:spPr>
                    <a:xfrm rot="0">
                      <a:off x="0" y="0"/>
                      <a:ext cx="5401055" cy="1618488"/>
                    </a:xfrm>
                    <a:prstGeom prst="rect">
                      <a:avLst/>
                    </a:prstGeom>
                  </pic:spPr>
                </pic:pic>
              </a:graphicData>
            </a:graphic>
          </wp:anchor>
        </w:drawing>
      </w:r>
      <w:r/>
    </w:p>
    <w:p>
      <w:pPr>
        <w:pStyle w:val="BodyText"/>
        <w:ind w:left="35"/>
        <w:spacing w:before="61" w:line="195" w:lineRule="auto"/>
        <w:rPr/>
      </w:pPr>
      <w:r>
        <w:rPr>
          <w:spacing w:val="-4"/>
        </w:rPr>
        <w:t>20</w:t>
      </w:r>
      <w:r>
        <w:rPr>
          <w:spacing w:val="1"/>
        </w:rPr>
        <w:t xml:space="preserve">  </w:t>
      </w:r>
      <w:r>
        <w:rPr>
          <w:position w:val="6"/>
        </w:rPr>
        <w:drawing>
          <wp:inline distT="0" distB="0" distL="0" distR="0">
            <wp:extent cx="39624" cy="9525"/>
            <wp:effectExtent l="0" t="0" r="0" b="0"/>
            <wp:docPr id="216" name="IM 216"/>
            <wp:cNvGraphicFramePr/>
            <a:graphic>
              <a:graphicData uri="http://schemas.openxmlformats.org/drawingml/2006/picture">
                <pic:pic>
                  <pic:nvPicPr>
                    <pic:cNvPr id="216" name="IM 216"/>
                    <pic:cNvPicPr/>
                  </pic:nvPicPr>
                  <pic:blipFill>
                    <a:blip r:embed="rId98"/>
                    <a:stretch>
                      <a:fillRect/>
                    </a:stretch>
                  </pic:blipFill>
                  <pic:spPr>
                    <a:xfrm rot="0">
                      <a:off x="0" y="0"/>
                      <a:ext cx="39624" cy="9525"/>
                    </a:xfrm>
                    <a:prstGeom prst="rect">
                      <a:avLst/>
                    </a:prstGeom>
                  </pic:spPr>
                </pic:pic>
              </a:graphicData>
            </a:graphic>
          </wp:inline>
        </w:drawing>
      </w:r>
    </w:p>
    <w:p>
      <w:pPr>
        <w:pStyle w:val="BodyText"/>
        <w:spacing w:line="307" w:lineRule="auto"/>
        <w:rPr/>
      </w:pPr>
      <w:r/>
    </w:p>
    <w:p>
      <w:pPr>
        <w:pStyle w:val="BodyText"/>
        <w:ind w:left="52"/>
        <w:spacing w:before="61" w:line="195" w:lineRule="auto"/>
        <w:rPr/>
      </w:pPr>
      <w:r>
        <w:rPr>
          <w:spacing w:val="-13"/>
        </w:rPr>
        <w:t>15</w:t>
      </w:r>
      <w:r>
        <w:rPr>
          <w:spacing w:val="1"/>
        </w:rPr>
        <w:t xml:space="preserve">  </w:t>
      </w:r>
      <w:r>
        <w:rPr>
          <w:position w:val="6"/>
        </w:rPr>
        <w:drawing>
          <wp:inline distT="0" distB="0" distL="0" distR="0">
            <wp:extent cx="39624" cy="9525"/>
            <wp:effectExtent l="0" t="0" r="0" b="0"/>
            <wp:docPr id="218" name="IM 218"/>
            <wp:cNvGraphicFramePr/>
            <a:graphic>
              <a:graphicData uri="http://schemas.openxmlformats.org/drawingml/2006/picture">
                <pic:pic>
                  <pic:nvPicPr>
                    <pic:cNvPr id="218" name="IM 218"/>
                    <pic:cNvPicPr/>
                  </pic:nvPicPr>
                  <pic:blipFill>
                    <a:blip r:embed="rId99"/>
                    <a:stretch>
                      <a:fillRect/>
                    </a:stretch>
                  </pic:blipFill>
                  <pic:spPr>
                    <a:xfrm rot="0">
                      <a:off x="0" y="0"/>
                      <a:ext cx="39624" cy="9525"/>
                    </a:xfrm>
                    <a:prstGeom prst="rect">
                      <a:avLst/>
                    </a:prstGeom>
                  </pic:spPr>
                </pic:pic>
              </a:graphicData>
            </a:graphic>
          </wp:inline>
        </w:drawing>
      </w:r>
    </w:p>
    <w:p>
      <w:pPr>
        <w:pStyle w:val="BodyText"/>
        <w:spacing w:line="307" w:lineRule="auto"/>
        <w:rPr/>
      </w:pPr>
      <w:r/>
    </w:p>
    <w:p>
      <w:pPr>
        <w:pStyle w:val="BodyText"/>
        <w:ind w:left="52"/>
        <w:spacing w:before="61" w:line="195" w:lineRule="auto"/>
        <w:rPr/>
      </w:pPr>
      <w:r>
        <w:rPr>
          <w:spacing w:val="-13"/>
        </w:rPr>
        <w:t>10</w:t>
      </w:r>
      <w:r>
        <w:rPr>
          <w:spacing w:val="1"/>
        </w:rPr>
        <w:t xml:space="preserve">  </w:t>
      </w:r>
      <w:r>
        <w:rPr>
          <w:position w:val="6"/>
        </w:rPr>
        <w:drawing>
          <wp:inline distT="0" distB="0" distL="0" distR="0">
            <wp:extent cx="39624" cy="9525"/>
            <wp:effectExtent l="0" t="0" r="0" b="0"/>
            <wp:docPr id="220" name="IM 220"/>
            <wp:cNvGraphicFramePr/>
            <a:graphic>
              <a:graphicData uri="http://schemas.openxmlformats.org/drawingml/2006/picture">
                <pic:pic>
                  <pic:nvPicPr>
                    <pic:cNvPr id="220" name="IM 220"/>
                    <pic:cNvPicPr/>
                  </pic:nvPicPr>
                  <pic:blipFill>
                    <a:blip r:embed="rId100"/>
                    <a:stretch>
                      <a:fillRect/>
                    </a:stretch>
                  </pic:blipFill>
                  <pic:spPr>
                    <a:xfrm rot="0">
                      <a:off x="0" y="0"/>
                      <a:ext cx="39624" cy="9525"/>
                    </a:xfrm>
                    <a:prstGeom prst="rect">
                      <a:avLst/>
                    </a:prstGeom>
                  </pic:spPr>
                </pic:pic>
              </a:graphicData>
            </a:graphic>
          </wp:inline>
        </w:drawing>
      </w:r>
    </w:p>
    <w:p>
      <w:pPr>
        <w:pStyle w:val="BodyText"/>
        <w:spacing w:line="310" w:lineRule="auto"/>
        <w:rPr/>
      </w:pPr>
      <w:r/>
    </w:p>
    <w:p>
      <w:pPr>
        <w:pStyle w:val="BodyText"/>
        <w:ind w:left="155"/>
        <w:spacing w:before="61" w:line="192" w:lineRule="auto"/>
        <w:rPr/>
      </w:pPr>
      <w:r>
        <w:rPr>
          <w:spacing w:val="-9"/>
        </w:rPr>
        <w:t>5</w:t>
      </w:r>
      <w:r>
        <w:rPr/>
        <w:t xml:space="preserve">  </w:t>
      </w:r>
      <w:r>
        <w:rPr>
          <w:position w:val="5"/>
        </w:rPr>
        <w:drawing>
          <wp:inline distT="0" distB="0" distL="0" distR="0">
            <wp:extent cx="39624" cy="9525"/>
            <wp:effectExtent l="0" t="0" r="0" b="0"/>
            <wp:docPr id="222" name="IM 222"/>
            <wp:cNvGraphicFramePr/>
            <a:graphic>
              <a:graphicData uri="http://schemas.openxmlformats.org/drawingml/2006/picture">
                <pic:pic>
                  <pic:nvPicPr>
                    <pic:cNvPr id="222" name="IM 222"/>
                    <pic:cNvPicPr/>
                  </pic:nvPicPr>
                  <pic:blipFill>
                    <a:blip r:embed="rId101"/>
                    <a:stretch>
                      <a:fillRect/>
                    </a:stretch>
                  </pic:blipFill>
                  <pic:spPr>
                    <a:xfrm rot="0">
                      <a:off x="0" y="0"/>
                      <a:ext cx="39624" cy="9525"/>
                    </a:xfrm>
                    <a:prstGeom prst="rect">
                      <a:avLst/>
                    </a:prstGeom>
                  </pic:spPr>
                </pic:pic>
              </a:graphicData>
            </a:graphic>
          </wp:inline>
        </w:drawing>
      </w:r>
    </w:p>
    <w:p>
      <w:pPr>
        <w:pStyle w:val="BodyText"/>
        <w:spacing w:line="307" w:lineRule="auto"/>
        <w:rPr/>
      </w:pPr>
      <w:r/>
    </w:p>
    <w:p>
      <w:pPr>
        <w:pStyle w:val="BodyText"/>
        <w:ind w:left="155"/>
        <w:spacing w:before="61" w:line="195" w:lineRule="auto"/>
        <w:rPr/>
      </w:pPr>
      <w:r>
        <w:pict>
          <v:group id="_x0000_s362" style="position:absolute;margin-left:22.2pt;margin-top:-125.79pt;mso-position-vertical-relative:text;mso-position-horizontal-relative:text;width:458.55pt;height:136.25pt;z-index:-251392000;" filled="false" stroked="false" coordsize="9170,2725" coordorigin="0,0">
            <v:shape id="_x0000_s364" style="position:absolute;left:0;top:2654;width:9170;height:70;" filled="false" strokecolor="#000000" strokeweight="0.75pt" coordsize="9170,70" coordorigin="0,0" path="m0,7l9163,7m1310,7l1310,69m2616,7l2616,69m3926,7l3926,69m5236,7l5236,69m6547,7l6547,69m7852,7l7852,69m9163,7l9163,69e">
              <v:stroke miterlimit="10"/>
            </v:shape>
            <v:shape id="_x0000_s366" style="position:absolute;left:6861;top:297;width:678;height:121;" filled="false" stroked="false" type="#_x0000_t75">
              <v:imagedata o:title="" r:id="rId102"/>
            </v:shape>
            <v:shape id="_x0000_s368" style="position:absolute;left:8171;top:0;width:663;height:121;" filled="false" stroked="false" type="#_x0000_t75">
              <v:imagedata o:title="" r:id="rId103"/>
            </v:shape>
            <v:shape id="_x0000_s370" style="position:absolute;left:5555;top:618;width:673;height:111;" filled="false" stroked="false" type="#_x0000_t75">
              <v:imagedata o:title="" r:id="rId104"/>
            </v:shape>
            <v:shape id="_x0000_s372" style="position:absolute;left:4245;top:921;width:673;height:101;" filled="false" stroked="false" type="#_x0000_t75">
              <v:imagedata o:title="" r:id="rId105"/>
            </v:shape>
            <v:shape id="_x0000_s374" style="position:absolute;left:2934;top:1204;width:673;height:88;" filled="false" stroked="false" type="#_x0000_t75">
              <v:imagedata o:title="" r:id="rId106"/>
            </v:shape>
            <v:shape id="_x0000_s376" style="position:absolute;left:1624;top:1497;width:678;height:73;" filled="false" stroked="false" type="#_x0000_t75">
              <v:imagedata o:title="" r:id="rId107"/>
            </v:shape>
            <v:shape id="_x0000_s378" style="position:absolute;left:328;top:1857;width:663;height:54;" filled="false" stroked="false" type="#_x0000_t75">
              <v:imagedata o:title="" r:id="rId108"/>
            </v:shape>
          </v:group>
        </w:pict>
      </w:r>
      <w:r>
        <w:rPr>
          <w:spacing w:val="-9"/>
        </w:rPr>
        <w:t>0</w:t>
      </w:r>
      <w:r>
        <w:rPr/>
        <w:t xml:space="preserve">  </w:t>
      </w:r>
      <w:r>
        <w:rPr/>
        <w:drawing>
          <wp:inline distT="0" distB="0" distL="0" distR="0">
            <wp:extent cx="44386" cy="44386"/>
            <wp:effectExtent l="0" t="0" r="0" b="0"/>
            <wp:docPr id="224" name="IM 224"/>
            <wp:cNvGraphicFramePr/>
            <a:graphic>
              <a:graphicData uri="http://schemas.openxmlformats.org/drawingml/2006/picture">
                <pic:pic>
                  <pic:nvPicPr>
                    <pic:cNvPr id="224" name="IM 224"/>
                    <pic:cNvPicPr/>
                  </pic:nvPicPr>
                  <pic:blipFill>
                    <a:blip r:embed="rId109"/>
                    <a:stretch>
                      <a:fillRect/>
                    </a:stretch>
                  </pic:blipFill>
                  <pic:spPr>
                    <a:xfrm rot="0">
                      <a:off x="0" y="0"/>
                      <a:ext cx="44386" cy="44386"/>
                    </a:xfrm>
                    <a:prstGeom prst="rect">
                      <a:avLst/>
                    </a:prstGeom>
                  </pic:spPr>
                </pic:pic>
              </a:graphicData>
            </a:graphic>
          </wp:inline>
        </w:drawing>
      </w:r>
    </w:p>
    <w:p>
      <w:pPr>
        <w:pStyle w:val="BodyText"/>
        <w:ind w:left="870"/>
        <w:spacing w:before="53" w:line="195" w:lineRule="auto"/>
        <w:rPr/>
      </w:pPr>
      <w:r>
        <w:rPr>
          <w:spacing w:val="-2"/>
        </w:rPr>
        <w:t>2020</w:t>
      </w:r>
      <w:r>
        <w:rPr>
          <w:spacing w:val="3"/>
        </w:rPr>
        <w:t xml:space="preserve">              </w:t>
      </w:r>
      <w:r>
        <w:rPr>
          <w:spacing w:val="-2"/>
        </w:rPr>
        <w:t>2025</w:t>
      </w:r>
      <w:r>
        <w:rPr>
          <w:spacing w:val="2"/>
        </w:rPr>
        <w:t xml:space="preserve">              </w:t>
      </w:r>
      <w:r>
        <w:rPr>
          <w:spacing w:val="-2"/>
        </w:rPr>
        <w:t>2030</w:t>
      </w:r>
      <w:r>
        <w:rPr>
          <w:spacing w:val="2"/>
        </w:rPr>
        <w:t xml:space="preserve">              </w:t>
      </w:r>
      <w:r>
        <w:rPr>
          <w:spacing w:val="-2"/>
        </w:rPr>
        <w:t>2035</w:t>
      </w:r>
      <w:r>
        <w:rPr>
          <w:spacing w:val="2"/>
        </w:rPr>
        <w:t xml:space="preserve">              </w:t>
      </w:r>
      <w:r>
        <w:rPr>
          <w:spacing w:val="-2"/>
        </w:rPr>
        <w:t>2040</w:t>
      </w:r>
      <w:r>
        <w:rPr>
          <w:spacing w:val="3"/>
        </w:rPr>
        <w:t xml:space="preserve">              </w:t>
      </w:r>
      <w:r>
        <w:rPr>
          <w:spacing w:val="-2"/>
        </w:rPr>
        <w:t>2045</w:t>
      </w:r>
      <w:r>
        <w:rPr>
          <w:spacing w:val="2"/>
        </w:rPr>
        <w:t xml:space="preserve">              </w:t>
      </w:r>
      <w:r>
        <w:rPr>
          <w:spacing w:val="-2"/>
        </w:rPr>
        <w:t>2050</w:t>
      </w:r>
    </w:p>
    <w:p>
      <w:pPr>
        <w:pStyle w:val="BodyText"/>
        <w:ind w:left="1267"/>
        <w:spacing w:before="246" w:line="204" w:lineRule="auto"/>
        <w:rPr>
          <w:rFonts w:ascii="PMingLiU" w:hAnsi="PMingLiU" w:eastAsia="PMingLiU" w:cs="PMingLiU"/>
        </w:rPr>
      </w:pPr>
      <w:r>
        <w:rPr>
          <w:color w:val="00338D"/>
          <w:spacing w:val="-1"/>
          <w:position w:val="2"/>
        </w:rPr>
        <w:t>u</w:t>
      </w:r>
      <w:r>
        <w:rPr>
          <w:color w:val="00338D"/>
          <w:spacing w:val="-1"/>
          <w:position w:val="2"/>
        </w:rPr>
        <w:t xml:space="preserve"> </w:t>
      </w:r>
      <w:r>
        <w:rPr>
          <w:rFonts w:ascii="PMingLiU" w:hAnsi="PMingLiU" w:eastAsia="PMingLiU" w:cs="PMingLiU"/>
          <w:spacing w:val="-1"/>
        </w:rPr>
        <w:t>水能                  </w:t>
      </w:r>
      <w:r>
        <w:rPr>
          <w:color w:val="00B8F5"/>
          <w:spacing w:val="-1"/>
          <w:position w:val="2"/>
        </w:rPr>
        <w:t>u</w:t>
      </w:r>
      <w:r>
        <w:rPr>
          <w:color w:val="00B8F5"/>
          <w:spacing w:val="-2"/>
          <w:position w:val="2"/>
        </w:rPr>
        <w:t xml:space="preserve"> </w:t>
      </w:r>
      <w:r>
        <w:rPr>
          <w:rFonts w:ascii="PMingLiU" w:hAnsi="PMingLiU" w:eastAsia="PMingLiU" w:cs="PMingLiU"/>
          <w:spacing w:val="-2"/>
        </w:rPr>
        <w:t>风能                  </w:t>
      </w:r>
      <w:r>
        <w:rPr>
          <w:color w:val="00C0AE"/>
          <w:spacing w:val="-2"/>
          <w:position w:val="2"/>
        </w:rPr>
        <w:t>u</w:t>
      </w:r>
      <w:r>
        <w:rPr>
          <w:color w:val="00C0AE"/>
          <w:spacing w:val="-2"/>
          <w:position w:val="2"/>
        </w:rPr>
        <w:t xml:space="preserve"> </w:t>
      </w:r>
      <w:r>
        <w:rPr>
          <w:rFonts w:ascii="PMingLiU" w:hAnsi="PMingLiU" w:eastAsia="PMingLiU" w:cs="PMingLiU"/>
          <w:spacing w:val="-2"/>
        </w:rPr>
        <w:t>太阳能                  </w:t>
      </w:r>
      <w:r>
        <w:rPr>
          <w:color w:val="FD349C"/>
          <w:spacing w:val="-2"/>
          <w:position w:val="2"/>
        </w:rPr>
        <w:t>u</w:t>
      </w:r>
      <w:r>
        <w:rPr>
          <w:color w:val="FD349C"/>
          <w:spacing w:val="-2"/>
          <w:position w:val="2"/>
        </w:rPr>
        <w:t xml:space="preserve"> </w:t>
      </w:r>
      <w:r>
        <w:rPr>
          <w:rFonts w:ascii="PMingLiU" w:hAnsi="PMingLiU" w:eastAsia="PMingLiU" w:cs="PMingLiU"/>
          <w:spacing w:val="-2"/>
        </w:rPr>
        <w:t>地热                  </w:t>
      </w:r>
      <w:r>
        <w:rPr>
          <w:color w:val="DADADA"/>
          <w:spacing w:val="-2"/>
          <w:position w:val="2"/>
        </w:rPr>
        <w:t>a</w:t>
      </w:r>
      <w:r>
        <w:rPr>
          <w:color w:val="DADADA"/>
          <w:spacing w:val="-2"/>
          <w:position w:val="2"/>
        </w:rPr>
        <w:t xml:space="preserve"> </w:t>
      </w:r>
      <w:r>
        <w:rPr>
          <w:rFonts w:ascii="PMingLiU" w:hAnsi="PMingLiU" w:eastAsia="PMingLiU" w:cs="PMingLiU"/>
          <w:spacing w:val="-2"/>
        </w:rPr>
        <w:t>其他</w:t>
      </w:r>
    </w:p>
    <w:p>
      <w:pPr>
        <w:ind w:left="8"/>
        <w:spacing w:before="239" w:line="197"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2"/>
        </w:rPr>
        <w:t>数据来源： </w:t>
      </w:r>
      <w:r>
        <w:rPr>
          <w:rFonts w:ascii="Microsoft YaHei" w:hAnsi="Microsoft YaHei" w:eastAsia="Microsoft YaHei" w:cs="Microsoft YaHei"/>
          <w:sz w:val="15"/>
          <w:szCs w:val="15"/>
        </w:rPr>
        <w:t>EIA</w:t>
      </w:r>
      <w:r>
        <w:rPr>
          <w:rFonts w:ascii="Microsoft YaHei" w:hAnsi="Microsoft YaHei" w:eastAsia="Microsoft YaHei" w:cs="Microsoft YaHei"/>
          <w:sz w:val="15"/>
          <w:szCs w:val="15"/>
          <w:spacing w:val="2"/>
        </w:rPr>
        <w:t>,</w:t>
      </w:r>
      <w:r>
        <w:rPr>
          <w:rFonts w:ascii="Microsoft YaHei" w:hAnsi="Microsoft YaHei" w:eastAsia="Microsoft YaHei" w:cs="Microsoft YaHei"/>
          <w:sz w:val="15"/>
          <w:szCs w:val="15"/>
          <w:spacing w:val="21"/>
          <w:w w:val="101"/>
        </w:rPr>
        <w:t xml:space="preserve"> </w:t>
      </w:r>
      <w:r>
        <w:rPr>
          <w:rFonts w:ascii="Microsoft YaHei" w:hAnsi="Microsoft YaHei" w:eastAsia="Microsoft YaHei" w:cs="Microsoft YaHei"/>
          <w:sz w:val="15"/>
          <w:szCs w:val="15"/>
          <w:spacing w:val="2"/>
        </w:rPr>
        <w:t>毕马威分析</w:t>
      </w:r>
    </w:p>
    <w:p>
      <w:pPr>
        <w:pStyle w:val="BodyText"/>
        <w:spacing w:line="280" w:lineRule="auto"/>
        <w:rPr/>
      </w:pPr>
      <w:r/>
    </w:p>
    <w:p>
      <w:pPr>
        <w:pStyle w:val="BodyText"/>
        <w:spacing w:line="280" w:lineRule="auto"/>
        <w:rPr/>
      </w:pPr>
      <w:r/>
    </w:p>
    <w:p>
      <w:pPr>
        <w:pStyle w:val="BodyText"/>
        <w:spacing w:line="281" w:lineRule="auto"/>
        <w:rPr/>
      </w:pPr>
      <w:r/>
    </w:p>
    <w:p>
      <w:pPr>
        <w:ind w:left="10" w:right="3003" w:firstLine="19"/>
        <w:spacing w:before="91" w:line="212"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8"/>
        </w:rPr>
        <w:t>电化学储能作为新型储能方式的代表,</w:t>
      </w:r>
      <w:r>
        <w:rPr>
          <w:rFonts w:ascii="Microsoft YaHei" w:hAnsi="Microsoft YaHei" w:eastAsia="Microsoft YaHei" w:cs="Microsoft YaHei"/>
          <w:sz w:val="21"/>
          <w:szCs w:val="21"/>
          <w:spacing w:val="6"/>
        </w:rPr>
        <w:t xml:space="preserve">  </w:t>
      </w:r>
      <w:r>
        <w:rPr>
          <w:rFonts w:ascii="Microsoft YaHei" w:hAnsi="Microsoft YaHei" w:eastAsia="Microsoft YaHei" w:cs="Microsoft YaHei"/>
          <w:sz w:val="21"/>
          <w:szCs w:val="21"/>
          <w:spacing w:val="8"/>
        </w:rPr>
        <w:t>未来发展前景尤为广阔。据</w:t>
      </w:r>
      <w:r>
        <w:rPr>
          <w:rFonts w:ascii="Microsoft YaHei" w:hAnsi="Microsoft YaHei" w:eastAsia="Microsoft YaHei" w:cs="Microsoft YaHei"/>
          <w:sz w:val="21"/>
          <w:szCs w:val="21"/>
        </w:rPr>
        <w:t>CNESA</w:t>
      </w:r>
      <w:r>
        <w:rPr>
          <w:rFonts w:ascii="Microsoft YaHei" w:hAnsi="Microsoft YaHei" w:eastAsia="Microsoft YaHei" w:cs="Microsoft YaHei"/>
          <w:sz w:val="21"/>
          <w:szCs w:val="21"/>
          <w:spacing w:val="8"/>
        </w:rPr>
        <w:t>预测</w:t>
      </w:r>
      <w:r>
        <w:rPr>
          <w:rFonts w:ascii="Microsoft YaHei" w:hAnsi="Microsoft YaHei" w:eastAsia="Microsoft YaHei" w:cs="Microsoft YaHei"/>
          <w:sz w:val="21"/>
          <w:szCs w:val="21"/>
          <w:spacing w:val="-23"/>
        </w:rPr>
        <w:t xml:space="preserve"> </w:t>
      </w:r>
      <w:r>
        <w:rPr>
          <w:rFonts w:ascii="Microsoft YaHei" w:hAnsi="Microsoft YaHei" w:eastAsia="Microsoft YaHei" w:cs="Microsoft YaHei"/>
          <w:sz w:val="21"/>
          <w:szCs w:val="21"/>
          <w:spacing w:val="8"/>
        </w:rPr>
        <w:t>，至</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2027年，全球电化学储能产业装机规模将达1,138.9GWh,   2021-27年间复合增长率达</w:t>
      </w:r>
      <w:r>
        <w:rPr>
          <w:rFonts w:ascii="Microsoft YaHei" w:hAnsi="Microsoft YaHei" w:eastAsia="Microsoft YaHei" w:cs="Microsoft YaHei"/>
          <w:sz w:val="21"/>
          <w:szCs w:val="21"/>
          <w:spacing w:val="4"/>
        </w:rPr>
        <w:t xml:space="preserve"> </w:t>
      </w:r>
      <w:r>
        <w:rPr>
          <w:rFonts w:ascii="Microsoft YaHei" w:hAnsi="Microsoft YaHei" w:eastAsia="Microsoft YaHei" w:cs="Microsoft YaHei"/>
          <w:sz w:val="21"/>
          <w:szCs w:val="21"/>
          <w:spacing w:val="-2"/>
        </w:rPr>
        <w:t>61%（图 8</w:t>
      </w:r>
      <w:r>
        <w:rPr>
          <w:rFonts w:ascii="Microsoft YaHei" w:hAnsi="Microsoft YaHei" w:eastAsia="Microsoft YaHei" w:cs="Microsoft YaHei"/>
          <w:sz w:val="21"/>
          <w:szCs w:val="21"/>
          <w:spacing w:val="5"/>
        </w:rPr>
        <w:t>），</w:t>
      </w:r>
      <w:r>
        <w:rPr>
          <w:rFonts w:ascii="Microsoft YaHei" w:hAnsi="Microsoft YaHei" w:eastAsia="Microsoft YaHei" w:cs="Microsoft YaHei"/>
          <w:sz w:val="21"/>
          <w:szCs w:val="21"/>
          <w:spacing w:val="-2"/>
        </w:rPr>
        <w:t>约为未来储能总装机容量31%</w:t>
      </w:r>
      <w:r>
        <w:rPr>
          <w:rFonts w:ascii="Microsoft YaHei" w:hAnsi="Microsoft YaHei" w:eastAsia="Microsoft YaHei" w:cs="Microsoft YaHei"/>
          <w:sz w:val="13"/>
          <w:szCs w:val="13"/>
          <w:spacing w:val="-2"/>
          <w:position w:val="6"/>
        </w:rPr>
        <w:t>16</w:t>
      </w:r>
      <w:r>
        <w:rPr>
          <w:rFonts w:ascii="Microsoft YaHei" w:hAnsi="Microsoft YaHei" w:eastAsia="Microsoft YaHei" w:cs="Microsoft YaHei"/>
          <w:sz w:val="13"/>
          <w:szCs w:val="13"/>
          <w:spacing w:val="-19"/>
          <w:position w:val="6"/>
        </w:rPr>
        <w:t xml:space="preserve"> </w:t>
      </w:r>
      <w:r>
        <w:rPr>
          <w:rFonts w:ascii="Microsoft YaHei" w:hAnsi="Microsoft YaHei" w:eastAsia="Microsoft YaHei" w:cs="Microsoft YaHei"/>
          <w:sz w:val="21"/>
          <w:szCs w:val="21"/>
          <w:spacing w:val="-2"/>
        </w:rPr>
        <w:t>的年复合增长率的一倍。</w:t>
      </w:r>
    </w:p>
    <w:p>
      <w:pPr>
        <w:pStyle w:val="BodyText"/>
        <w:spacing w:line="296" w:lineRule="auto"/>
        <w:rPr/>
      </w:pPr>
      <w:r/>
    </w:p>
    <w:p>
      <w:pPr>
        <w:spacing w:before="1" w:line="590" w:lineRule="exact"/>
        <w:rPr/>
      </w:pPr>
      <w:r>
        <w:rPr>
          <w:position w:val="-11"/>
        </w:rPr>
        <w:pict>
          <v:group id="_x0000_s380" style="mso-position-vertical-relative:line;mso-position-horizontal-relative:char;width:482.2pt;height:29.5pt;" filled="false" stroked="false" coordsize="9644,590" coordorigin="0,0">
            <v:group id="_x0000_s382" style="position:absolute;left:0;top:0;width:9644;height:590;" filled="false" stroked="false" coordsize="9644,590" coordorigin="0,0">
              <v:shape id="_x0000_s384" style="position:absolute;left:0;top:66;width:9644;height:524;" fillcolor="#F1F1F1" filled="true" stroked="false" coordsize="9644,524" coordorigin="0,0" path="m,l9643,0l9643,523l0,523l0,0xe"/>
              <v:shape id="_x0000_s386" style="position:absolute;left:2;top:0;width:610;height:100;" filled="false" strokecolor="#00B8F5" strokeweight="5.00pt" coordsize="610,100" coordorigin="0,0" path="m0,50l610,50e">
                <v:stroke joinstyle="miter"/>
              </v:shape>
            </v:group>
            <v:shape id="_x0000_s388" style="position:absolute;left:-20;top:-20;width:9684;height:630;" filled="false" stroked="false" type="#_x0000_t202">
              <v:fill on="false"/>
              <v:stroke on="false"/>
              <v:path/>
              <v:imagedata o:title=""/>
              <o:lock v:ext="edit" aspectratio="false"/>
              <v:textbox inset="0mm,0mm,0mm,0mm">
                <w:txbxContent>
                  <w:p>
                    <w:pPr>
                      <w:ind w:left="180"/>
                      <w:spacing w:before="207" w:line="21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B8F5"/>
                        <w:spacing w:val="-4"/>
                      </w:rPr>
                      <w:t>图 8   </w:t>
                    </w:r>
                    <w:r>
                      <w:rPr>
                        <w:sz w:val="21"/>
                        <w:szCs w:val="21"/>
                        <w:position w:val="-5"/>
                      </w:rPr>
                      <w:drawing>
                        <wp:inline distT="0" distB="0" distL="0" distR="0">
                          <wp:extent cx="12700" cy="175666"/>
                          <wp:effectExtent l="0" t="0" r="0" b="0"/>
                          <wp:docPr id="226" name="IM 226"/>
                          <wp:cNvGraphicFramePr/>
                          <a:graphic>
                            <a:graphicData uri="http://schemas.openxmlformats.org/drawingml/2006/picture">
                              <pic:pic>
                                <pic:nvPicPr>
                                  <pic:cNvPr id="226" name="IM 226"/>
                                  <pic:cNvPicPr/>
                                </pic:nvPicPr>
                                <pic:blipFill>
                                  <a:blip r:embed="rId110"/>
                                  <a:stretch>
                                    <a:fillRect/>
                                  </a:stretch>
                                </pic:blipFill>
                                <pic:spPr>
                                  <a:xfrm rot="0">
                                    <a:off x="0" y="0"/>
                                    <a:ext cx="12700" cy="175666"/>
                                  </a:xfrm>
                                  <a:prstGeom prst="rect">
                                    <a:avLst/>
                                  </a:prstGeom>
                                </pic:spPr>
                              </pic:pic>
                            </a:graphicData>
                          </a:graphic>
                        </wp:inline>
                      </w:drawing>
                    </w:r>
                    <w:r>
                      <w:rPr>
                        <w:rFonts w:ascii="Microsoft YaHei" w:hAnsi="Microsoft YaHei" w:eastAsia="Microsoft YaHei" w:cs="Microsoft YaHei"/>
                        <w:sz w:val="21"/>
                        <w:szCs w:val="21"/>
                        <w:b/>
                        <w:bCs/>
                        <w:color w:val="00B8F5"/>
                        <w:spacing w:val="30"/>
                      </w:rPr>
                      <w:t xml:space="preserve">  </w:t>
                    </w:r>
                    <w:r>
                      <w:rPr>
                        <w:rFonts w:ascii="Microsoft YaHei" w:hAnsi="Microsoft YaHei" w:eastAsia="Microsoft YaHei" w:cs="Microsoft YaHei"/>
                        <w:sz w:val="21"/>
                        <w:szCs w:val="21"/>
                        <w:b/>
                        <w:bCs/>
                        <w:color w:val="00B8F5"/>
                        <w:spacing w:val="-4"/>
                      </w:rPr>
                      <w:t>全球电化学储能装机量，</w:t>
                    </w:r>
                    <w:r>
                      <w:rPr>
                        <w:rFonts w:ascii="Microsoft YaHei" w:hAnsi="Microsoft YaHei" w:eastAsia="Microsoft YaHei" w:cs="Microsoft YaHei"/>
                        <w:sz w:val="21"/>
                        <w:szCs w:val="21"/>
                        <w:b/>
                        <w:bCs/>
                        <w:color w:val="00B8F5"/>
                        <w:spacing w:val="-42"/>
                      </w:rPr>
                      <w:t xml:space="preserve"> </w:t>
                    </w:r>
                    <w:r>
                      <w:rPr>
                        <w:rFonts w:ascii="Microsoft YaHei" w:hAnsi="Microsoft YaHei" w:eastAsia="Microsoft YaHei" w:cs="Microsoft YaHei"/>
                        <w:sz w:val="21"/>
                        <w:szCs w:val="21"/>
                        <w:b/>
                        <w:bCs/>
                        <w:color w:val="00B8F5"/>
                        <w:spacing w:val="-4"/>
                      </w:rPr>
                      <w:t>GWh</w:t>
                    </w:r>
                  </w:p>
                </w:txbxContent>
              </v:textbox>
            </v:shape>
          </v:group>
        </w:pict>
      </w:r>
    </w:p>
    <w:p>
      <w:pPr>
        <w:pStyle w:val="BodyText"/>
        <w:spacing w:line="358" w:lineRule="auto"/>
        <w:rPr/>
      </w:pPr>
      <w:r/>
    </w:p>
    <w:p>
      <w:pPr>
        <w:ind w:left="50"/>
        <w:spacing w:before="90" w:line="178" w:lineRule="auto"/>
        <w:rPr>
          <w:rFonts w:ascii="Microsoft YaHei" w:hAnsi="Microsoft YaHei" w:eastAsia="Microsoft YaHei" w:cs="Microsoft YaHei"/>
          <w:sz w:val="21"/>
          <w:szCs w:val="21"/>
        </w:rPr>
      </w:pPr>
      <w:r>
        <w:pict>
          <v:rect id="_x0000_s390" style="position:absolute;margin-left:448.3pt;margin-top:18.2391pt;mso-position-vertical-relative:text;mso-position-horizontal-relative:text;width:22.85pt;height:168.5pt;z-index:251929600;" fillcolor="#ACEAFF" filled="true" stroked="false">
            <v:fill opacity="0.949020"/>
          </v:rect>
        </w:pict>
      </w:r>
      <w:r>
        <w:pict>
          <v:shape id="_x0000_s392" style="position:absolute;margin-left:442.558pt;margin-top:5.78829pt;mso-position-vertical-relative:text;mso-position-horizontal-relative:text;width:35.75pt;height:15.4pt;z-index:251938816;" filled="false" stroked="false" type="#_x0000_t202">
            <v:fill on="false"/>
            <v:stroke on="false"/>
            <v:path/>
            <v:imagedata o:title=""/>
            <o:lock v:ext="edit" aspectratio="false"/>
            <v:textbox inset="0mm,0mm,0mm,0mm">
              <w:txbxContent>
                <w:p>
                  <w:pPr>
                    <w:ind w:left="20"/>
                    <w:spacing w:before="20" w:line="17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6"/>
                    </w:rPr>
                    <w:t>1,138.9</w:t>
                  </w:r>
                </w:p>
              </w:txbxContent>
            </v:textbox>
          </v:shape>
        </w:pict>
      </w:r>
      <w:r>
        <w:drawing>
          <wp:anchor distT="0" distB="0" distL="0" distR="0" simplePos="0" relativeHeight="251936768" behindDoc="0" locked="0" layoutInCell="1" allowOverlap="1">
            <wp:simplePos x="0" y="0"/>
            <wp:positionH relativeFrom="column">
              <wp:posOffset>451103</wp:posOffset>
            </wp:positionH>
            <wp:positionV relativeFrom="paragraph">
              <wp:posOffset>115685</wp:posOffset>
            </wp:positionV>
            <wp:extent cx="54991" cy="2307463"/>
            <wp:effectExtent l="0" t="0" r="0" b="0"/>
            <wp:wrapNone/>
            <wp:docPr id="228" name="IM 228"/>
            <wp:cNvGraphicFramePr/>
            <a:graphic>
              <a:graphicData uri="http://schemas.openxmlformats.org/drawingml/2006/picture">
                <pic:pic>
                  <pic:nvPicPr>
                    <pic:cNvPr id="228" name="IM 228"/>
                    <pic:cNvPicPr/>
                  </pic:nvPicPr>
                  <pic:blipFill>
                    <a:blip r:embed="rId111"/>
                    <a:stretch>
                      <a:fillRect/>
                    </a:stretch>
                  </pic:blipFill>
                  <pic:spPr>
                    <a:xfrm rot="0">
                      <a:off x="0" y="0"/>
                      <a:ext cx="54991" cy="2307463"/>
                    </a:xfrm>
                    <a:prstGeom prst="rect">
                      <a:avLst/>
                    </a:prstGeom>
                  </pic:spPr>
                </pic:pic>
              </a:graphicData>
            </a:graphic>
          </wp:anchor>
        </w:drawing>
      </w:r>
      <w:r>
        <w:rPr>
          <w:rFonts w:ascii="Microsoft YaHei" w:hAnsi="Microsoft YaHei" w:eastAsia="Microsoft YaHei" w:cs="Microsoft YaHei"/>
          <w:sz w:val="21"/>
          <w:szCs w:val="21"/>
          <w:spacing w:val="-6"/>
        </w:rPr>
        <w:t>1,200</w:t>
      </w:r>
    </w:p>
    <w:p>
      <w:pPr>
        <w:ind w:left="50"/>
        <w:spacing w:before="324" w:line="17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6"/>
        </w:rPr>
        <w:t>1,000</w:t>
      </w:r>
    </w:p>
    <w:p>
      <w:pPr>
        <w:ind w:left="216"/>
        <w:spacing w:before="324" w:line="171" w:lineRule="auto"/>
        <w:rPr>
          <w:rFonts w:ascii="Microsoft YaHei" w:hAnsi="Microsoft YaHei" w:eastAsia="Microsoft YaHei" w:cs="Microsoft YaHei"/>
          <w:sz w:val="21"/>
          <w:szCs w:val="21"/>
        </w:rPr>
      </w:pPr>
      <w:r>
        <mc:AlternateContent xmlns:mc="http://schemas.openxmlformats.org/markup-compatibility/2006">
          <mc:Choice Requires="wps">
            <w:drawing>
              <wp:anchor distT="0" distB="0" distL="0" distR="0" simplePos="0" relativeHeight="251926528" behindDoc="1" locked="0" layoutInCell="1" allowOverlap="1">
                <wp:simplePos x="0" y="0"/>
                <wp:positionH relativeFrom="column">
                  <wp:posOffset>5132577</wp:posOffset>
                </wp:positionH>
                <wp:positionV relativeFrom="paragraph">
                  <wp:posOffset>363101</wp:posOffset>
                </wp:positionV>
                <wp:extent cx="293370" cy="1405889"/>
                <wp:effectExtent l="0" t="0" r="0" b="0"/>
                <wp:wrapNone/>
                <wp:docPr id="230" name="Rect 230"/>
                <wp:cNvGraphicFramePr/>
                <a:graphic>
                  <a:graphicData uri="http://schemas.microsoft.com/office/word/2010/wordprocessingShape">
                    <wps:wsp>
                      <wps:cNvPr id="230" name="Rect 230"/>
                      <wps:cNvSpPr/>
                      <wps:spPr>
                        <a:xfrm>
                          <a:off x="5132577" y="363101"/>
                          <a:ext cx="293370" cy="1405889"/>
                        </a:xfrm>
                        <a:prstGeom prst="rect">
                          <a:avLst/>
                        </a:prstGeom>
                        <a:solidFill>
                          <a:srgbClr val="ACEAFF"/>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394" style="position:absolute;margin-left:404.14pt;margin-top:28.5907pt;mso-position-vertical-relative:text;mso-position-horizontal-relative:text;width:23.1pt;height:110.7pt;z-index:-251389952;" fillcolor="#ACEAFF" filled="true" stroked="false"/>
            </w:pict>
          </mc:Fallback>
        </mc:AlternateContent>
      </w:r>
      <w:r>
        <w:pict>
          <v:shape id="_x0000_s396" style="position:absolute;margin-left:402.219pt;margin-top:10.0216pt;mso-position-vertical-relative:text;mso-position-horizontal-relative:text;width:27.55pt;height:14.7pt;z-index:251941888;" filled="false" stroked="false" type="#_x0000_t202">
            <v:fill on="false"/>
            <v:stroke on="false"/>
            <v:path/>
            <v:imagedata o:title=""/>
            <o:lock v:ext="edit" aspectratio="false"/>
            <v:textbox inset="0mm,0mm,0mm,0mm">
              <w:txbxContent>
                <w:p>
                  <w:pPr>
                    <w:ind w:left="20"/>
                    <w:spacing w:before="20" w:line="16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6"/>
                    </w:rPr>
                    <w:t>744.4</w:t>
                  </w:r>
                </w:p>
              </w:txbxContent>
            </v:textbox>
          </v:shape>
        </w:pict>
      </w:r>
      <w:r>
        <w:rPr>
          <w:rFonts w:ascii="Microsoft YaHei" w:hAnsi="Microsoft YaHei" w:eastAsia="Microsoft YaHei" w:cs="Microsoft YaHei"/>
          <w:sz w:val="21"/>
          <w:szCs w:val="21"/>
          <w:spacing w:val="-8"/>
        </w:rPr>
        <w:t>800</w:t>
      </w:r>
    </w:p>
    <w:p>
      <w:pPr>
        <w:pStyle w:val="BodyText"/>
        <w:spacing w:line="243" w:lineRule="auto"/>
        <w:rPr/>
      </w:pPr>
      <w:r/>
    </w:p>
    <w:p>
      <w:pPr>
        <w:ind w:left="219"/>
        <w:spacing w:before="90"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spacing w:val="-9"/>
          <w:position w:val="-4"/>
        </w:rPr>
        <w:t>600</w:t>
      </w:r>
    </w:p>
    <w:p>
      <w:pPr>
        <w:ind w:left="7173"/>
        <w:spacing w:before="2" w:line="170" w:lineRule="auto"/>
        <w:rPr>
          <w:rFonts w:ascii="Microsoft YaHei" w:hAnsi="Microsoft YaHei" w:eastAsia="Microsoft YaHei" w:cs="Microsoft YaHei"/>
          <w:sz w:val="21"/>
          <w:szCs w:val="21"/>
        </w:rPr>
      </w:pPr>
      <w:r>
        <mc:AlternateContent xmlns:mc="http://schemas.openxmlformats.org/markup-compatibility/2006">
          <mc:Choice Requires="wps">
            <w:drawing>
              <wp:anchor distT="0" distB="0" distL="0" distR="0" simplePos="0" relativeHeight="251927552" behindDoc="1" locked="0" layoutInCell="1" allowOverlap="1">
                <wp:simplePos x="0" y="0"/>
                <wp:positionH relativeFrom="column">
                  <wp:posOffset>4571745</wp:posOffset>
                </wp:positionH>
                <wp:positionV relativeFrom="paragraph">
                  <wp:posOffset>227612</wp:posOffset>
                </wp:positionV>
                <wp:extent cx="293370" cy="823594"/>
                <wp:effectExtent l="0" t="0" r="0" b="0"/>
                <wp:wrapNone/>
                <wp:docPr id="232" name="Rect 232"/>
                <wp:cNvGraphicFramePr/>
                <a:graphic>
                  <a:graphicData uri="http://schemas.microsoft.com/office/word/2010/wordprocessingShape">
                    <wps:wsp>
                      <wps:cNvPr id="232" name="Rect 232"/>
                      <wps:cNvSpPr/>
                      <wps:spPr>
                        <a:xfrm>
                          <a:off x="4571745" y="227612"/>
                          <a:ext cx="293370" cy="823594"/>
                        </a:xfrm>
                        <a:prstGeom prst="rect">
                          <a:avLst/>
                        </a:prstGeom>
                        <a:solidFill>
                          <a:srgbClr val="ACEAFF"/>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398" style="position:absolute;margin-left:359.98pt;margin-top:17.9223pt;mso-position-vertical-relative:text;mso-position-horizontal-relative:text;width:23.1pt;height:64.85pt;z-index:-251388928;" fillcolor="#ACEAFF" filled="true" stroked="false"/>
            </w:pict>
          </mc:Fallback>
        </mc:AlternateContent>
      </w:r>
      <w:r>
        <w:drawing>
          <wp:anchor distT="0" distB="0" distL="0" distR="0" simplePos="0" relativeHeight="251928576" behindDoc="1" locked="0" layoutInCell="1" allowOverlap="1">
            <wp:simplePos x="0" y="0"/>
            <wp:positionH relativeFrom="column">
              <wp:posOffset>2420042</wp:posOffset>
            </wp:positionH>
            <wp:positionV relativeFrom="paragraph">
              <wp:posOffset>-1186400</wp:posOffset>
            </wp:positionV>
            <wp:extent cx="3128398" cy="1766671"/>
            <wp:effectExtent l="0" t="0" r="0" b="0"/>
            <wp:wrapNone/>
            <wp:docPr id="234" name="IM 234"/>
            <wp:cNvGraphicFramePr/>
            <a:graphic>
              <a:graphicData uri="http://schemas.openxmlformats.org/drawingml/2006/picture">
                <pic:pic>
                  <pic:nvPicPr>
                    <pic:cNvPr id="234" name="IM 234"/>
                    <pic:cNvPicPr/>
                  </pic:nvPicPr>
                  <pic:blipFill>
                    <a:blip r:embed="rId112"/>
                    <a:stretch>
                      <a:fillRect/>
                    </a:stretch>
                  </pic:blipFill>
                  <pic:spPr>
                    <a:xfrm rot="0">
                      <a:off x="0" y="0"/>
                      <a:ext cx="3128398" cy="1766671"/>
                    </a:xfrm>
                    <a:prstGeom prst="rect">
                      <a:avLst/>
                    </a:prstGeom>
                  </pic:spPr>
                </pic:pic>
              </a:graphicData>
            </a:graphic>
          </wp:anchor>
        </w:drawing>
      </w:r>
      <w:r>
        <w:rPr>
          <w:rFonts w:ascii="Microsoft YaHei" w:hAnsi="Microsoft YaHei" w:eastAsia="Microsoft YaHei" w:cs="Microsoft YaHei"/>
          <w:sz w:val="21"/>
          <w:szCs w:val="21"/>
          <w:spacing w:val="-4"/>
        </w:rPr>
        <w:t>435.2</w:t>
      </w:r>
    </w:p>
    <w:p>
      <w:pPr>
        <w:ind w:left="211"/>
        <w:spacing w:before="117" w:line="171" w:lineRule="auto"/>
        <w:rPr>
          <w:rFonts w:ascii="Microsoft YaHei" w:hAnsi="Microsoft YaHei" w:eastAsia="Microsoft YaHei" w:cs="Microsoft YaHei"/>
          <w:sz w:val="21"/>
          <w:szCs w:val="21"/>
        </w:rPr>
      </w:pPr>
      <w:r>
        <w:pict>
          <v:shape id="_x0000_s400" style="position:absolute;margin-left:313.631pt;margin-top:8.47172pt;mso-position-vertical-relative:text;mso-position-horizontal-relative:text;width:27.6pt;height:14.85pt;z-index:251940864;" filled="false" stroked="false" type="#_x0000_t202">
            <v:fill on="false"/>
            <v:stroke on="false"/>
            <v:path/>
            <v:imagedata o:title=""/>
            <o:lock v:ext="edit" aspectratio="false"/>
            <v:textbox inset="0mm,0mm,0mm,0mm">
              <w:txbxContent>
                <w:p>
                  <w:pPr>
                    <w:ind w:left="20"/>
                    <w:spacing w:before="19" w:line="17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5"/>
                    </w:rPr>
                    <w:t>284.3</w:t>
                  </w:r>
                </w:p>
              </w:txbxContent>
            </v:textbox>
          </v:shape>
        </w:pict>
      </w:r>
      <w:r>
        <w:rPr>
          <w:rFonts w:ascii="Microsoft YaHei" w:hAnsi="Microsoft YaHei" w:eastAsia="Microsoft YaHei" w:cs="Microsoft YaHei"/>
          <w:sz w:val="21"/>
          <w:szCs w:val="21"/>
          <w:spacing w:val="-7"/>
        </w:rPr>
        <w:t>400</w:t>
      </w:r>
    </w:p>
    <w:p>
      <w:pPr>
        <w:ind w:left="5417"/>
        <w:spacing w:before="108" w:line="227" w:lineRule="exact"/>
        <w:rPr>
          <w:rFonts w:ascii="Microsoft YaHei" w:hAnsi="Microsoft YaHei" w:eastAsia="Microsoft YaHei" w:cs="Microsoft YaHei"/>
          <w:sz w:val="21"/>
          <w:szCs w:val="21"/>
        </w:rPr>
      </w:pPr>
      <w:r>
        <mc:AlternateContent xmlns:mc="http://schemas.openxmlformats.org/markup-compatibility/2006">
          <mc:Choice Requires="wps">
            <w:drawing>
              <wp:anchor distT="0" distB="0" distL="0" distR="0" simplePos="0" relativeHeight="251925504" behindDoc="1" locked="0" layoutInCell="1" allowOverlap="1">
                <wp:simplePos x="0" y="0"/>
                <wp:positionH relativeFrom="column">
                  <wp:posOffset>4007865</wp:posOffset>
                </wp:positionH>
                <wp:positionV relativeFrom="paragraph">
                  <wp:posOffset>109679</wp:posOffset>
                </wp:positionV>
                <wp:extent cx="296545" cy="539750"/>
                <wp:effectExtent l="0" t="0" r="0" b="0"/>
                <wp:wrapNone/>
                <wp:docPr id="236" name="Rect 236"/>
                <wp:cNvGraphicFramePr/>
                <a:graphic>
                  <a:graphicData uri="http://schemas.microsoft.com/office/word/2010/wordprocessingShape">
                    <wps:wsp>
                      <wps:cNvPr id="236" name="Rect 236"/>
                      <wps:cNvSpPr/>
                      <wps:spPr>
                        <a:xfrm>
                          <a:off x="4007865" y="109679"/>
                          <a:ext cx="296545" cy="539750"/>
                        </a:xfrm>
                        <a:prstGeom prst="rect">
                          <a:avLst/>
                        </a:prstGeom>
                        <a:solidFill>
                          <a:srgbClr val="ACEAFF"/>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402" style="position:absolute;margin-left:315.58pt;margin-top:8.6362pt;mso-position-vertical-relative:text;mso-position-horizontal-relative:text;width:23.35pt;height:42.5pt;z-index:-251390976;" fillcolor="#ACEAFF" filled="true" stroked="false"/>
            </w:pict>
          </mc:Fallback>
        </mc:AlternateContent>
      </w:r>
      <w:r>
        <w:rPr>
          <w:rFonts w:ascii="Microsoft YaHei" w:hAnsi="Microsoft YaHei" w:eastAsia="Microsoft YaHei" w:cs="Microsoft YaHei"/>
          <w:sz w:val="21"/>
          <w:szCs w:val="21"/>
          <w:spacing w:val="-7"/>
          <w:position w:val="-4"/>
        </w:rPr>
        <w:t>185.7</w:t>
      </w:r>
    </w:p>
    <w:p>
      <w:pPr>
        <w:ind w:left="215"/>
        <w:spacing w:line="232" w:lineRule="exact"/>
        <w:rPr>
          <w:rFonts w:ascii="Microsoft YaHei" w:hAnsi="Microsoft YaHei" w:eastAsia="Microsoft YaHei" w:cs="Microsoft YaHei"/>
          <w:sz w:val="21"/>
          <w:szCs w:val="21"/>
        </w:rPr>
      </w:pPr>
      <w:r>
        <w:pict>
          <v:rect id="_x0000_s404" style="position:absolute;margin-left:271.42pt;margin-top:6.30344pt;mso-position-vertical-relative:text;mso-position-horizontal-relative:text;width:23.1pt;height:28.15pt;z-index:251930624;" fillcolor="#ACEAFF" filled="true" stroked="false"/>
        </w:pict>
      </w:r>
      <w:r>
        <w:pict>
          <v:shape id="_x0000_s406" style="position:absolute;margin-left:228.064pt;margin-top:0.70018pt;mso-position-vertical-relative:text;mso-position-horizontal-relative:text;width:21.8pt;height:14.85pt;z-index:251942912;" filled="false" stroked="false" type="#_x0000_t202">
            <v:fill on="false"/>
            <v:stroke on="false"/>
            <v:path/>
            <v:imagedata o:title=""/>
            <o:lock v:ext="edit" aspectratio="false"/>
            <v:textbox inset="0mm,0mm,0mm,0mm">
              <w:txbxContent>
                <w:p>
                  <w:pPr>
                    <w:ind w:left="20"/>
                    <w:spacing w:before="19" w:line="17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5"/>
                    </w:rPr>
                    <w:t>97.0</w:t>
                  </w:r>
                </w:p>
              </w:txbxContent>
            </v:textbox>
          </v:shape>
        </w:pict>
      </w:r>
      <w:r>
        <w:rPr>
          <w:rFonts w:ascii="Microsoft YaHei" w:hAnsi="Microsoft YaHei" w:eastAsia="Microsoft YaHei" w:cs="Microsoft YaHei"/>
          <w:sz w:val="21"/>
          <w:szCs w:val="21"/>
          <w:spacing w:val="-8"/>
          <w:position w:val="-4"/>
        </w:rPr>
        <w:t>200</w:t>
      </w:r>
    </w:p>
    <w:p>
      <w:pPr>
        <w:ind w:left="1100"/>
        <w:spacing w:line="176" w:lineRule="auto"/>
        <w:rPr>
          <w:rFonts w:ascii="Microsoft YaHei" w:hAnsi="Microsoft YaHei" w:eastAsia="Microsoft YaHei" w:cs="Microsoft YaHei"/>
          <w:sz w:val="21"/>
          <w:szCs w:val="21"/>
        </w:rPr>
      </w:pPr>
      <w:r>
        <w:pict>
          <v:rect id="_x0000_s408" style="position:absolute;margin-left:138.7pt;margin-top:17.8149pt;mso-position-vertical-relative:text;mso-position-horizontal-relative:text;width:23.1pt;height:5.1pt;z-index:251933696;" fillcolor="#ACEAFF" filled="true" stroked="false"/>
        </w:pict>
      </w:r>
      <w:r>
        <w:pict>
          <v:rect id="_x0000_s410" style="position:absolute;margin-left:182.86pt;margin-top:12.7749pt;mso-position-vertical-relative:text;mso-position-horizontal-relative:text;width:23.35pt;height:10.15pt;z-index:251932672;" fillcolor="#ACEAFF" filled="true" stroked="false"/>
        </w:pict>
      </w:r>
      <w:r>
        <w:pict>
          <v:rect id="_x0000_s412" style="position:absolute;margin-left:227.26pt;margin-top:7.97495pt;mso-position-vertical-relative:text;mso-position-horizontal-relative:text;width:23.1pt;height:14.9pt;z-index:251931648;" fillcolor="#ACEAFF" filled="true" stroked="false"/>
        </w:pict>
      </w:r>
      <w:r>
        <w:pict>
          <v:shape id="_x0000_s414" style="position:absolute;margin-left:183.944pt;margin-top:-5.98132pt;mso-position-vertical-relative:text;mso-position-horizontal-relative:text;width:21.7pt;height:14.85pt;z-index:251943936;" filled="false" stroked="false" type="#_x0000_t202">
            <v:fill on="false"/>
            <v:stroke on="false"/>
            <v:path/>
            <v:imagedata o:title=""/>
            <o:lock v:ext="edit" aspectratio="false"/>
            <v:textbox inset="0mm,0mm,0mm,0mm">
              <w:txbxContent>
                <w:p>
                  <w:pPr>
                    <w:ind w:left="20"/>
                    <w:spacing w:before="19" w:line="17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5"/>
                    </w:rPr>
                    <w:t>64.2</w:t>
                  </w:r>
                </w:p>
              </w:txbxContent>
            </v:textbox>
          </v:shape>
        </w:pict>
      </w:r>
      <w:r>
        <w:rPr>
          <w:rFonts w:ascii="Microsoft YaHei" w:hAnsi="Microsoft YaHei" w:eastAsia="Microsoft YaHei" w:cs="Microsoft YaHei"/>
          <w:sz w:val="21"/>
          <w:szCs w:val="21"/>
          <w:spacing w:val="-6"/>
          <w:position w:val="-3"/>
        </w:rPr>
        <w:t>7.0</w:t>
      </w:r>
      <w:r>
        <w:rPr>
          <w:rFonts w:ascii="Microsoft YaHei" w:hAnsi="Microsoft YaHei" w:eastAsia="Microsoft YaHei" w:cs="Microsoft YaHei"/>
          <w:sz w:val="21"/>
          <w:szCs w:val="21"/>
          <w:spacing w:val="7"/>
          <w:position w:val="-3"/>
        </w:rPr>
        <w:t xml:space="preserve">        </w:t>
      </w:r>
      <w:r>
        <w:rPr>
          <w:rFonts w:ascii="Microsoft YaHei" w:hAnsi="Microsoft YaHei" w:eastAsia="Microsoft YaHei" w:cs="Microsoft YaHei"/>
          <w:sz w:val="21"/>
          <w:szCs w:val="21"/>
          <w:spacing w:val="-6"/>
        </w:rPr>
        <w:t>19.0</w:t>
      </w:r>
      <w:r>
        <w:rPr>
          <w:rFonts w:ascii="Microsoft YaHei" w:hAnsi="Microsoft YaHei" w:eastAsia="Microsoft YaHei" w:cs="Microsoft YaHei"/>
          <w:sz w:val="21"/>
          <w:szCs w:val="21"/>
          <w:spacing w:val="7"/>
        </w:rPr>
        <w:t xml:space="preserve">       </w:t>
      </w:r>
      <w:r>
        <w:rPr>
          <w:rFonts w:ascii="Microsoft YaHei" w:hAnsi="Microsoft YaHei" w:eastAsia="Microsoft YaHei" w:cs="Microsoft YaHei"/>
          <w:sz w:val="21"/>
          <w:szCs w:val="21"/>
          <w:spacing w:val="-6"/>
          <w:position w:val="3"/>
        </w:rPr>
        <w:t>30.2</w:t>
      </w:r>
    </w:p>
    <w:p>
      <w:pPr>
        <w:ind w:left="450"/>
        <w:spacing w:before="35" w:line="171" w:lineRule="auto"/>
        <w:rPr>
          <w:rFonts w:ascii="Microsoft YaHei" w:hAnsi="Microsoft YaHei" w:eastAsia="Microsoft YaHei" w:cs="Microsoft YaHei"/>
          <w:sz w:val="21"/>
          <w:szCs w:val="21"/>
        </w:rPr>
      </w:pPr>
      <w:r>
        <w:drawing>
          <wp:anchor distT="0" distB="0" distL="0" distR="0" simplePos="0" relativeHeight="251934720" behindDoc="0" locked="0" layoutInCell="1" allowOverlap="1">
            <wp:simplePos x="0" y="0"/>
            <wp:positionH relativeFrom="column">
              <wp:posOffset>1200658</wp:posOffset>
            </wp:positionH>
            <wp:positionV relativeFrom="paragraph">
              <wp:posOffset>40405</wp:posOffset>
            </wp:positionV>
            <wp:extent cx="293116" cy="42926"/>
            <wp:effectExtent l="0" t="0" r="0" b="0"/>
            <wp:wrapNone/>
            <wp:docPr id="238" name="IM 238"/>
            <wp:cNvGraphicFramePr/>
            <a:graphic>
              <a:graphicData uri="http://schemas.openxmlformats.org/drawingml/2006/picture">
                <pic:pic>
                  <pic:nvPicPr>
                    <pic:cNvPr id="238" name="IM 238"/>
                    <pic:cNvPicPr/>
                  </pic:nvPicPr>
                  <pic:blipFill>
                    <a:blip r:embed="rId113"/>
                    <a:stretch>
                      <a:fillRect/>
                    </a:stretch>
                  </pic:blipFill>
                  <pic:spPr>
                    <a:xfrm rot="0">
                      <a:off x="0" y="0"/>
                      <a:ext cx="293116" cy="42926"/>
                    </a:xfrm>
                    <a:prstGeom prst="rect">
                      <a:avLst/>
                    </a:prstGeom>
                  </pic:spPr>
                </pic:pic>
              </a:graphicData>
            </a:graphic>
          </wp:anchor>
        </w:drawing>
      </w:r>
      <w:r>
        <w:drawing>
          <wp:anchor distT="0" distB="0" distL="0" distR="0" simplePos="0" relativeHeight="251935744" behindDoc="0" locked="0" layoutInCell="1" allowOverlap="1">
            <wp:simplePos x="0" y="0"/>
            <wp:positionH relativeFrom="column">
              <wp:posOffset>502919</wp:posOffset>
            </wp:positionH>
            <wp:positionV relativeFrom="paragraph">
              <wp:posOffset>61742</wp:posOffset>
            </wp:positionV>
            <wp:extent cx="5617450" cy="73405"/>
            <wp:effectExtent l="0" t="0" r="0" b="0"/>
            <wp:wrapNone/>
            <wp:docPr id="240" name="IM 240"/>
            <wp:cNvGraphicFramePr/>
            <a:graphic>
              <a:graphicData uri="http://schemas.openxmlformats.org/drawingml/2006/picture">
                <pic:pic>
                  <pic:nvPicPr>
                    <pic:cNvPr id="240" name="IM 240"/>
                    <pic:cNvPicPr/>
                  </pic:nvPicPr>
                  <pic:blipFill>
                    <a:blip r:embed="rId114"/>
                    <a:stretch>
                      <a:fillRect/>
                    </a:stretch>
                  </pic:blipFill>
                  <pic:spPr>
                    <a:xfrm rot="0">
                      <a:off x="0" y="0"/>
                      <a:ext cx="5617450" cy="73405"/>
                    </a:xfrm>
                    <a:prstGeom prst="rect">
                      <a:avLst/>
                    </a:prstGeom>
                  </pic:spPr>
                </pic:pic>
              </a:graphicData>
            </a:graphic>
          </wp:anchor>
        </w:drawing>
      </w:r>
      <w:r>
        <w:rPr>
          <w:rFonts w:ascii="Microsoft YaHei" w:hAnsi="Microsoft YaHei" w:eastAsia="Microsoft YaHei" w:cs="Microsoft YaHei"/>
          <w:sz w:val="21"/>
          <w:szCs w:val="21"/>
        </w:rPr>
        <w:t>0</w:t>
      </w:r>
    </w:p>
    <w:p>
      <w:pPr>
        <w:ind w:left="1011"/>
        <w:spacing w:before="75" w:line="17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5"/>
        </w:rPr>
        <w:t>2018       2019       2020       2021       2022*     2023*      2024*      2025*     2026*      2027*</w:t>
      </w:r>
    </w:p>
    <w:p>
      <w:pPr>
        <w:ind w:left="8"/>
        <w:spacing w:before="208" w:line="17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3"/>
        </w:rPr>
        <w:t>数据来源： </w:t>
      </w:r>
      <w:r>
        <w:rPr>
          <w:rFonts w:ascii="Microsoft YaHei" w:hAnsi="Microsoft YaHei" w:eastAsia="Microsoft YaHei" w:cs="Microsoft YaHei"/>
          <w:sz w:val="15"/>
          <w:szCs w:val="15"/>
        </w:rPr>
        <w:t>CNESA</w:t>
      </w:r>
      <w:r>
        <w:rPr>
          <w:rFonts w:ascii="Microsoft YaHei" w:hAnsi="Microsoft YaHei" w:eastAsia="Microsoft YaHei" w:cs="Microsoft YaHei"/>
          <w:sz w:val="15"/>
          <w:szCs w:val="15"/>
          <w:spacing w:val="3"/>
        </w:rPr>
        <w:t>，毕马威分析</w:t>
      </w:r>
    </w:p>
    <w:p>
      <w:pPr>
        <w:ind w:left="11"/>
        <w:spacing w:line="181"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5"/>
        </w:rPr>
        <w:t>*为预测值</w:t>
      </w:r>
    </w:p>
    <w:p>
      <w:pPr>
        <w:pStyle w:val="BodyText"/>
        <w:spacing w:line="311" w:lineRule="auto"/>
        <w:rPr/>
      </w:pPr>
      <w:r/>
    </w:p>
    <w:p>
      <w:pPr>
        <w:pStyle w:val="BodyText"/>
        <w:spacing w:line="311" w:lineRule="auto"/>
        <w:rPr/>
      </w:pPr>
      <w:r/>
    </w:p>
    <w:p>
      <w:pPr>
        <w:pStyle w:val="BodyText"/>
        <w:spacing w:line="312" w:lineRule="auto"/>
        <w:rPr/>
      </w:pPr>
      <w:r>
        <w:pict>
          <v:shape id="_x0000_s416" style="position:absolute;margin-left:0.250031pt;margin-top:7.47947pt;mso-position-vertical-relative:text;mso-position-horizontal-relative:text;width:81.3pt;height:0.5pt;z-index:251945984;" filled="false" strokecolor="#000000" strokeweight="0.50pt" coordsize="1626,10" coordorigin="0,0" path="m0,5l1625,5e">
            <v:stroke joinstyle="miter"/>
          </v:shape>
        </w:pict>
      </w:r>
      <w:r/>
    </w:p>
    <w:p>
      <w:pPr>
        <w:ind w:left="9"/>
        <w:spacing w:before="57" w:line="181"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5"/>
          <w:position w:val="4"/>
        </w:rPr>
        <w:t>16</w:t>
      </w:r>
      <w:r>
        <w:rPr>
          <w:rFonts w:ascii="Microsoft YaHei" w:hAnsi="Microsoft YaHei" w:eastAsia="Microsoft YaHei" w:cs="Microsoft YaHei"/>
          <w:sz w:val="9"/>
          <w:szCs w:val="9"/>
          <w:spacing w:val="19"/>
          <w:w w:val="102"/>
          <w:position w:val="4"/>
        </w:rPr>
        <w:t xml:space="preserve"> </w:t>
      </w:r>
      <w:r>
        <w:rPr>
          <w:rFonts w:ascii="Microsoft YaHei" w:hAnsi="Microsoft YaHei" w:eastAsia="Microsoft YaHei" w:cs="Microsoft YaHei"/>
          <w:sz w:val="13"/>
          <w:szCs w:val="13"/>
        </w:rPr>
        <w:t>Global</w:t>
      </w:r>
      <w:r>
        <w:rPr>
          <w:rFonts w:ascii="Microsoft YaHei" w:hAnsi="Microsoft YaHei" w:eastAsia="Microsoft YaHei" w:cs="Microsoft YaHei"/>
          <w:sz w:val="13"/>
          <w:szCs w:val="13"/>
          <w:spacing w:val="5"/>
        </w:rPr>
        <w:t xml:space="preserve"> </w:t>
      </w:r>
      <w:r>
        <w:rPr>
          <w:rFonts w:ascii="Microsoft YaHei" w:hAnsi="Microsoft YaHei" w:eastAsia="Microsoft YaHei" w:cs="Microsoft YaHei"/>
          <w:sz w:val="13"/>
          <w:szCs w:val="13"/>
        </w:rPr>
        <w:t>energy</w:t>
      </w:r>
      <w:r>
        <w:rPr>
          <w:rFonts w:ascii="Microsoft YaHei" w:hAnsi="Microsoft YaHei" w:eastAsia="Microsoft YaHei" w:cs="Microsoft YaHei"/>
          <w:sz w:val="13"/>
          <w:szCs w:val="13"/>
          <w:spacing w:val="5"/>
        </w:rPr>
        <w:t xml:space="preserve"> </w:t>
      </w:r>
      <w:r>
        <w:rPr>
          <w:rFonts w:ascii="Microsoft YaHei" w:hAnsi="Microsoft YaHei" w:eastAsia="Microsoft YaHei" w:cs="Microsoft YaHei"/>
          <w:sz w:val="13"/>
          <w:szCs w:val="13"/>
        </w:rPr>
        <w:t>storage</w:t>
      </w:r>
      <w:r>
        <w:rPr>
          <w:rFonts w:ascii="Microsoft YaHei" w:hAnsi="Microsoft YaHei" w:eastAsia="Microsoft YaHei" w:cs="Microsoft YaHei"/>
          <w:sz w:val="13"/>
          <w:szCs w:val="13"/>
          <w:spacing w:val="5"/>
        </w:rPr>
        <w:t xml:space="preserve"> </w:t>
      </w:r>
      <w:r>
        <w:rPr>
          <w:rFonts w:ascii="Microsoft YaHei" w:hAnsi="Microsoft YaHei" w:eastAsia="Microsoft YaHei" w:cs="Microsoft YaHei"/>
          <w:sz w:val="13"/>
          <w:szCs w:val="13"/>
        </w:rPr>
        <w:t>capacity</w:t>
      </w:r>
      <w:r>
        <w:rPr>
          <w:rFonts w:ascii="Microsoft YaHei" w:hAnsi="Microsoft YaHei" w:eastAsia="Microsoft YaHei" w:cs="Microsoft YaHei"/>
          <w:sz w:val="13"/>
          <w:szCs w:val="13"/>
          <w:spacing w:val="5"/>
        </w:rPr>
        <w:t xml:space="preserve"> </w:t>
      </w:r>
      <w:r>
        <w:rPr>
          <w:rFonts w:ascii="Microsoft YaHei" w:hAnsi="Microsoft YaHei" w:eastAsia="Microsoft YaHei" w:cs="Microsoft YaHei"/>
          <w:sz w:val="13"/>
          <w:szCs w:val="13"/>
        </w:rPr>
        <w:t>to</w:t>
      </w:r>
      <w:r>
        <w:rPr>
          <w:rFonts w:ascii="Microsoft YaHei" w:hAnsi="Microsoft YaHei" w:eastAsia="Microsoft YaHei" w:cs="Microsoft YaHei"/>
          <w:sz w:val="13"/>
          <w:szCs w:val="13"/>
          <w:spacing w:val="5"/>
        </w:rPr>
        <w:t xml:space="preserve"> </w:t>
      </w:r>
      <w:r>
        <w:rPr>
          <w:rFonts w:ascii="Microsoft YaHei" w:hAnsi="Microsoft YaHei" w:eastAsia="Microsoft YaHei" w:cs="Microsoft YaHei"/>
          <w:sz w:val="13"/>
          <w:szCs w:val="13"/>
        </w:rPr>
        <w:t>grow</w:t>
      </w:r>
      <w:r>
        <w:rPr>
          <w:rFonts w:ascii="Microsoft YaHei" w:hAnsi="Microsoft YaHei" w:eastAsia="Microsoft YaHei" w:cs="Microsoft YaHei"/>
          <w:sz w:val="13"/>
          <w:szCs w:val="13"/>
          <w:spacing w:val="5"/>
        </w:rPr>
        <w:t xml:space="preserve"> </w:t>
      </w:r>
      <w:r>
        <w:rPr>
          <w:rFonts w:ascii="Microsoft YaHei" w:hAnsi="Microsoft YaHei" w:eastAsia="Microsoft YaHei" w:cs="Microsoft YaHei"/>
          <w:sz w:val="13"/>
          <w:szCs w:val="13"/>
        </w:rPr>
        <w:t>at</w:t>
      </w:r>
      <w:r>
        <w:rPr>
          <w:rFonts w:ascii="Microsoft YaHei" w:hAnsi="Microsoft YaHei" w:eastAsia="Microsoft YaHei" w:cs="Microsoft YaHei"/>
          <w:sz w:val="13"/>
          <w:szCs w:val="13"/>
          <w:spacing w:val="5"/>
        </w:rPr>
        <w:t xml:space="preserve"> </w:t>
      </w:r>
      <w:r>
        <w:rPr>
          <w:rFonts w:ascii="Microsoft YaHei" w:hAnsi="Microsoft YaHei" w:eastAsia="Microsoft YaHei" w:cs="Microsoft YaHei"/>
          <w:sz w:val="13"/>
          <w:szCs w:val="13"/>
        </w:rPr>
        <w:t>CAGR</w:t>
      </w:r>
      <w:r>
        <w:rPr>
          <w:rFonts w:ascii="Microsoft YaHei" w:hAnsi="Microsoft YaHei" w:eastAsia="Microsoft YaHei" w:cs="Microsoft YaHei"/>
          <w:sz w:val="13"/>
          <w:szCs w:val="13"/>
          <w:spacing w:val="5"/>
        </w:rPr>
        <w:t xml:space="preserve"> </w:t>
      </w:r>
      <w:r>
        <w:rPr>
          <w:rFonts w:ascii="Microsoft YaHei" w:hAnsi="Microsoft YaHei" w:eastAsia="Microsoft YaHei" w:cs="Microsoft YaHei"/>
          <w:sz w:val="13"/>
          <w:szCs w:val="13"/>
        </w:rPr>
        <w:t>of</w:t>
      </w:r>
      <w:r>
        <w:rPr>
          <w:rFonts w:ascii="Microsoft YaHei" w:hAnsi="Microsoft YaHei" w:eastAsia="Microsoft YaHei" w:cs="Microsoft YaHei"/>
          <w:sz w:val="13"/>
          <w:szCs w:val="13"/>
          <w:spacing w:val="-8"/>
        </w:rPr>
        <w:t xml:space="preserve"> </w:t>
      </w:r>
      <w:r>
        <w:rPr>
          <w:rFonts w:ascii="Microsoft YaHei" w:hAnsi="Microsoft YaHei" w:eastAsia="Microsoft YaHei" w:cs="Microsoft YaHei"/>
          <w:sz w:val="13"/>
          <w:szCs w:val="13"/>
          <w:spacing w:val="5"/>
        </w:rPr>
        <w:t>31% </w:t>
      </w:r>
      <w:r>
        <w:rPr>
          <w:rFonts w:ascii="Microsoft YaHei" w:hAnsi="Microsoft YaHei" w:eastAsia="Microsoft YaHei" w:cs="Microsoft YaHei"/>
          <w:sz w:val="13"/>
          <w:szCs w:val="13"/>
        </w:rPr>
        <w:t>to</w:t>
      </w:r>
      <w:r>
        <w:rPr>
          <w:rFonts w:ascii="Microsoft YaHei" w:hAnsi="Microsoft YaHei" w:eastAsia="Microsoft YaHei" w:cs="Microsoft YaHei"/>
          <w:sz w:val="13"/>
          <w:szCs w:val="13"/>
          <w:spacing w:val="5"/>
        </w:rPr>
        <w:t xml:space="preserve"> 2030, </w:t>
      </w:r>
      <w:r>
        <w:rPr>
          <w:rFonts w:ascii="Microsoft YaHei" w:hAnsi="Microsoft YaHei" w:eastAsia="Microsoft YaHei" w:cs="Microsoft YaHei"/>
          <w:sz w:val="13"/>
          <w:szCs w:val="13"/>
        </w:rPr>
        <w:t>Wood</w:t>
      </w:r>
      <w:r>
        <w:rPr>
          <w:rFonts w:ascii="Microsoft YaHei" w:hAnsi="Microsoft YaHei" w:eastAsia="Microsoft YaHei" w:cs="Microsoft YaHei"/>
          <w:sz w:val="13"/>
          <w:szCs w:val="13"/>
          <w:spacing w:val="5"/>
        </w:rPr>
        <w:t xml:space="preserve"> </w:t>
      </w:r>
      <w:r>
        <w:rPr>
          <w:rFonts w:ascii="Microsoft YaHei" w:hAnsi="Microsoft YaHei" w:eastAsia="Microsoft YaHei" w:cs="Microsoft YaHei"/>
          <w:sz w:val="13"/>
          <w:szCs w:val="13"/>
        </w:rPr>
        <w:t>Mackenzie</w:t>
      </w:r>
      <w:r>
        <w:rPr>
          <w:rFonts w:ascii="Microsoft YaHei" w:hAnsi="Microsoft YaHei" w:eastAsia="Microsoft YaHei" w:cs="Microsoft YaHei"/>
          <w:sz w:val="13"/>
          <w:szCs w:val="13"/>
          <w:spacing w:val="5"/>
        </w:rPr>
        <w:t>, </w:t>
      </w:r>
      <w:r>
        <w:rPr>
          <w:rFonts w:ascii="Microsoft YaHei" w:hAnsi="Microsoft YaHei" w:eastAsia="Microsoft YaHei" w:cs="Microsoft YaHei"/>
          <w:sz w:val="13"/>
          <w:szCs w:val="13"/>
        </w:rPr>
        <w:t>September</w:t>
      </w:r>
      <w:r>
        <w:rPr>
          <w:rFonts w:ascii="Microsoft YaHei" w:hAnsi="Microsoft YaHei" w:eastAsia="Microsoft YaHei" w:cs="Microsoft YaHei"/>
          <w:sz w:val="13"/>
          <w:szCs w:val="13"/>
          <w:spacing w:val="5"/>
        </w:rPr>
        <w:t xml:space="preserve"> 30,</w:t>
      </w:r>
    </w:p>
    <w:p>
      <w:pPr>
        <w:ind w:left="14"/>
        <w:spacing w:before="1" w:line="188" w:lineRule="auto"/>
        <w:rPr>
          <w:rFonts w:ascii="Microsoft YaHei" w:hAnsi="Microsoft YaHei" w:eastAsia="Microsoft YaHei" w:cs="Microsoft YaHei"/>
          <w:sz w:val="13"/>
          <w:szCs w:val="13"/>
        </w:rPr>
      </w:pPr>
      <w:hyperlink w:history="true" r:id="rId115">
        <w:r>
          <w:rPr>
            <w:rFonts w:ascii="Microsoft YaHei" w:hAnsi="Microsoft YaHei" w:eastAsia="Microsoft YaHei" w:cs="Microsoft YaHei"/>
            <w:sz w:val="13"/>
            <w:szCs w:val="13"/>
          </w:rPr>
          <w:t>https</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www</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woodmac</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com</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press</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releases</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global</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energy</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storage</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capacity</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to</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grow</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at</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cagr</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of</w:t>
        </w:r>
        <w:r>
          <w:rPr>
            <w:rFonts w:ascii="Microsoft YaHei" w:hAnsi="Microsoft YaHei" w:eastAsia="Microsoft YaHei" w:cs="Microsoft YaHei"/>
            <w:sz w:val="13"/>
            <w:szCs w:val="13"/>
            <w:spacing w:val="6"/>
          </w:rPr>
          <w:t>-31-</w:t>
        </w:r>
        <w:r>
          <w:rPr>
            <w:rFonts w:ascii="Microsoft YaHei" w:hAnsi="Microsoft YaHei" w:eastAsia="Microsoft YaHei" w:cs="Microsoft YaHei"/>
            <w:sz w:val="13"/>
            <w:szCs w:val="13"/>
          </w:rPr>
          <w:t>to</w:t>
        </w:r>
        <w:r>
          <w:rPr>
            <w:rFonts w:ascii="Microsoft YaHei" w:hAnsi="Microsoft YaHei" w:eastAsia="Microsoft YaHei" w:cs="Microsoft YaHei"/>
            <w:sz w:val="13"/>
            <w:szCs w:val="13"/>
            <w:spacing w:val="6"/>
          </w:rPr>
          <w:t>-2030/</w:t>
        </w:r>
      </w:hyperlink>
    </w:p>
    <w:p>
      <w:pPr>
        <w:ind w:left="505" w:right="1241" w:hanging="411"/>
        <w:spacing w:before="172"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1300" w:header="0" w:footer="0" w:gutter="0"/>
        </w:sectPr>
        <w:rPr>
          <w:rFonts w:ascii="Microsoft YaHei" w:hAnsi="Microsoft YaHei" w:eastAsia="Microsoft YaHei" w:cs="Microsoft YaHei"/>
          <w:sz w:val="11"/>
          <w:szCs w:val="11"/>
        </w:rPr>
      </w:pPr>
    </w:p>
    <w:p>
      <w:pPr>
        <w:spacing w:before="314" w:line="193" w:lineRule="auto"/>
        <w:rPr>
          <w:rFonts w:ascii="Microsoft YaHei" w:hAnsi="Microsoft YaHei" w:eastAsia="Microsoft YaHei" w:cs="Microsoft YaHei"/>
          <w:sz w:val="18"/>
          <w:szCs w:val="18"/>
        </w:rPr>
      </w:pPr>
      <w:r>
        <w:pict>
          <v:rect id="_x0000_s418" style="position:absolute;margin-left:611.99pt;margin-top:0pt;mso-position-vertical-relative:page;mso-position-horizontal-relative:page;width:0.25pt;height:859pt;z-index:251971584;" o:allowincell="f" fillcolor="#000000" filled="true" stroked="false"/>
        </w:pict>
      </w:r>
      <w:r>
        <w:rPr>
          <w:rFonts w:ascii="Microsoft YaHei" w:hAnsi="Microsoft YaHei" w:eastAsia="Microsoft YaHei" w:cs="Microsoft YaHei"/>
          <w:sz w:val="18"/>
          <w:szCs w:val="18"/>
          <w:b/>
          <w:bCs/>
          <w:color w:val="A8A8A8"/>
          <w:spacing w:val="-1"/>
        </w:rPr>
        <w:t>25</w:t>
      </w:r>
      <w:r>
        <w:rPr>
          <w:rFonts w:ascii="Microsoft YaHei" w:hAnsi="Microsoft YaHei" w:eastAsia="Microsoft YaHei" w:cs="Microsoft YaHei"/>
          <w:sz w:val="18"/>
          <w:szCs w:val="18"/>
          <w:b/>
          <w:bCs/>
          <w:color w:val="A8A8A8"/>
          <w:spacing w:val="14"/>
        </w:rPr>
        <w:t xml:space="preserve">  </w:t>
      </w:r>
      <w:r>
        <w:rPr>
          <w:sz w:val="18"/>
          <w:szCs w:val="18"/>
          <w:position w:val="-4"/>
        </w:rPr>
        <w:drawing>
          <wp:inline distT="0" distB="0" distL="0" distR="0">
            <wp:extent cx="6350" cy="130175"/>
            <wp:effectExtent l="0" t="0" r="0" b="0"/>
            <wp:docPr id="242" name="IM 242"/>
            <wp:cNvGraphicFramePr/>
            <a:graphic>
              <a:graphicData uri="http://schemas.openxmlformats.org/drawingml/2006/picture">
                <pic:pic>
                  <pic:nvPicPr>
                    <pic:cNvPr id="242" name="IM 242"/>
                    <pic:cNvPicPr/>
                  </pic:nvPicPr>
                  <pic:blipFill>
                    <a:blip r:embed="rId116"/>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A8A8A8"/>
          <w:spacing w:val="26"/>
        </w:rPr>
        <w:t xml:space="preserve">  </w:t>
      </w:r>
      <w:r>
        <w:rPr>
          <w:rFonts w:ascii="Microsoft YaHei" w:hAnsi="Microsoft YaHei" w:eastAsia="Microsoft YaHei" w:cs="Microsoft YaHei"/>
          <w:sz w:val="18"/>
          <w:szCs w:val="18"/>
          <w:color w:val="A8A8A8"/>
          <w:spacing w:val="-1"/>
        </w:rPr>
        <w:t>新型储能助力能源转型</w:t>
      </w:r>
    </w:p>
    <w:p>
      <w:pPr>
        <w:pStyle w:val="BodyText"/>
        <w:spacing w:line="297" w:lineRule="auto"/>
        <w:rPr/>
      </w:pPr>
      <w:r/>
    </w:p>
    <w:p>
      <w:pPr>
        <w:pStyle w:val="BodyText"/>
        <w:spacing w:line="297" w:lineRule="auto"/>
        <w:rPr/>
      </w:pPr>
      <w:r/>
    </w:p>
    <w:p>
      <w:pPr>
        <w:pStyle w:val="BodyText"/>
        <w:spacing w:line="298" w:lineRule="auto"/>
        <w:rPr/>
      </w:pPr>
      <w:r/>
    </w:p>
    <w:p>
      <w:pPr>
        <w:ind w:left="372"/>
        <w:spacing w:before="155" w:line="168" w:lineRule="auto"/>
        <w:outlineLvl w:val="0"/>
        <w:rPr>
          <w:rFonts w:ascii="Microsoft YaHei" w:hAnsi="Microsoft YaHei" w:eastAsia="Microsoft YaHei" w:cs="Microsoft YaHei"/>
          <w:sz w:val="36"/>
          <w:szCs w:val="36"/>
        </w:rPr>
      </w:pPr>
      <w:r>
        <w:rPr>
          <w:rFonts w:ascii="Microsoft YaHei" w:hAnsi="Microsoft YaHei" w:eastAsia="Microsoft YaHei" w:cs="Microsoft YaHei"/>
          <w:sz w:val="36"/>
          <w:szCs w:val="36"/>
          <w:b/>
          <w:bCs/>
          <w:color w:val="00338D"/>
          <w:spacing w:val="-4"/>
        </w:rPr>
        <w:t>2022年中国电化学储能装机量同比翻番， 2026年装机量有</w:t>
      </w:r>
    </w:p>
    <w:p>
      <w:pPr>
        <w:ind w:left="373"/>
        <w:spacing w:line="192" w:lineRule="auto"/>
        <w:rPr>
          <w:rFonts w:ascii="Microsoft YaHei" w:hAnsi="Microsoft YaHei" w:eastAsia="Microsoft YaHei" w:cs="Microsoft YaHei"/>
          <w:sz w:val="36"/>
          <w:szCs w:val="36"/>
        </w:rPr>
      </w:pPr>
      <w:r>
        <w:rPr>
          <w:rFonts w:ascii="Microsoft YaHei" w:hAnsi="Microsoft YaHei" w:eastAsia="Microsoft YaHei" w:cs="Microsoft YaHei"/>
          <w:sz w:val="36"/>
          <w:szCs w:val="36"/>
          <w:b/>
          <w:bCs/>
          <w:color w:val="00338D"/>
          <w:spacing w:val="-7"/>
        </w:rPr>
        <w:t>望占到全球1/5以上</w:t>
      </w:r>
    </w:p>
    <w:p>
      <w:pPr>
        <w:ind w:left="346" w:right="2828" w:hanging="1"/>
        <w:spacing w:before="299" w:line="216"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rPr>
        <w:t>根据CNESA数据</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rPr>
        <w:t>，2021年中国储能市场中不同类型储能方式的占比与全球基本保</w:t>
      </w:r>
      <w:r>
        <w:rPr>
          <w:rFonts w:ascii="Microsoft YaHei" w:hAnsi="Microsoft YaHei" w:eastAsia="Microsoft YaHei" w:cs="Microsoft YaHei"/>
          <w:sz w:val="21"/>
          <w:szCs w:val="21"/>
          <w:spacing w:val="-1"/>
        </w:rPr>
        <w:t>持一</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致。其中抽水蓄能仍是最主要的储能方式，占比86.3%</w:t>
      </w:r>
      <w:r>
        <w:rPr>
          <w:rFonts w:ascii="Microsoft YaHei" w:hAnsi="Microsoft YaHei" w:eastAsia="Microsoft YaHei" w:cs="Microsoft YaHei"/>
          <w:sz w:val="21"/>
          <w:szCs w:val="21"/>
          <w:spacing w:val="-20"/>
        </w:rPr>
        <w:t xml:space="preserve"> </w:t>
      </w:r>
      <w:r>
        <w:rPr>
          <w:rFonts w:ascii="Microsoft YaHei" w:hAnsi="Microsoft YaHei" w:eastAsia="Microsoft YaHei" w:cs="Microsoft YaHei"/>
          <w:sz w:val="21"/>
          <w:szCs w:val="21"/>
          <w:spacing w:val="-1"/>
        </w:rPr>
        <w:t>，与全球86.2%的占比持平；新</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型储能方式占比12.5%，高于全球0.3个百分点。电化学储能为最主要的新型储能方式，</w:t>
      </w:r>
      <w:r>
        <w:rPr>
          <w:rFonts w:ascii="Microsoft YaHei" w:hAnsi="Microsoft YaHei" w:eastAsia="Microsoft YaHei" w:cs="Microsoft YaHei"/>
          <w:sz w:val="21"/>
          <w:szCs w:val="21"/>
          <w:spacing w:val="17"/>
          <w:w w:val="101"/>
        </w:rPr>
        <w:t xml:space="preserve"> </w:t>
      </w:r>
      <w:r>
        <w:rPr>
          <w:rFonts w:ascii="Microsoft YaHei" w:hAnsi="Microsoft YaHei" w:eastAsia="Microsoft YaHei" w:cs="Microsoft YaHei"/>
          <w:sz w:val="21"/>
          <w:szCs w:val="21"/>
          <w:spacing w:val="-1"/>
        </w:rPr>
        <w:t>占比96.7%，比全球占比略低一个百分点，锂</w:t>
      </w:r>
      <w:r>
        <w:rPr>
          <w:rFonts w:ascii="Microsoft YaHei" w:hAnsi="Microsoft YaHei" w:eastAsia="Microsoft YaHei" w:cs="Microsoft YaHei"/>
          <w:sz w:val="21"/>
          <w:szCs w:val="21"/>
          <w:spacing w:val="-2"/>
        </w:rPr>
        <w:t>离子电池占据主流（图 9）。</w:t>
      </w:r>
    </w:p>
    <w:p>
      <w:pPr>
        <w:pStyle w:val="BodyText"/>
        <w:spacing w:line="377" w:lineRule="auto"/>
        <w:rPr/>
      </w:pPr>
      <w:r>
        <w:pict>
          <v:rect id="_x0000_s420" style="position:absolute;margin-left:16.8887pt;margin-top:12.2988pt;mso-position-vertical-relative:text;mso-position-horizontal-relative:text;width:30.5pt;height:5pt;z-index:251973632;" fillcolor="#00B8F5" filled="true" stroked="false"/>
        </w:pict>
      </w:r>
      <w:r>
        <w:pict>
          <v:shape id="_x0000_s422" style="position:absolute;margin-left:53.7287pt;margin-top:22.1389pt;mso-position-vertical-relative:text;mso-position-horizontal-relative:text;width:1pt;height:13.85pt;z-index:251987968;" filled="false" strokecolor="#00B8F5" strokeweight="1.00pt" coordsize="20,277" coordorigin="0,0" path="m10,0l10,276e">
            <v:stroke joinstyle="miter"/>
          </v:shape>
        </w:pict>
      </w:r>
      <w:r/>
    </w:p>
    <w:p>
      <w:pPr>
        <w:ind w:left="1256"/>
        <w:spacing w:before="90" w:line="179" w:lineRule="auto"/>
        <w:rPr>
          <w:rFonts w:ascii="Microsoft YaHei" w:hAnsi="Microsoft YaHei" w:eastAsia="Microsoft YaHei" w:cs="Microsoft YaHei"/>
          <w:sz w:val="21"/>
          <w:szCs w:val="21"/>
        </w:rPr>
      </w:pPr>
      <w:r>
        <mc:AlternateContent xmlns:mc="http://schemas.openxmlformats.org/markup-compatibility/2006">
          <mc:Choice Requires="wps">
            <w:drawing>
              <wp:anchor distT="0" distB="0" distL="0" distR="0" simplePos="0" relativeHeight="251949056" behindDoc="1" locked="0" layoutInCell="1" allowOverlap="1">
                <wp:simplePos x="0" y="0"/>
                <wp:positionH relativeFrom="column">
                  <wp:posOffset>212962</wp:posOffset>
                </wp:positionH>
                <wp:positionV relativeFrom="paragraph">
                  <wp:posOffset>-42258</wp:posOffset>
                </wp:positionV>
                <wp:extent cx="6123940" cy="329565"/>
                <wp:effectExtent l="0" t="0" r="0" b="0"/>
                <wp:wrapNone/>
                <wp:docPr id="244" name="Rect 244"/>
                <wp:cNvGraphicFramePr/>
                <a:graphic>
                  <a:graphicData uri="http://schemas.microsoft.com/office/word/2010/wordprocessingShape">
                    <wps:wsp>
                      <wps:cNvPr id="244" name="Rect 244"/>
                      <wps:cNvSpPr/>
                      <wps:spPr>
                        <a:xfrm>
                          <a:off x="212962" y="-42258"/>
                          <a:ext cx="6123940" cy="329565"/>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424" style="position:absolute;margin-left:16.7687pt;margin-top:-3.32741pt;mso-position-vertical-relative:text;mso-position-horizontal-relative:text;width:482.2pt;height:25.95pt;z-index:-251367424;" fillcolor="#F1F1F1" filled="true" stroked="false"/>
            </w:pict>
          </mc:Fallback>
        </mc:AlternateContent>
      </w:r>
      <w:r>
        <w:pict>
          <v:shape id="_x0000_s426" style="position:absolute;margin-left:23.7778pt;margin-top:3.97325pt;mso-position-vertical-relative:text;mso-position-horizontal-relative:text;width:20.4pt;height:15.05pt;z-index:251972608;" filled="false" stroked="false" type="#_x0000_t202">
            <v:fill on="false"/>
            <v:stroke on="false"/>
            <v:path/>
            <v:imagedata o:title=""/>
            <o:lock v:ext="edit" aspectratio="false"/>
            <v:textbox inset="0mm,0mm,0mm,0mm">
              <w:txbxContent>
                <w:p>
                  <w:pPr>
                    <w:ind w:left="20"/>
                    <w:spacing w:before="19" w:line="17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B8F5"/>
                      <w:spacing w:val="-8"/>
                    </w:rPr>
                    <w:t>图</w:t>
                  </w:r>
                  <w:r>
                    <w:rPr>
                      <w:rFonts w:ascii="Microsoft YaHei" w:hAnsi="Microsoft YaHei" w:eastAsia="Microsoft YaHei" w:cs="Microsoft YaHei"/>
                      <w:sz w:val="21"/>
                      <w:szCs w:val="21"/>
                      <w:b/>
                      <w:bCs/>
                      <w:color w:val="00B8F5"/>
                      <w:spacing w:val="-6"/>
                    </w:rPr>
                    <w:t xml:space="preserve"> </w:t>
                  </w:r>
                  <w:r>
                    <w:rPr>
                      <w:rFonts w:ascii="Microsoft YaHei" w:hAnsi="Microsoft YaHei" w:eastAsia="Microsoft YaHei" w:cs="Microsoft YaHei"/>
                      <w:sz w:val="21"/>
                      <w:szCs w:val="21"/>
                      <w:b/>
                      <w:bCs/>
                      <w:color w:val="00B8F5"/>
                      <w:spacing w:val="-8"/>
                    </w:rPr>
                    <w:t>9</w:t>
                  </w:r>
                </w:p>
              </w:txbxContent>
            </v:textbox>
          </v:shape>
        </w:pict>
      </w:r>
      <w:r>
        <w:rPr>
          <w:rFonts w:ascii="Microsoft YaHei" w:hAnsi="Microsoft YaHei" w:eastAsia="Microsoft YaHei" w:cs="Microsoft YaHei"/>
          <w:sz w:val="21"/>
          <w:szCs w:val="21"/>
          <w:b/>
          <w:bCs/>
          <w:color w:val="00B8F5"/>
          <w:spacing w:val="-1"/>
        </w:rPr>
        <w:t>2021年中国不同储能类型累计装机占比</w:t>
      </w:r>
    </w:p>
    <w:p>
      <w:pPr>
        <w:pStyle w:val="BodyText"/>
        <w:spacing w:line="443" w:lineRule="auto"/>
        <w:rPr/>
      </w:pPr>
      <w:r/>
    </w:p>
    <w:p>
      <w:pPr>
        <w:ind w:firstLine="561"/>
        <w:spacing w:line="3256" w:lineRule="exact"/>
        <w:rPr/>
      </w:pPr>
      <w:r>
        <w:pict>
          <v:shape id="_x0000_s428" style="position:absolute;margin-left:389.259pt;margin-top:98.0467pt;mso-position-vertical-relative:text;mso-position-horizontal-relative:text;width:22.25pt;height:0.5pt;z-index:251988992;" filled="false" strokecolor="#7F7F7F" strokeweight="0.50pt" coordsize="445,10" coordorigin="0,0" path="m0,5l444,5e">
            <v:stroke joinstyle="miter"/>
          </v:shape>
        </w:pict>
      </w:r>
      <w:r>
        <w:pict>
          <v:shape id="_x0000_s430" style="position:absolute;margin-left:199.502pt;margin-top:24.3669pt;mso-position-vertical-relative:text;mso-position-horizontal-relative:text;width:25.5pt;height:18.05pt;z-index:251969536;" filled="false" stroked="false" type="#_x0000_t202">
            <v:fill on="false"/>
            <v:stroke on="false"/>
            <v:path/>
            <v:imagedata o:title=""/>
            <o:lock v:ext="edit" aspectratio="false"/>
            <v:textbox inset="0mm,0mm,0mm,0mm">
              <w:txbxContent>
                <w:p>
                  <w:pPr>
                    <w:spacing w:before="20" w:line="184" w:lineRule="auto"/>
                    <w:jc w:val="right"/>
                    <w:rPr>
                      <w:rFonts w:ascii="Trebuchet MS" w:hAnsi="Trebuchet MS" w:eastAsia="Trebuchet MS" w:cs="Trebuchet MS"/>
                      <w:sz w:val="36"/>
                      <w:szCs w:val="36"/>
                    </w:rPr>
                  </w:pPr>
                  <w:r>
                    <w:rPr>
                      <w:rFonts w:ascii="Trebuchet MS" w:hAnsi="Trebuchet MS" w:eastAsia="Trebuchet MS" w:cs="Trebuchet MS"/>
                      <w:sz w:val="36"/>
                      <w:szCs w:val="36"/>
                      <w:b/>
                      <w:bCs/>
                      <w:color w:val="7F7F7F"/>
                      <w:spacing w:val="-48"/>
                      <w:w w:val="77"/>
                    </w:rPr>
                    <w:t>1</w:t>
                  </w:r>
                  <w:r>
                    <w:rPr>
                      <w:rFonts w:ascii="Trebuchet MS" w:hAnsi="Trebuchet MS" w:eastAsia="Trebuchet MS" w:cs="Trebuchet MS"/>
                      <w:sz w:val="36"/>
                      <w:szCs w:val="36"/>
                      <w:b/>
                      <w:bCs/>
                      <w:color w:val="7F7F7F"/>
                      <w:spacing w:val="-47"/>
                      <w:w w:val="77"/>
                    </w:rPr>
                    <w:t>.2</w:t>
                  </w:r>
                  <w:r>
                    <w:rPr>
                      <w:rFonts w:ascii="Trebuchet MS" w:hAnsi="Trebuchet MS" w:eastAsia="Trebuchet MS" w:cs="Trebuchet MS"/>
                      <w:sz w:val="36"/>
                      <w:szCs w:val="36"/>
                      <w:b/>
                      <w:bCs/>
                      <w:color w:val="7F7F7F"/>
                      <w:spacing w:val="-10"/>
                      <w:w w:val="77"/>
                    </w:rPr>
                    <w:t>%</w:t>
                  </w:r>
                </w:p>
              </w:txbxContent>
            </v:textbox>
          </v:shape>
        </w:pict>
      </w:r>
      <w:r>
        <w:pict>
          <v:shape id="_x0000_s432" style="position:absolute;margin-left:284.325pt;margin-top:60.809pt;mso-position-vertical-relative:text;mso-position-horizontal-relative:text;width:55.9pt;height:40.15pt;z-index:251961344;" filled="false" stroked="false" type="#_x0000_t202">
            <v:fill on="false"/>
            <v:stroke on="false"/>
            <v:path/>
            <v:imagedata o:title=""/>
            <o:lock v:ext="edit" aspectratio="false"/>
            <v:textbox inset="0mm,0mm,0mm,0mm">
              <w:txbxContent>
                <w:p>
                  <w:pPr>
                    <w:ind w:left="49"/>
                    <w:spacing w:before="20" w:line="17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338D"/>
                      <w:spacing w:val="-1"/>
                    </w:rPr>
                    <w:t>锂离子电池</w:t>
                  </w:r>
                </w:p>
                <w:p>
                  <w:pPr>
                    <w:ind w:left="20"/>
                    <w:spacing w:before="69" w:line="184" w:lineRule="auto"/>
                    <w:rPr>
                      <w:rFonts w:ascii="Trebuchet MS" w:hAnsi="Trebuchet MS" w:eastAsia="Trebuchet MS" w:cs="Trebuchet MS"/>
                      <w:sz w:val="48"/>
                      <w:szCs w:val="48"/>
                    </w:rPr>
                  </w:pPr>
                  <w:r>
                    <w:rPr>
                      <w:rFonts w:ascii="Trebuchet MS" w:hAnsi="Trebuchet MS" w:eastAsia="Trebuchet MS" w:cs="Trebuchet MS"/>
                      <w:sz w:val="48"/>
                      <w:szCs w:val="48"/>
                      <w:b/>
                      <w:bCs/>
                      <w:color w:val="00338D"/>
                      <w:spacing w:val="-37"/>
                      <w:w w:val="82"/>
                    </w:rPr>
                    <w:t>89.7%</w:t>
                  </w:r>
                </w:p>
              </w:txbxContent>
            </v:textbox>
          </v:shape>
        </w:pict>
      </w:r>
      <w:r>
        <w:pict>
          <v:shape id="_x0000_s434" style="position:absolute;margin-left:50.115pt;margin-top:61.8193pt;mso-position-vertical-relative:text;mso-position-horizontal-relative:text;width:46pt;height:39.95pt;z-index:251963392;" filled="false" stroked="false" type="#_x0000_t202">
            <v:fill on="false"/>
            <v:stroke on="false"/>
            <v:path/>
            <v:imagedata o:title=""/>
            <o:lock v:ext="edit" aspectratio="false"/>
            <v:textbox inset="0mm,0mm,0mm,0mm">
              <w:txbxContent>
                <w:p>
                  <w:pPr>
                    <w:ind w:left="37"/>
                    <w:spacing w:before="20" w:line="17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FFFFFF"/>
                      <w:spacing w:val="-1"/>
                    </w:rPr>
                    <w:t>抽水蓄能</w:t>
                  </w:r>
                </w:p>
                <w:p>
                  <w:pPr>
                    <w:spacing w:before="66" w:line="184" w:lineRule="auto"/>
                    <w:jc w:val="right"/>
                    <w:rPr>
                      <w:rFonts w:ascii="Trebuchet MS" w:hAnsi="Trebuchet MS" w:eastAsia="Trebuchet MS" w:cs="Trebuchet MS"/>
                      <w:sz w:val="48"/>
                      <w:szCs w:val="48"/>
                    </w:rPr>
                  </w:pPr>
                  <w:r>
                    <w:rPr>
                      <w:rFonts w:ascii="Trebuchet MS" w:hAnsi="Trebuchet MS" w:eastAsia="Trebuchet MS" w:cs="Trebuchet MS"/>
                      <w:sz w:val="48"/>
                      <w:szCs w:val="48"/>
                      <w:b/>
                      <w:bCs/>
                      <w:color w:val="FFFFFF"/>
                      <w:spacing w:val="-50"/>
                      <w:w w:val="80"/>
                    </w:rPr>
                    <w:t>8</w:t>
                  </w:r>
                  <w:r>
                    <w:rPr>
                      <w:rFonts w:ascii="Trebuchet MS" w:hAnsi="Trebuchet MS" w:eastAsia="Trebuchet MS" w:cs="Trebuchet MS"/>
                      <w:sz w:val="48"/>
                      <w:szCs w:val="48"/>
                      <w:b/>
                      <w:bCs/>
                      <w:color w:val="FFFFFF"/>
                      <w:spacing w:val="-49"/>
                      <w:w w:val="80"/>
                    </w:rPr>
                    <w:t>6.3</w:t>
                  </w:r>
                  <w:r>
                    <w:rPr>
                      <w:rFonts w:ascii="Trebuchet MS" w:hAnsi="Trebuchet MS" w:eastAsia="Trebuchet MS" w:cs="Trebuchet MS"/>
                      <w:sz w:val="48"/>
                      <w:szCs w:val="48"/>
                      <w:b/>
                      <w:bCs/>
                      <w:color w:val="FFFFFF"/>
                      <w:spacing w:val="-13"/>
                      <w:w w:val="80"/>
                    </w:rPr>
                    <w:t>%</w:t>
                  </w:r>
                </w:p>
              </w:txbxContent>
            </v:textbox>
          </v:shape>
        </w:pict>
      </w:r>
      <w:r>
        <w:pict>
          <v:shape id="_x0000_s436" style="position:absolute;margin-left:143.18pt;margin-top:65.6983pt;mso-position-vertical-relative:text;mso-position-horizontal-relative:text;width:44.4pt;height:31.95pt;z-index:251964416;" filled="false" stroked="false" type="#_x0000_t202">
            <v:fill on="false"/>
            <v:stroke on="false"/>
            <v:path/>
            <v:imagedata o:title=""/>
            <o:lock v:ext="edit" aspectratio="false"/>
            <v:textbox inset="0mm,0mm,0mm,0mm">
              <w:txbxContent>
                <w:p>
                  <w:pPr>
                    <w:ind w:left="32"/>
                    <w:spacing w:before="20" w:line="17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FFFFFF"/>
                      <w:spacing w:val="-1"/>
                    </w:rPr>
                    <w:t>新型储能</w:t>
                  </w:r>
                </w:p>
                <w:p>
                  <w:pPr>
                    <w:ind w:left="20"/>
                    <w:spacing w:before="11" w:line="184" w:lineRule="auto"/>
                    <w:rPr>
                      <w:rFonts w:ascii="Trebuchet MS" w:hAnsi="Trebuchet MS" w:eastAsia="Trebuchet MS" w:cs="Trebuchet MS"/>
                      <w:sz w:val="36"/>
                      <w:szCs w:val="36"/>
                    </w:rPr>
                  </w:pPr>
                  <w:r>
                    <w:rPr>
                      <w:rFonts w:ascii="Trebuchet MS" w:hAnsi="Trebuchet MS" w:eastAsia="Trebuchet MS" w:cs="Trebuchet MS"/>
                      <w:sz w:val="36"/>
                      <w:szCs w:val="36"/>
                      <w:b/>
                      <w:bCs/>
                      <w:color w:val="FFFFFF"/>
                      <w:spacing w:val="-42"/>
                      <w:w w:val="85"/>
                    </w:rPr>
                    <w:t>12.5%</w:t>
                  </w:r>
                </w:p>
              </w:txbxContent>
            </v:textbox>
          </v:shape>
        </w:pict>
      </w:r>
      <w:r>
        <w:pict>
          <v:shape id="_x0000_s438" style="position:absolute;margin-left:460.074pt;margin-top:66.4304pt;mso-position-vertical-relative:text;mso-position-horizontal-relative:text;width:27.55pt;height:65.75pt;z-index:251962368;" filled="false" stroked="false" type="#_x0000_t202">
            <v:fill on="false"/>
            <v:stroke on="false"/>
            <v:path/>
            <v:imagedata o:title=""/>
            <o:lock v:ext="edit" aspectratio="false"/>
            <v:textbox inset="0mm,0mm,0mm,0mm">
              <w:txbxContent>
                <w:p>
                  <w:pPr>
                    <w:ind w:left="20"/>
                    <w:spacing w:before="20" w:line="187" w:lineRule="auto"/>
                    <w:rPr>
                      <w:rFonts w:ascii="Trebuchet MS" w:hAnsi="Trebuchet MS" w:eastAsia="Trebuchet MS" w:cs="Trebuchet MS"/>
                      <w:sz w:val="36"/>
                      <w:szCs w:val="36"/>
                    </w:rPr>
                  </w:pPr>
                  <w:r>
                    <w:rPr>
                      <w:rFonts w:ascii="Trebuchet MS" w:hAnsi="Trebuchet MS" w:eastAsia="Trebuchet MS" w:cs="Trebuchet MS"/>
                      <w:sz w:val="36"/>
                      <w:szCs w:val="36"/>
                      <w:b/>
                      <w:bCs/>
                      <w:color w:val="00C0AE"/>
                      <w:spacing w:val="-12"/>
                      <w:w w:val="89"/>
                    </w:rPr>
                    <w:t>7%</w:t>
                  </w:r>
                </w:p>
                <w:p>
                  <w:pPr>
                    <w:spacing w:before="131" w:line="184" w:lineRule="auto"/>
                    <w:jc w:val="right"/>
                    <w:rPr>
                      <w:rFonts w:ascii="Trebuchet MS" w:hAnsi="Trebuchet MS" w:eastAsia="Trebuchet MS" w:cs="Trebuchet MS"/>
                      <w:sz w:val="36"/>
                      <w:szCs w:val="36"/>
                    </w:rPr>
                  </w:pPr>
                  <w:r>
                    <w:rPr>
                      <w:rFonts w:ascii="Trebuchet MS" w:hAnsi="Trebuchet MS" w:eastAsia="Trebuchet MS" w:cs="Trebuchet MS"/>
                      <w:sz w:val="36"/>
                      <w:szCs w:val="36"/>
                      <w:b/>
                      <w:bCs/>
                      <w:color w:val="FD349C"/>
                      <w:spacing w:val="-46"/>
                      <w:w w:val="78"/>
                    </w:rPr>
                    <w:t>0.1</w:t>
                  </w:r>
                  <w:r>
                    <w:rPr>
                      <w:rFonts w:ascii="Trebuchet MS" w:hAnsi="Trebuchet MS" w:eastAsia="Trebuchet MS" w:cs="Trebuchet MS"/>
                      <w:sz w:val="36"/>
                      <w:szCs w:val="36"/>
                      <w:b/>
                      <w:bCs/>
                      <w:color w:val="FD349C"/>
                      <w:spacing w:val="-10"/>
                      <w:w w:val="78"/>
                    </w:rPr>
                    <w:t>%</w:t>
                  </w:r>
                </w:p>
                <w:p>
                  <w:pPr>
                    <w:spacing w:before="176" w:line="184" w:lineRule="auto"/>
                    <w:jc w:val="right"/>
                    <w:rPr>
                      <w:rFonts w:ascii="Trebuchet MS" w:hAnsi="Trebuchet MS" w:eastAsia="Trebuchet MS" w:cs="Trebuchet MS"/>
                      <w:sz w:val="36"/>
                      <w:szCs w:val="36"/>
                    </w:rPr>
                  </w:pPr>
                  <w:r>
                    <w:rPr>
                      <w:rFonts w:ascii="Trebuchet MS" w:hAnsi="Trebuchet MS" w:eastAsia="Trebuchet MS" w:cs="Trebuchet MS"/>
                      <w:sz w:val="36"/>
                      <w:szCs w:val="36"/>
                      <w:b/>
                      <w:bCs/>
                      <w:color w:val="7F7F7F"/>
                      <w:spacing w:val="-36"/>
                      <w:w w:val="77"/>
                    </w:rPr>
                    <w:t>3</w:t>
                  </w:r>
                  <w:r>
                    <w:rPr>
                      <w:rFonts w:ascii="Trebuchet MS" w:hAnsi="Trebuchet MS" w:eastAsia="Trebuchet MS" w:cs="Trebuchet MS"/>
                      <w:sz w:val="36"/>
                      <w:szCs w:val="36"/>
                      <w:b/>
                      <w:bCs/>
                      <w:color w:val="7F7F7F"/>
                      <w:spacing w:val="-35"/>
                      <w:w w:val="77"/>
                    </w:rPr>
                    <w:t>.2</w:t>
                  </w:r>
                  <w:r>
                    <w:rPr>
                      <w:rFonts w:ascii="Trebuchet MS" w:hAnsi="Trebuchet MS" w:eastAsia="Trebuchet MS" w:cs="Trebuchet MS"/>
                      <w:sz w:val="36"/>
                      <w:szCs w:val="36"/>
                      <w:b/>
                      <w:bCs/>
                      <w:color w:val="7F7F7F"/>
                      <w:spacing w:val="-10"/>
                      <w:w w:val="77"/>
                    </w:rPr>
                    <w:t>%</w:t>
                  </w:r>
                </w:p>
              </w:txbxContent>
            </v:textbox>
          </v:shape>
        </w:pict>
      </w:r>
      <w:r>
        <w:pict>
          <v:shape id="_x0000_s440" style="position:absolute;margin-left:412.06pt;margin-top:69.9117pt;mso-position-vertical-relative:text;mso-position-horizontal-relative:text;width:45.5pt;height:60.25pt;z-index:251960320;" filled="false" stroked="false" type="#_x0000_t202">
            <v:fill on="false"/>
            <v:stroke on="false"/>
            <v:path/>
            <v:imagedata o:title=""/>
            <o:lock v:ext="edit" aspectratio="false"/>
            <v:textbox inset="0mm,0mm,0mm,0mm">
              <w:txbxContent>
                <w:p>
                  <w:pPr>
                    <w:ind w:left="20"/>
                    <w:spacing w:before="19" w:line="17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C0AE"/>
                      <w:spacing w:val="-2"/>
                    </w:rPr>
                    <w:t>其他电池</w:t>
                  </w:r>
                </w:p>
                <w:p>
                  <w:pPr>
                    <w:ind w:left="50"/>
                    <w:spacing w:before="191" w:line="17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FD349C"/>
                      <w:spacing w:val="-2"/>
                    </w:rPr>
                    <w:t>飞轮储能</w:t>
                  </w:r>
                </w:p>
                <w:p>
                  <w:pPr>
                    <w:ind w:left="52"/>
                    <w:spacing w:before="179" w:line="17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575757"/>
                      <w:spacing w:val="-1"/>
                    </w:rPr>
                    <w:t>压缩空气</w:t>
                  </w:r>
                </w:p>
              </w:txbxContent>
            </v:textbox>
          </v:shape>
        </w:pict>
      </w:r>
      <w:r>
        <w:drawing>
          <wp:anchor distT="0" distB="0" distL="0" distR="0" simplePos="0" relativeHeight="251950080" behindDoc="1" locked="0" layoutInCell="1" allowOverlap="1">
            <wp:simplePos x="0" y="0"/>
            <wp:positionH relativeFrom="column">
              <wp:posOffset>356649</wp:posOffset>
            </wp:positionH>
            <wp:positionV relativeFrom="paragraph">
              <wp:posOffset>211</wp:posOffset>
            </wp:positionV>
            <wp:extent cx="4647910" cy="2067414"/>
            <wp:effectExtent l="0" t="0" r="0" b="0"/>
            <wp:wrapNone/>
            <wp:docPr id="246" name="IM 246"/>
            <wp:cNvGraphicFramePr/>
            <a:graphic>
              <a:graphicData uri="http://schemas.openxmlformats.org/drawingml/2006/picture">
                <pic:pic>
                  <pic:nvPicPr>
                    <pic:cNvPr id="246" name="IM 246"/>
                    <pic:cNvPicPr/>
                  </pic:nvPicPr>
                  <pic:blipFill>
                    <a:blip r:embed="rId117"/>
                    <a:stretch>
                      <a:fillRect/>
                    </a:stretch>
                  </pic:blipFill>
                  <pic:spPr>
                    <a:xfrm rot="0">
                      <a:off x="0" y="0"/>
                      <a:ext cx="4647910" cy="2067414"/>
                    </a:xfrm>
                    <a:prstGeom prst="rect">
                      <a:avLst/>
                    </a:prstGeom>
                  </pic:spPr>
                </pic:pic>
              </a:graphicData>
            </a:graphic>
          </wp:anchor>
        </w:drawing>
      </w:r>
      <w:r>
        <w:pict>
          <v:shape id="_x0000_s442" style="position:absolute;margin-left:392.538pt;margin-top:75.9804pt;mso-position-vertical-relative:text;mso-position-horizontal-relative:text;width:19.05pt;height:6.95pt;z-index:251979776;" filled="false" strokecolor="#7F7F7F" strokeweight="0.50pt" coordsize="380,138" coordorigin="0,0" path="m1,133l378,4e">
            <v:stroke joinstyle="miter"/>
          </v:shape>
        </w:pict>
      </w:r>
      <w:r>
        <w:pict>
          <v:shape id="_x0000_s444" style="position:absolute;margin-left:386.731pt;margin-top:104.082pt;mso-position-vertical-relative:text;mso-position-horizontal-relative:text;width:24.9pt;height:15.05pt;z-index:251968512;" filled="false" strokecolor="#7F7F7F" strokeweight="0.50pt" coordsize="497,301" coordorigin="0,0" path="m2,4l495,296e">
            <v:stroke joinstyle="miter"/>
          </v:shape>
        </w:pict>
      </w:r>
      <w:r>
        <w:rPr>
          <w:position w:val="-65"/>
        </w:rPr>
        <w:pict>
          <v:group id="_x0000_s446" style="mso-position-vertical-relative:line;mso-position-horizontal-relative:char;width:366pt;height:162.8pt;" filled="false" stroked="false" coordsize="7320,3256" coordorigin="0,0">
            <v:shape id="_x0000_s448" style="position:absolute;left:-20;top:-20;width:7360;height:3296;" filled="false" stroked="false" type="#_x0000_t202">
              <v:fill on="false"/>
              <v:stroke on="false"/>
              <v:path/>
              <v:imagedata o:title=""/>
              <o:lock v:ext="edit" aspectratio="false"/>
              <v:textbox inset="0mm,0mm,0mm,0mm">
                <w:txbxContent>
                  <w:p>
                    <w:pPr>
                      <w:ind w:left="3455"/>
                      <w:spacing w:before="237" w:line="17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7F7F7F"/>
                        <w:spacing w:val="-1"/>
                      </w:rPr>
                      <w:t>熔融盐储热</w:t>
                    </w:r>
                  </w:p>
                </w:txbxContent>
              </v:textbox>
            </v:shape>
          </v:group>
        </w:pict>
      </w:r>
    </w:p>
    <w:p>
      <w:pPr>
        <w:ind w:left="343"/>
        <w:spacing w:before="296" w:line="197"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3"/>
        </w:rPr>
        <w:t>数据来源：</w:t>
      </w:r>
      <w:r>
        <w:rPr>
          <w:rFonts w:ascii="Microsoft YaHei" w:hAnsi="Microsoft YaHei" w:eastAsia="Microsoft YaHei" w:cs="Microsoft YaHei"/>
          <w:sz w:val="15"/>
          <w:szCs w:val="15"/>
          <w:spacing w:val="47"/>
        </w:rPr>
        <w:t xml:space="preserve"> </w:t>
      </w:r>
      <w:r>
        <w:rPr>
          <w:rFonts w:ascii="Microsoft YaHei" w:hAnsi="Microsoft YaHei" w:eastAsia="Microsoft YaHei" w:cs="Microsoft YaHei"/>
          <w:sz w:val="15"/>
          <w:szCs w:val="15"/>
        </w:rPr>
        <w:t>CNESA</w:t>
      </w:r>
      <w:r>
        <w:rPr>
          <w:rFonts w:ascii="Microsoft YaHei" w:hAnsi="Microsoft YaHei" w:eastAsia="Microsoft YaHei" w:cs="Microsoft YaHei"/>
          <w:sz w:val="15"/>
          <w:szCs w:val="15"/>
          <w:spacing w:val="3"/>
        </w:rPr>
        <w:t>, 毕马威分析</w:t>
      </w:r>
    </w:p>
    <w:p>
      <w:pPr>
        <w:pStyle w:val="BodyText"/>
        <w:spacing w:line="248" w:lineRule="auto"/>
        <w:rPr/>
      </w:pPr>
      <w:r/>
    </w:p>
    <w:p>
      <w:pPr>
        <w:ind w:left="341" w:right="2830" w:firstLine="4"/>
        <w:spacing w:before="91" w:line="215"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截至2022年底，全国电力安全生产委员会19家企业成员单位累计投运电化学储能电站</w:t>
      </w:r>
      <w:r>
        <w:rPr>
          <w:rFonts w:ascii="Microsoft YaHei" w:hAnsi="Microsoft YaHei" w:eastAsia="Microsoft YaHei" w:cs="Microsoft YaHei"/>
          <w:sz w:val="21"/>
          <w:szCs w:val="21"/>
          <w:spacing w:val="3"/>
        </w:rPr>
        <w:t xml:space="preserve">    </w:t>
      </w:r>
      <w:r>
        <w:rPr>
          <w:rFonts w:ascii="Microsoft YaHei" w:hAnsi="Microsoft YaHei" w:eastAsia="Microsoft YaHei" w:cs="Microsoft YaHei"/>
          <w:sz w:val="21"/>
          <w:szCs w:val="21"/>
          <w:spacing w:val="-3"/>
        </w:rPr>
        <w:t>472座、</w:t>
      </w:r>
      <w:r>
        <w:rPr>
          <w:rFonts w:ascii="Microsoft YaHei" w:hAnsi="Microsoft YaHei" w:eastAsia="Microsoft YaHei" w:cs="Microsoft YaHei"/>
          <w:sz w:val="21"/>
          <w:szCs w:val="21"/>
          <w:spacing w:val="-42"/>
        </w:rPr>
        <w:t xml:space="preserve"> </w:t>
      </w:r>
      <w:r>
        <w:rPr>
          <w:rFonts w:ascii="Microsoft YaHei" w:hAnsi="Microsoft YaHei" w:eastAsia="Microsoft YaHei" w:cs="Microsoft YaHei"/>
          <w:sz w:val="21"/>
          <w:szCs w:val="21"/>
          <w:spacing w:val="-3"/>
        </w:rPr>
        <w:t>总能量14.1GWh、</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3"/>
        </w:rPr>
        <w:t>同比增长127%；2022年</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，新增投运电化学储能电站194座、</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总能量7.9GWh，占已投运电站总能量的60.2%，同比增长176%（图 10）。</w:t>
      </w:r>
    </w:p>
    <w:p>
      <w:pPr>
        <w:pStyle w:val="BodyText"/>
        <w:spacing w:line="373" w:lineRule="auto"/>
        <w:rPr/>
      </w:pPr>
      <w:r>
        <w:pict>
          <v:rect id="_x0000_s450" style="position:absolute;margin-left:16.8887pt;margin-top:12.0075pt;mso-position-vertical-relative:text;mso-position-horizontal-relative:text;width:30.5pt;height:5pt;z-index:251974656;" fillcolor="#00B8F5" filled="true" stroked="false"/>
        </w:pict>
      </w:r>
      <w:r/>
    </w:p>
    <w:p>
      <w:pPr>
        <w:ind w:left="1267"/>
        <w:spacing w:before="90" w:line="187" w:lineRule="auto"/>
        <w:rPr>
          <w:rFonts w:ascii="Microsoft YaHei" w:hAnsi="Microsoft YaHei" w:eastAsia="Microsoft YaHei" w:cs="Microsoft YaHei"/>
          <w:sz w:val="21"/>
          <w:szCs w:val="21"/>
        </w:rPr>
      </w:pPr>
      <w:r>
        <mc:AlternateContent xmlns:mc="http://schemas.openxmlformats.org/markup-compatibility/2006">
          <mc:Choice Requires="wps">
            <w:drawing>
              <wp:anchor distT="0" distB="0" distL="0" distR="0" simplePos="0" relativeHeight="251951104" behindDoc="1" locked="0" layoutInCell="1" allowOverlap="1">
                <wp:simplePos x="0" y="0"/>
                <wp:positionH relativeFrom="column">
                  <wp:posOffset>212962</wp:posOffset>
                </wp:positionH>
                <wp:positionV relativeFrom="paragraph">
                  <wp:posOffset>-40353</wp:posOffset>
                </wp:positionV>
                <wp:extent cx="6123940" cy="329565"/>
                <wp:effectExtent l="0" t="0" r="0" b="0"/>
                <wp:wrapNone/>
                <wp:docPr id="248" name="Rect 248"/>
                <wp:cNvGraphicFramePr/>
                <a:graphic>
                  <a:graphicData uri="http://schemas.microsoft.com/office/word/2010/wordprocessingShape">
                    <wps:wsp>
                      <wps:cNvPr id="248" name="Rect 248"/>
                      <wps:cNvSpPr/>
                      <wps:spPr>
                        <a:xfrm>
                          <a:off x="212962" y="-40353"/>
                          <a:ext cx="6123940" cy="329565"/>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452" style="position:absolute;margin-left:16.7687pt;margin-top:-3.17744pt;mso-position-vertical-relative:text;mso-position-horizontal-relative:text;width:482.2pt;height:25.95pt;z-index:-251365376;" fillcolor="#F1F1F1" filled="true" stroked="false"/>
            </w:pict>
          </mc:Fallback>
        </mc:AlternateContent>
      </w:r>
      <w:r>
        <w:pict>
          <v:shape id="_x0000_s454" style="position:absolute;margin-left:23.7777pt;margin-top:1.82256pt;mso-position-vertical-relative:text;mso-position-horizontal-relative:text;width:31.5pt;height:18.2pt;z-index:251967488;" filled="false" stroked="false" type="#_x0000_t202">
            <v:fill on="false"/>
            <v:stroke on="false"/>
            <v:path/>
            <v:imagedata o:title=""/>
            <o:lock v:ext="edit" aspectratio="false"/>
            <v:textbox inset="0mm,0mm,0mm,0mm">
              <w:txbxContent>
                <w:p>
                  <w:pPr>
                    <w:ind w:left="20"/>
                    <w:spacing w:before="20" w:line="215" w:lineRule="auto"/>
                    <w:rPr>
                      <w:sz w:val="21"/>
                      <w:szCs w:val="21"/>
                    </w:rPr>
                  </w:pPr>
                  <w:r>
                    <w:rPr>
                      <w:rFonts w:ascii="Microsoft YaHei" w:hAnsi="Microsoft YaHei" w:eastAsia="Microsoft YaHei" w:cs="Microsoft YaHei"/>
                      <w:sz w:val="21"/>
                      <w:szCs w:val="21"/>
                      <w:b/>
                      <w:bCs/>
                      <w:color w:val="00B8F5"/>
                      <w:spacing w:val="-14"/>
                    </w:rPr>
                    <w:t>图</w:t>
                  </w:r>
                  <w:r>
                    <w:rPr>
                      <w:rFonts w:ascii="Microsoft YaHei" w:hAnsi="Microsoft YaHei" w:eastAsia="Microsoft YaHei" w:cs="Microsoft YaHei"/>
                      <w:sz w:val="21"/>
                      <w:szCs w:val="21"/>
                      <w:b/>
                      <w:bCs/>
                      <w:color w:val="00B8F5"/>
                      <w:spacing w:val="2"/>
                    </w:rPr>
                    <w:t xml:space="preserve"> </w:t>
                  </w:r>
                  <w:r>
                    <w:rPr>
                      <w:rFonts w:ascii="Microsoft YaHei" w:hAnsi="Microsoft YaHei" w:eastAsia="Microsoft YaHei" w:cs="Microsoft YaHei"/>
                      <w:sz w:val="21"/>
                      <w:szCs w:val="21"/>
                      <w:b/>
                      <w:bCs/>
                      <w:color w:val="00B8F5"/>
                      <w:spacing w:val="-14"/>
                    </w:rPr>
                    <w:t>10</w:t>
                  </w:r>
                  <w:r>
                    <w:rPr>
                      <w:rFonts w:ascii="Microsoft YaHei" w:hAnsi="Microsoft YaHei" w:eastAsia="Microsoft YaHei" w:cs="Microsoft YaHei"/>
                      <w:sz w:val="21"/>
                      <w:szCs w:val="21"/>
                      <w:b/>
                      <w:bCs/>
                      <w:color w:val="00B8F5"/>
                      <w:spacing w:val="13"/>
                    </w:rPr>
                    <w:t xml:space="preserve"> </w:t>
                  </w:r>
                  <w:r>
                    <w:rPr>
                      <w:sz w:val="21"/>
                      <w:szCs w:val="21"/>
                      <w:position w:val="-5"/>
                    </w:rPr>
                    <w:drawing>
                      <wp:inline distT="0" distB="0" distL="0" distR="0">
                        <wp:extent cx="12700" cy="175666"/>
                        <wp:effectExtent l="0" t="0" r="0" b="0"/>
                        <wp:docPr id="250" name="IM 250"/>
                        <wp:cNvGraphicFramePr/>
                        <a:graphic>
                          <a:graphicData uri="http://schemas.openxmlformats.org/drawingml/2006/picture">
                            <pic:pic>
                              <pic:nvPicPr>
                                <pic:cNvPr id="250" name="IM 250"/>
                                <pic:cNvPicPr/>
                              </pic:nvPicPr>
                              <pic:blipFill>
                                <a:blip r:embed="rId118"/>
                                <a:stretch>
                                  <a:fillRect/>
                                </a:stretch>
                              </pic:blipFill>
                              <pic:spPr>
                                <a:xfrm rot="0">
                                  <a:off x="0" y="0"/>
                                  <a:ext cx="12700" cy="175666"/>
                                </a:xfrm>
                                <a:prstGeom prst="rect">
                                  <a:avLst/>
                                </a:prstGeom>
                              </pic:spPr>
                            </pic:pic>
                          </a:graphicData>
                        </a:graphic>
                      </wp:inline>
                    </w:drawing>
                  </w:r>
                </w:p>
              </w:txbxContent>
            </v:textbox>
          </v:shape>
        </w:pict>
      </w:r>
      <w:r>
        <w:rPr>
          <w:rFonts w:ascii="Microsoft YaHei" w:hAnsi="Microsoft YaHei" w:eastAsia="Microsoft YaHei" w:cs="Microsoft YaHei"/>
          <w:sz w:val="21"/>
          <w:szCs w:val="21"/>
          <w:b/>
          <w:bCs/>
          <w:color w:val="00B8F5"/>
          <w:spacing w:val="-5"/>
        </w:rPr>
        <w:t>中国电化学储能装机量，MWh</w:t>
      </w:r>
    </w:p>
    <w:p>
      <w:pPr>
        <w:pStyle w:val="BodyText"/>
        <w:spacing w:line="267" w:lineRule="auto"/>
        <w:rPr/>
      </w:pPr>
      <w:r/>
    </w:p>
    <w:p>
      <w:pPr>
        <w:ind w:left="348"/>
        <w:spacing w:before="78" w:line="163" w:lineRule="exact"/>
        <w:rPr>
          <w:rFonts w:ascii="Microsoft YaHei" w:hAnsi="Microsoft YaHei" w:eastAsia="Microsoft YaHei" w:cs="Microsoft YaHei"/>
          <w:sz w:val="18"/>
          <w:szCs w:val="18"/>
        </w:rPr>
      </w:pPr>
      <w:r>
        <w:pict>
          <v:shape id="_x0000_s456" style="position:absolute;margin-left:51.1038pt;margin-top:7.9008pt;mso-position-vertical-relative:text;mso-position-horizontal-relative:text;width:4pt;height:156.15pt;z-index:251965440;" filled="false" strokecolor="#000000" strokeweight="0.75pt" coordsize="80,3122" coordorigin="0,0" path="m71,3050l71,7m0,3050l71,3050m0,2671l71,2671m0,2292l71,2292m0,1908l71,1908m0,1529l71,1529m0,1149l71,1149m0,770l71,770m0,391l71,391m0,7l71,7m71,3050l71,3122e">
            <v:stroke miterlimit="10"/>
          </v:shape>
        </w:pict>
      </w:r>
      <w:r>
        <w:rPr>
          <w:rFonts w:ascii="Microsoft YaHei" w:hAnsi="Microsoft YaHei" w:eastAsia="Microsoft YaHei" w:cs="Microsoft YaHei"/>
          <w:sz w:val="18"/>
          <w:szCs w:val="18"/>
          <w:spacing w:val="-5"/>
          <w:position w:val="-1"/>
        </w:rPr>
        <w:t>16,000</w:t>
      </w:r>
    </w:p>
    <w:p>
      <w:pPr>
        <w:ind w:left="9525"/>
        <w:spacing w:before="1" w:line="176"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00B8F5"/>
          <w:spacing w:val="-2"/>
        </w:rPr>
        <w:t>14,054</w:t>
      </w:r>
    </w:p>
    <w:p>
      <w:pPr>
        <w:ind w:left="348"/>
        <w:spacing w:before="27" w:line="179" w:lineRule="auto"/>
        <w:rPr>
          <w:rFonts w:ascii="Microsoft YaHei" w:hAnsi="Microsoft YaHei" w:eastAsia="Microsoft YaHei" w:cs="Microsoft YaHei"/>
          <w:sz w:val="18"/>
          <w:szCs w:val="18"/>
        </w:rPr>
      </w:pPr>
      <w:r>
        <w:pict>
          <v:rect id="_x0000_s458" style="position:absolute;margin-left:478.279pt;margin-top:4.98884pt;mso-position-vertical-relative:text;mso-position-horizontal-relative:text;width:18.05pt;height:133.7pt;z-index:251955200;" fillcolor="#00B8F5" filled="true" stroked="false"/>
        </w:pict>
      </w:r>
      <w:r>
        <w:rPr>
          <w:rFonts w:ascii="Microsoft YaHei" w:hAnsi="Microsoft YaHei" w:eastAsia="Microsoft YaHei" w:cs="Microsoft YaHei"/>
          <w:sz w:val="18"/>
          <w:szCs w:val="18"/>
          <w:spacing w:val="-5"/>
        </w:rPr>
        <w:t>14,000</w:t>
      </w:r>
    </w:p>
    <w:p>
      <w:pPr>
        <w:ind w:left="348"/>
        <w:spacing w:before="150" w:line="179"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5"/>
        </w:rPr>
        <w:t>12,000</w:t>
      </w:r>
    </w:p>
    <w:p>
      <w:pPr>
        <w:ind w:left="348"/>
        <w:spacing w:before="150" w:line="193" w:lineRule="exact"/>
        <w:rPr>
          <w:rFonts w:ascii="Microsoft YaHei" w:hAnsi="Microsoft YaHei" w:eastAsia="Microsoft YaHei" w:cs="Microsoft YaHei"/>
          <w:sz w:val="18"/>
          <w:szCs w:val="18"/>
        </w:rPr>
      </w:pPr>
      <w:r>
        <w:rPr>
          <w:rFonts w:ascii="Microsoft YaHei" w:hAnsi="Microsoft YaHei" w:eastAsia="Microsoft YaHei" w:cs="Microsoft YaHei"/>
          <w:sz w:val="18"/>
          <w:szCs w:val="18"/>
          <w:spacing w:val="-5"/>
        </w:rPr>
        <w:t>10,000</w:t>
      </w:r>
    </w:p>
    <w:p>
      <w:pPr>
        <w:ind w:left="9204"/>
        <w:spacing w:before="1" w:line="174"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00338D"/>
          <w:spacing w:val="-1"/>
        </w:rPr>
        <w:t>7,857</w:t>
      </w:r>
    </w:p>
    <w:p>
      <w:pPr>
        <w:ind w:left="440"/>
        <w:spacing w:line="179" w:lineRule="auto"/>
        <w:rPr>
          <w:rFonts w:ascii="Microsoft YaHei" w:hAnsi="Microsoft YaHei" w:eastAsia="Microsoft YaHei" w:cs="Microsoft YaHei"/>
          <w:sz w:val="18"/>
          <w:szCs w:val="18"/>
        </w:rPr>
      </w:pPr>
      <w:r>
        <w:pict>
          <v:rect id="_x0000_s460" style="position:absolute;margin-left:460.529pt;margin-top:5.37837pt;mso-position-vertical-relative:text;mso-position-horizontal-relative:text;width:18pt;height:74.9pt;z-index:251956224;" fillcolor="#00338D" filled="true" stroked="false"/>
        </w:pict>
      </w:r>
      <w:r>
        <w:pict>
          <v:shape id="_x0000_s462" style="position:absolute;margin-left:432.508pt;margin-top:5.39177pt;mso-position-vertical-relative:text;mso-position-horizontal-relative:text;width:21.1pt;height:11.95pt;z-index:251977728;" filled="false" stroked="false" type="#_x0000_t202">
            <v:fill on="false"/>
            <v:stroke on="false"/>
            <v:path/>
            <v:imagedata o:title=""/>
            <o:lock v:ext="edit" aspectratio="false"/>
            <v:textbox inset="0mm,0mm,0mm,0mm">
              <w:txbxContent>
                <w:p>
                  <w:pPr>
                    <w:ind w:left="20"/>
                    <w:spacing w:before="19" w:line="185"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00B8F5"/>
                      <w:spacing w:val="-1"/>
                    </w:rPr>
                    <w:t>6,197</w:t>
                  </w:r>
                </w:p>
              </w:txbxContent>
            </v:textbox>
          </v:shape>
        </w:pict>
      </w:r>
      <w:r>
        <w:rPr>
          <w:rFonts w:ascii="Microsoft YaHei" w:hAnsi="Microsoft YaHei" w:eastAsia="Microsoft YaHei" w:cs="Microsoft YaHei"/>
          <w:sz w:val="18"/>
          <w:szCs w:val="18"/>
          <w:spacing w:val="-4"/>
        </w:rPr>
        <w:t>8,000</w:t>
      </w:r>
    </w:p>
    <w:p>
      <w:pPr>
        <w:ind w:left="442"/>
        <w:spacing w:before="150" w:line="179" w:lineRule="auto"/>
        <w:rPr>
          <w:rFonts w:ascii="Microsoft YaHei" w:hAnsi="Microsoft YaHei" w:eastAsia="Microsoft YaHei" w:cs="Microsoft YaHei"/>
          <w:sz w:val="18"/>
          <w:szCs w:val="18"/>
        </w:rPr>
      </w:pPr>
      <w:r>
        <w:pict>
          <v:rect id="_x0000_s464" style="position:absolute;margin-left:433.639pt;margin-top:9.44255pt;mso-position-vertical-relative:text;mso-position-horizontal-relative:text;width:18.3pt;height:59.3pt;z-index:251957248;" fillcolor="#00B8F5" filled="true" stroked="false"/>
        </w:pict>
      </w:r>
      <w:r>
        <w:rPr>
          <w:rFonts w:ascii="Microsoft YaHei" w:hAnsi="Microsoft YaHei" w:eastAsia="Microsoft YaHei" w:cs="Microsoft YaHei"/>
          <w:sz w:val="18"/>
          <w:szCs w:val="18"/>
          <w:spacing w:val="-4"/>
        </w:rPr>
        <w:t>6,000</w:t>
      </w:r>
    </w:p>
    <w:p>
      <w:pPr>
        <w:ind w:left="435"/>
        <w:spacing w:before="150" w:line="179" w:lineRule="auto"/>
        <w:rPr>
          <w:rFonts w:ascii="Microsoft YaHei" w:hAnsi="Microsoft YaHei" w:eastAsia="Microsoft YaHei" w:cs="Microsoft YaHei"/>
          <w:sz w:val="18"/>
          <w:szCs w:val="18"/>
        </w:rPr>
      </w:pPr>
      <w:r>
        <w:pict>
          <v:rect id="_x0000_s466" style="position:absolute;margin-left:415.639pt;margin-top:22.5973pt;mso-position-vertical-relative:text;mso-position-horizontal-relative:text;width:18.25pt;height:27.15pt;z-index:251954176;" fillcolor="#00338D" filled="true" stroked="false"/>
        </w:pict>
      </w:r>
      <w:r>
        <w:pict>
          <v:shape id="_x0000_s468" style="position:absolute;margin-left:387.633pt;margin-top:1.92923pt;mso-position-vertical-relative:text;mso-position-horizontal-relative:text;width:21.3pt;height:11.95pt;z-index:251975680;" filled="false" stroked="false" type="#_x0000_t202">
            <v:fill on="false"/>
            <v:stroke on="false"/>
            <v:path/>
            <v:imagedata o:title=""/>
            <o:lock v:ext="edit" aspectratio="false"/>
            <v:textbox inset="0mm,0mm,0mm,0mm">
              <w:txbxContent>
                <w:p>
                  <w:pPr>
                    <w:ind w:left="20"/>
                    <w:spacing w:before="19" w:line="185"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00B8F5"/>
                      <w:spacing w:val="-1"/>
                    </w:rPr>
                    <w:t>3,349</w:t>
                  </w:r>
                </w:p>
              </w:txbxContent>
            </v:textbox>
          </v:shape>
        </w:pict>
      </w:r>
      <w:r>
        <w:pict>
          <v:shape id="_x0000_s470" style="position:absolute;margin-left:414.506pt;margin-top:6.69708pt;mso-position-vertical-relative:text;mso-position-horizontal-relative:text;width:21.2pt;height:11.95pt;z-index:251976704;" filled="false" stroked="false" type="#_x0000_t202">
            <v:fill on="false"/>
            <v:stroke on="false"/>
            <v:path/>
            <v:imagedata o:title=""/>
            <o:lock v:ext="edit" aspectratio="false"/>
            <v:textbox inset="0mm,0mm,0mm,0mm">
              <w:txbxContent>
                <w:p>
                  <w:pPr>
                    <w:ind w:left="20"/>
                    <w:spacing w:before="19" w:line="185"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00338D"/>
                      <w:spacing w:val="-1"/>
                    </w:rPr>
                    <w:t>2,848</w:t>
                  </w:r>
                </w:p>
              </w:txbxContent>
            </v:textbox>
          </v:shape>
        </w:pict>
      </w:r>
      <w:r>
        <w:pict>
          <v:group id="_x0000_s472" style="position:absolute;margin-left:370.999pt;margin-top:16.3853pt;mso-position-vertical-relative:text;mso-position-horizontal-relative:text;width:36.3pt;height:33.35pt;z-index:251953152;" filled="false" stroked="false" coordsize="725,666" coordorigin="0,0">
            <v:shape id="_x0000_s474" style="position:absolute;left:0;top:23;width:725;height:644;" filled="false" stroked="false" type="#_x0000_t75">
              <v:imagedata o:title="" r:id="rId119"/>
            </v:shape>
            <v:shape id="_x0000_s476" style="position:absolute;left:-20;top:-20;width:765;height:755;" filled="false" stroked="false" type="#_x0000_t202">
              <v:fill on="false"/>
              <v:stroke on="false"/>
              <v:path/>
              <v:imagedata o:title=""/>
              <o:lock v:ext="edit" aspectratio="false"/>
              <v:textbox inset="0mm,0mm,0mm,0mm">
                <w:txbxContent>
                  <w:p>
                    <w:pPr>
                      <w:ind w:left="24"/>
                      <w:spacing w:before="19" w:line="185"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00338D"/>
                        <w:spacing w:val="-3"/>
                      </w:rPr>
                      <w:t>1,934</w:t>
                    </w:r>
                  </w:p>
                </w:txbxContent>
              </v:textbox>
            </v:shape>
          </v:group>
        </w:pict>
      </w:r>
      <w:r>
        <w:rPr>
          <w:rFonts w:ascii="Microsoft YaHei" w:hAnsi="Microsoft YaHei" w:eastAsia="Microsoft YaHei" w:cs="Microsoft YaHei"/>
          <w:sz w:val="18"/>
          <w:szCs w:val="18"/>
          <w:spacing w:val="-3"/>
        </w:rPr>
        <w:t>4,000</w:t>
      </w:r>
    </w:p>
    <w:p>
      <w:pPr>
        <w:ind w:left="439"/>
        <w:spacing w:before="150" w:line="167" w:lineRule="exact"/>
        <w:rPr>
          <w:rFonts w:ascii="Microsoft YaHei" w:hAnsi="Microsoft YaHei" w:eastAsia="Microsoft YaHei" w:cs="Microsoft YaHei"/>
          <w:sz w:val="18"/>
          <w:szCs w:val="18"/>
        </w:rPr>
      </w:pPr>
      <w:r>
        <w:pict>
          <v:shape id="_x0000_s478" style="position:absolute;margin-left:343.44pt;margin-top:1.40642pt;mso-position-vertical-relative:text;mso-position-horizontal-relative:text;width:20.85pt;height:10.2pt;z-index:251978752;" filled="false" stroked="false" type="#_x0000_t202">
            <v:fill on="false"/>
            <v:stroke on="false"/>
            <v:path/>
            <v:imagedata o:title=""/>
            <o:lock v:ext="edit" aspectratio="false"/>
            <v:textbox inset="0mm,0mm,0mm,0mm">
              <w:txbxContent>
                <w:p>
                  <w:pPr>
                    <w:ind w:left="20"/>
                    <w:spacing w:before="20" w:line="16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00B8F5"/>
                      <w:spacing w:val="-3"/>
                    </w:rPr>
                    <w:t>1,415</w:t>
                  </w:r>
                </w:p>
              </w:txbxContent>
            </v:textbox>
          </v:shape>
        </w:pict>
      </w:r>
      <w:r>
        <w:pict>
          <v:shape id="_x0000_s480" style="position:absolute;margin-left:283.549pt;margin-top:6.61778pt;mso-position-vertical-relative:text;mso-position-horizontal-relative:text;width:32.7pt;height:14.4pt;z-index:251970560;" filled="false" stroked="false" type="#_x0000_t202">
            <v:fill on="false"/>
            <v:stroke on="false"/>
            <v:path/>
            <v:imagedata o:title=""/>
            <o:lock v:ext="edit" aspectratio="false"/>
            <v:textbox inset="0mm,0mm,0mm,0mm">
              <w:txbxContent>
                <w:p>
                  <w:pPr>
                    <w:ind w:left="20"/>
                    <w:spacing w:before="19" w:line="194"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00338D"/>
                      <w:spacing w:val="-3"/>
                      <w:position w:val="-2"/>
                    </w:rPr>
                    <w:t>547</w:t>
                  </w:r>
                  <w:r>
                    <w:rPr>
                      <w:rFonts w:ascii="Microsoft YaHei" w:hAnsi="Microsoft YaHei" w:eastAsia="Microsoft YaHei" w:cs="Microsoft YaHei"/>
                      <w:sz w:val="15"/>
                      <w:szCs w:val="15"/>
                      <w:color w:val="00338D"/>
                      <w:spacing w:val="7"/>
                      <w:position w:val="-2"/>
                    </w:rPr>
                    <w:t xml:space="preserve">  </w:t>
                  </w:r>
                  <w:r>
                    <w:rPr>
                      <w:rFonts w:ascii="Microsoft YaHei" w:hAnsi="Microsoft YaHei" w:eastAsia="Microsoft YaHei" w:cs="Microsoft YaHei"/>
                      <w:sz w:val="15"/>
                      <w:szCs w:val="15"/>
                      <w:color w:val="00B8F5"/>
                      <w:spacing w:val="-3"/>
                      <w:position w:val="2"/>
                    </w:rPr>
                    <w:t>858</w:t>
                  </w:r>
                </w:p>
              </w:txbxContent>
            </v:textbox>
          </v:shape>
        </w:pict>
      </w:r>
      <w:r>
        <w:pict>
          <v:shape id="_x0000_s482" style="position:absolute;margin-left:328.21pt;margin-top:9.56403pt;mso-position-vertical-relative:text;mso-position-horizontal-relative:text;width:14.85pt;height:8.45pt;z-index:251984896;" filled="false" stroked="false" type="#_x0000_t202">
            <v:fill on="false"/>
            <v:stroke on="false"/>
            <v:path/>
            <v:imagedata o:title=""/>
            <o:lock v:ext="edit" aspectratio="false"/>
            <v:textbox inset="0mm,0mm,0mm,0mm">
              <w:txbxContent>
                <w:p>
                  <w:pPr>
                    <w:ind w:left="20"/>
                    <w:spacing w:before="20" w:line="12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00338D"/>
                      <w:spacing w:val="-3"/>
                      <w:position w:val="-2"/>
                    </w:rPr>
                    <w:t>557</w:t>
                  </w:r>
                </w:p>
              </w:txbxContent>
            </v:textbox>
          </v:shape>
        </w:pict>
      </w:r>
      <w:r>
        <w:pict>
          <v:shape id="_x0000_s484" style="position:absolute;margin-left:256.771pt;margin-top:11.7975pt;mso-position-vertical-relative:text;mso-position-horizontal-relative:text;width:14.85pt;height:11.5pt;z-index:251980800;" filled="false" stroked="false" type="#_x0000_t202">
            <v:fill on="false"/>
            <v:stroke on="false"/>
            <v:path/>
            <v:imagedata o:title=""/>
            <o:lock v:ext="edit" aspectratio="false"/>
            <v:textbox inset="0mm,0mm,0mm,0mm">
              <w:txbxContent>
                <w:p>
                  <w:pPr>
                    <w:ind w:left="20"/>
                    <w:spacing w:before="20" w:line="176"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00B8F5"/>
                      <w:spacing w:val="-3"/>
                    </w:rPr>
                    <w:t>311</w:t>
                  </w:r>
                </w:p>
              </w:txbxContent>
            </v:textbox>
          </v:shape>
        </w:pict>
      </w:r>
      <w:r>
        <w:pict>
          <v:shape id="_x0000_s486" style="position:absolute;margin-left:212.198pt;margin-top:12.2806pt;mso-position-vertical-relative:text;mso-position-horizontal-relative:text;width:14.75pt;height:11.5pt;z-index:251983872;" filled="false" stroked="false" type="#_x0000_t202">
            <v:fill on="false"/>
            <v:stroke on="false"/>
            <v:path/>
            <v:imagedata o:title=""/>
            <o:lock v:ext="edit" aspectratio="false"/>
            <v:textbox inset="0mm,0mm,0mm,0mm">
              <w:txbxContent>
                <w:p>
                  <w:pPr>
                    <w:ind w:left="20"/>
                    <w:spacing w:before="20" w:line="176"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00B8F5"/>
                      <w:spacing w:val="-3"/>
                    </w:rPr>
                    <w:t>260</w:t>
                  </w:r>
                </w:p>
              </w:txbxContent>
            </v:textbox>
          </v:shape>
        </w:pict>
      </w:r>
      <w:r>
        <w:pict>
          <v:shape id="_x0000_s488" style="position:absolute;margin-left:167.537pt;margin-top:12.2885pt;mso-position-vertical-relative:text;mso-position-horizontal-relative:text;width:14.75pt;height:11.45pt;z-index:251981824;" filled="false" stroked="false" type="#_x0000_t202">
            <v:fill on="false"/>
            <v:stroke on="false"/>
            <v:path/>
            <v:imagedata o:title=""/>
            <o:lock v:ext="edit" aspectratio="false"/>
            <v:textbox inset="0mm,0mm,0mm,0mm">
              <w:txbxContent>
                <w:p>
                  <w:pPr>
                    <w:ind w:left="20"/>
                    <w:spacing w:before="20" w:line="176"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00B8F5"/>
                      <w:spacing w:val="-3"/>
                    </w:rPr>
                    <w:t>259</w:t>
                  </w:r>
                </w:p>
              </w:txbxContent>
            </v:textbox>
          </v:shape>
        </w:pict>
      </w:r>
      <w:r>
        <w:pict>
          <v:shape id="_x0000_s490" style="position:absolute;margin-left:122.876pt;margin-top:12.4786pt;mso-position-vertical-relative:text;mso-position-horizontal-relative:text;width:14.75pt;height:11.5pt;z-index:251982848;" filled="false" stroked="false" type="#_x0000_t202">
            <v:fill on="false"/>
            <v:stroke on="false"/>
            <v:path/>
            <v:imagedata o:title=""/>
            <o:lock v:ext="edit" aspectratio="false"/>
            <v:textbox inset="0mm,0mm,0mm,0mm">
              <w:txbxContent>
                <w:p>
                  <w:pPr>
                    <w:ind w:left="20"/>
                    <w:spacing w:before="20" w:line="176"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00B8F5"/>
                      <w:spacing w:val="-3"/>
                    </w:rPr>
                    <w:t>239</w:t>
                  </w:r>
                </w:p>
              </w:txbxContent>
            </v:textbox>
          </v:shape>
        </w:pict>
      </w:r>
      <w:r>
        <w:pict>
          <v:shape id="_x0000_s492" style="position:absolute;margin-left:60.7196pt;margin-top:12.5815pt;mso-position-vertical-relative:text;mso-position-horizontal-relative:text;width:56.85pt;height:13.55pt;z-index:251966464;" filled="false" stroked="false" type="#_x0000_t202">
            <v:fill on="false"/>
            <v:stroke on="false"/>
            <v:path/>
            <v:imagedata o:title=""/>
            <o:lock v:ext="edit" aspectratio="false"/>
            <v:textbox inset="0mm,0mm,0mm,0mm">
              <w:txbxContent>
                <w:p>
                  <w:pPr>
                    <w:ind w:left="20"/>
                    <w:spacing w:before="19" w:line="187"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00338D"/>
                      <w:spacing w:val="-6"/>
                    </w:rPr>
                    <w:t>110</w:t>
                  </w:r>
                  <w:r>
                    <w:rPr>
                      <w:rFonts w:ascii="Microsoft YaHei" w:hAnsi="Microsoft YaHei" w:eastAsia="Microsoft YaHei" w:cs="Microsoft YaHei"/>
                      <w:sz w:val="15"/>
                      <w:szCs w:val="15"/>
                      <w:color w:val="00338D"/>
                      <w:spacing w:val="10"/>
                    </w:rPr>
                    <w:t xml:space="preserve">  </w:t>
                  </w:r>
                  <w:r>
                    <w:rPr>
                      <w:rFonts w:ascii="Microsoft YaHei" w:hAnsi="Microsoft YaHei" w:eastAsia="Microsoft YaHei" w:cs="Microsoft YaHei"/>
                      <w:sz w:val="15"/>
                      <w:szCs w:val="15"/>
                      <w:color w:val="00B8F5"/>
                      <w:spacing w:val="-6"/>
                      <w:position w:val="1"/>
                    </w:rPr>
                    <w:t>228</w:t>
                  </w:r>
                  <w:r>
                    <w:rPr>
                      <w:rFonts w:ascii="Microsoft YaHei" w:hAnsi="Microsoft YaHei" w:eastAsia="Microsoft YaHei" w:cs="Microsoft YaHei"/>
                      <w:sz w:val="15"/>
                      <w:szCs w:val="15"/>
                      <w:color w:val="00B8F5"/>
                      <w:spacing w:val="3"/>
                      <w:position w:val="1"/>
                    </w:rPr>
                    <w:t xml:space="preserve">       </w:t>
                  </w:r>
                  <w:r>
                    <w:rPr>
                      <w:rFonts w:ascii="Microsoft YaHei" w:hAnsi="Microsoft YaHei" w:eastAsia="Microsoft YaHei" w:cs="Microsoft YaHei"/>
                      <w:sz w:val="15"/>
                      <w:szCs w:val="15"/>
                      <w:color w:val="00338D"/>
                      <w:spacing w:val="-6"/>
                      <w:position w:val="-2"/>
                    </w:rPr>
                    <w:t>11</w:t>
                  </w:r>
                </w:p>
              </w:txbxContent>
            </v:textbox>
          </v:shape>
        </w:pict>
      </w:r>
      <w:r>
        <w:rPr>
          <w:rFonts w:ascii="Microsoft YaHei" w:hAnsi="Microsoft YaHei" w:eastAsia="Microsoft YaHei" w:cs="Microsoft YaHei"/>
          <w:sz w:val="18"/>
          <w:szCs w:val="18"/>
          <w:spacing w:val="-4"/>
          <w:position w:val="-1"/>
        </w:rPr>
        <w:t>2,000</w:t>
      </w:r>
    </w:p>
    <w:p>
      <w:pPr>
        <w:ind w:left="3056"/>
        <w:spacing w:before="1" w:line="170" w:lineRule="auto"/>
        <w:rPr>
          <w:rFonts w:ascii="Microsoft YaHei" w:hAnsi="Microsoft YaHei" w:eastAsia="Microsoft YaHei" w:cs="Microsoft YaHei"/>
          <w:sz w:val="15"/>
          <w:szCs w:val="15"/>
        </w:rPr>
      </w:pPr>
      <w:r>
        <w:pict>
          <v:shape id="_x0000_s494" style="position:absolute;margin-left:241.05pt;margin-top:-1.41869pt;mso-position-vertical-relative:text;mso-position-horizontal-relative:text;width:10.5pt;height:11.35pt;z-index:251985920;" filled="false" stroked="false" type="#_x0000_t202">
            <v:fill on="false"/>
            <v:stroke on="false"/>
            <v:path/>
            <v:imagedata o:title=""/>
            <o:lock v:ext="edit" aspectratio="false"/>
            <v:textbox inset="0mm,0mm,0mm,0mm">
              <w:txbxContent>
                <w:p>
                  <w:pPr>
                    <w:ind w:left="20"/>
                    <w:spacing w:before="20" w:line="174"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00338D"/>
                      <w:spacing w:val="-3"/>
                    </w:rPr>
                    <w:t>51</w:t>
                  </w:r>
                </w:p>
              </w:txbxContent>
            </v:textbox>
          </v:shape>
        </w:pict>
      </w:r>
      <w:r>
        <w:pict>
          <v:shape id="_x0000_s496" style="position:absolute;margin-left:199.027pt;margin-top:-0.943489pt;mso-position-vertical-relative:text;mso-position-horizontal-relative:text;width:5.7pt;height:11.35pt;z-index:251986944;" filled="false" stroked="false" type="#_x0000_t202">
            <v:fill on="false"/>
            <v:stroke on="false"/>
            <v:path/>
            <v:imagedata o:title=""/>
            <o:lock v:ext="edit" aspectratio="false"/>
            <v:textbox inset="0mm,0mm,0mm,0mm">
              <w:txbxContent>
                <w:p>
                  <w:pPr>
                    <w:ind w:left="20"/>
                    <w:spacing w:before="20" w:line="174"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00338D"/>
                    </w:rPr>
                    <w:t>1</w:t>
                  </w:r>
                </w:p>
              </w:txbxContent>
            </v:textbox>
          </v:shape>
        </w:pict>
      </w:r>
      <w:r>
        <w:drawing>
          <wp:anchor distT="0" distB="0" distL="0" distR="0" simplePos="0" relativeHeight="251958272" behindDoc="0" locked="0" layoutInCell="1" allowOverlap="1">
            <wp:simplePos x="0" y="0"/>
            <wp:positionH relativeFrom="column">
              <wp:posOffset>4144755</wp:posOffset>
            </wp:positionH>
            <wp:positionV relativeFrom="paragraph">
              <wp:posOffset>15408</wp:posOffset>
            </wp:positionV>
            <wp:extent cx="460502" cy="173863"/>
            <wp:effectExtent l="0" t="0" r="0" b="0"/>
            <wp:wrapNone/>
            <wp:docPr id="252" name="IM 252"/>
            <wp:cNvGraphicFramePr/>
            <a:graphic>
              <a:graphicData uri="http://schemas.openxmlformats.org/drawingml/2006/picture">
                <pic:pic>
                  <pic:nvPicPr>
                    <pic:cNvPr id="252" name="IM 252"/>
                    <pic:cNvPicPr/>
                  </pic:nvPicPr>
                  <pic:blipFill>
                    <a:blip r:embed="rId120"/>
                    <a:stretch>
                      <a:fillRect/>
                    </a:stretch>
                  </pic:blipFill>
                  <pic:spPr>
                    <a:xfrm rot="0">
                      <a:off x="0" y="0"/>
                      <a:ext cx="460502" cy="173863"/>
                    </a:xfrm>
                    <a:prstGeom prst="rect">
                      <a:avLst/>
                    </a:prstGeom>
                  </pic:spPr>
                </pic:pic>
              </a:graphicData>
            </a:graphic>
          </wp:anchor>
        </w:drawing>
      </w:r>
      <w:r>
        <w:drawing>
          <wp:anchor distT="0" distB="0" distL="0" distR="0" simplePos="0" relativeHeight="251952128" behindDoc="0" locked="0" layoutInCell="1" allowOverlap="1">
            <wp:simplePos x="0" y="0"/>
            <wp:positionH relativeFrom="column">
              <wp:posOffset>3577828</wp:posOffset>
            </wp:positionH>
            <wp:positionV relativeFrom="paragraph">
              <wp:posOffset>82464</wp:posOffset>
            </wp:positionV>
            <wp:extent cx="460502" cy="106807"/>
            <wp:effectExtent l="0" t="0" r="0" b="0"/>
            <wp:wrapNone/>
            <wp:docPr id="254" name="IM 254"/>
            <wp:cNvGraphicFramePr/>
            <a:graphic>
              <a:graphicData uri="http://schemas.openxmlformats.org/drawingml/2006/picture">
                <pic:pic>
                  <pic:nvPicPr>
                    <pic:cNvPr id="254" name="IM 254"/>
                    <pic:cNvPicPr/>
                  </pic:nvPicPr>
                  <pic:blipFill>
                    <a:blip r:embed="rId121"/>
                    <a:stretch>
                      <a:fillRect/>
                    </a:stretch>
                  </pic:blipFill>
                  <pic:spPr>
                    <a:xfrm rot="0">
                      <a:off x="0" y="0"/>
                      <a:ext cx="460502" cy="106807"/>
                    </a:xfrm>
                    <a:prstGeom prst="rect">
                      <a:avLst/>
                    </a:prstGeom>
                  </pic:spPr>
                </pic:pic>
              </a:graphicData>
            </a:graphic>
          </wp:anchor>
        </w:drawing>
      </w:r>
      <w:r>
        <w:rPr>
          <w:rFonts w:ascii="Microsoft YaHei" w:hAnsi="Microsoft YaHei" w:eastAsia="Microsoft YaHei" w:cs="Microsoft YaHei"/>
          <w:sz w:val="15"/>
          <w:szCs w:val="15"/>
          <w:color w:val="00338D"/>
          <w:spacing w:val="-4"/>
        </w:rPr>
        <w:t>20</w:t>
      </w:r>
    </w:p>
    <w:p>
      <w:pPr>
        <w:ind w:left="790"/>
        <w:spacing w:before="29" w:line="172" w:lineRule="auto"/>
        <w:rPr>
          <w:rFonts w:ascii="Microsoft YaHei" w:hAnsi="Microsoft YaHei" w:eastAsia="Microsoft YaHei" w:cs="Microsoft YaHei"/>
          <w:sz w:val="18"/>
          <w:szCs w:val="18"/>
        </w:rPr>
      </w:pPr>
      <w:r>
        <w:drawing>
          <wp:anchor distT="0" distB="0" distL="0" distR="0" simplePos="0" relativeHeight="251959296" behindDoc="0" locked="0" layoutInCell="1" allowOverlap="1">
            <wp:simplePos x="0" y="0"/>
            <wp:positionH relativeFrom="column">
              <wp:posOffset>689975</wp:posOffset>
            </wp:positionH>
            <wp:positionV relativeFrom="paragraph">
              <wp:posOffset>29179</wp:posOffset>
            </wp:positionV>
            <wp:extent cx="5674042" cy="86994"/>
            <wp:effectExtent l="0" t="0" r="0" b="0"/>
            <wp:wrapNone/>
            <wp:docPr id="256" name="IM 256"/>
            <wp:cNvGraphicFramePr/>
            <a:graphic>
              <a:graphicData uri="http://schemas.openxmlformats.org/drawingml/2006/picture">
                <pic:pic>
                  <pic:nvPicPr>
                    <pic:cNvPr id="256" name="IM 256"/>
                    <pic:cNvPicPr/>
                  </pic:nvPicPr>
                  <pic:blipFill>
                    <a:blip r:embed="rId122"/>
                    <a:stretch>
                      <a:fillRect/>
                    </a:stretch>
                  </pic:blipFill>
                  <pic:spPr>
                    <a:xfrm rot="0">
                      <a:off x="0" y="0"/>
                      <a:ext cx="5674042" cy="86994"/>
                    </a:xfrm>
                    <a:prstGeom prst="rect">
                      <a:avLst/>
                    </a:prstGeom>
                  </pic:spPr>
                </pic:pic>
              </a:graphicData>
            </a:graphic>
          </wp:anchor>
        </w:drawing>
      </w:r>
      <w:r>
        <w:rPr>
          <w:rFonts w:ascii="Microsoft YaHei" w:hAnsi="Microsoft YaHei" w:eastAsia="Microsoft YaHei" w:cs="Microsoft YaHei"/>
          <w:sz w:val="18"/>
          <w:szCs w:val="18"/>
        </w:rPr>
        <w:t>0</w:t>
      </w:r>
    </w:p>
    <w:p>
      <w:pPr>
        <w:ind w:left="1338"/>
        <w:spacing w:before="73" w:line="172"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4"/>
        </w:rPr>
        <w:t>2012          2013       </w:t>
      </w:r>
      <w:r>
        <w:rPr>
          <w:rFonts w:ascii="Microsoft YaHei" w:hAnsi="Microsoft YaHei" w:eastAsia="Microsoft YaHei" w:cs="Microsoft YaHei"/>
          <w:sz w:val="18"/>
          <w:szCs w:val="18"/>
          <w:spacing w:val="-5"/>
        </w:rPr>
        <w:t xml:space="preserve">   2014          2015          2017          2018          2019          2020           2021          2022</w:t>
      </w:r>
    </w:p>
    <w:p>
      <w:pPr>
        <w:ind w:left="4664"/>
        <w:spacing w:before="134" w:line="183" w:lineRule="exact"/>
        <w:rPr>
          <w:rFonts w:ascii="Microsoft YaHei" w:hAnsi="Microsoft YaHei" w:eastAsia="Microsoft YaHei" w:cs="Microsoft YaHei"/>
          <w:sz w:val="18"/>
          <w:szCs w:val="18"/>
        </w:rPr>
      </w:pPr>
      <w:r>
        <w:rPr>
          <w:rFonts w:ascii="Microsoft YaHei" w:hAnsi="Microsoft YaHei" w:eastAsia="Microsoft YaHei" w:cs="Microsoft YaHei"/>
          <w:sz w:val="18"/>
          <w:szCs w:val="18"/>
          <w:position w:val="-1"/>
        </w:rPr>
        <w:drawing>
          <wp:inline distT="0" distB="0" distL="0" distR="0">
            <wp:extent cx="76200" cy="76200"/>
            <wp:effectExtent l="0" t="0" r="0" b="0"/>
            <wp:docPr id="258" name="IM 258"/>
            <wp:cNvGraphicFramePr/>
            <a:graphic>
              <a:graphicData uri="http://schemas.openxmlformats.org/drawingml/2006/picture">
                <pic:pic>
                  <pic:nvPicPr>
                    <pic:cNvPr id="258" name="IM 258"/>
                    <pic:cNvPicPr/>
                  </pic:nvPicPr>
                  <pic:blipFill>
                    <a:blip r:embed="rId123"/>
                    <a:stretch>
                      <a:fillRect/>
                    </a:stretch>
                  </pic:blipFill>
                  <pic:spPr>
                    <a:xfrm rot="0">
                      <a:off x="0" y="0"/>
                      <a:ext cx="76200" cy="76200"/>
                    </a:xfrm>
                    <a:prstGeom prst="rect">
                      <a:avLst/>
                    </a:prstGeom>
                  </pic:spPr>
                </pic:pic>
              </a:graphicData>
            </a:graphic>
          </wp:inline>
        </w:drawing>
      </w:r>
      <w:r>
        <w:rPr>
          <w:rFonts w:ascii="Microsoft YaHei" w:hAnsi="Microsoft YaHei" w:eastAsia="Microsoft YaHei" w:cs="Microsoft YaHei"/>
          <w:sz w:val="18"/>
          <w:szCs w:val="18"/>
          <w:spacing w:val="10"/>
          <w:position w:val="-1"/>
        </w:rPr>
        <w:t xml:space="preserve"> </w:t>
      </w:r>
      <w:r>
        <w:rPr>
          <w:rFonts w:ascii="Microsoft YaHei" w:hAnsi="Microsoft YaHei" w:eastAsia="Microsoft YaHei" w:cs="Microsoft YaHei"/>
          <w:sz w:val="18"/>
          <w:szCs w:val="18"/>
          <w:spacing w:val="-2"/>
          <w:position w:val="-1"/>
        </w:rPr>
        <w:t>新增</w:t>
      </w:r>
      <w:r>
        <w:rPr>
          <w:rFonts w:ascii="Microsoft YaHei" w:hAnsi="Microsoft YaHei" w:eastAsia="Microsoft YaHei" w:cs="Microsoft YaHei"/>
          <w:sz w:val="18"/>
          <w:szCs w:val="18"/>
          <w:spacing w:val="20"/>
          <w:w w:val="101"/>
          <w:position w:val="-1"/>
        </w:rPr>
        <w:t xml:space="preserve">  </w:t>
      </w:r>
      <w:r>
        <w:rPr>
          <w:sz w:val="18"/>
          <w:szCs w:val="18"/>
          <w:position w:val="-1"/>
        </w:rPr>
        <w:drawing>
          <wp:inline distT="0" distB="0" distL="0" distR="0">
            <wp:extent cx="76200" cy="76200"/>
            <wp:effectExtent l="0" t="0" r="0" b="0"/>
            <wp:docPr id="260" name="IM 260"/>
            <wp:cNvGraphicFramePr/>
            <a:graphic>
              <a:graphicData uri="http://schemas.openxmlformats.org/drawingml/2006/picture">
                <pic:pic>
                  <pic:nvPicPr>
                    <pic:cNvPr id="260" name="IM 260"/>
                    <pic:cNvPicPr/>
                  </pic:nvPicPr>
                  <pic:blipFill>
                    <a:blip r:embed="rId124"/>
                    <a:stretch>
                      <a:fillRect/>
                    </a:stretch>
                  </pic:blipFill>
                  <pic:spPr>
                    <a:xfrm rot="0">
                      <a:off x="0" y="0"/>
                      <a:ext cx="76200" cy="76200"/>
                    </a:xfrm>
                    <a:prstGeom prst="rect">
                      <a:avLst/>
                    </a:prstGeom>
                  </pic:spPr>
                </pic:pic>
              </a:graphicData>
            </a:graphic>
          </wp:inline>
        </w:drawing>
      </w:r>
      <w:r>
        <w:rPr>
          <w:rFonts w:ascii="Microsoft YaHei" w:hAnsi="Microsoft YaHei" w:eastAsia="Microsoft YaHei" w:cs="Microsoft YaHei"/>
          <w:sz w:val="18"/>
          <w:szCs w:val="18"/>
          <w:spacing w:val="9"/>
          <w:position w:val="-1"/>
        </w:rPr>
        <w:t xml:space="preserve"> </w:t>
      </w:r>
      <w:r>
        <w:rPr>
          <w:rFonts w:ascii="Microsoft YaHei" w:hAnsi="Microsoft YaHei" w:eastAsia="Microsoft YaHei" w:cs="Microsoft YaHei"/>
          <w:sz w:val="18"/>
          <w:szCs w:val="18"/>
          <w:spacing w:val="-2"/>
          <w:position w:val="-1"/>
        </w:rPr>
        <w:t>累计</w:t>
      </w:r>
    </w:p>
    <w:p>
      <w:pPr>
        <w:ind w:left="343"/>
        <w:spacing w:before="1" w:line="198"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4"/>
        </w:rPr>
        <w:t>数据来源：  中国电力企业联合会,</w:t>
      </w:r>
      <w:r>
        <w:rPr>
          <w:rFonts w:ascii="Microsoft YaHei" w:hAnsi="Microsoft YaHei" w:eastAsia="Microsoft YaHei" w:cs="Microsoft YaHei"/>
          <w:sz w:val="15"/>
          <w:szCs w:val="15"/>
          <w:spacing w:val="33"/>
          <w:w w:val="101"/>
        </w:rPr>
        <w:t xml:space="preserve"> </w:t>
      </w:r>
      <w:r>
        <w:rPr>
          <w:rFonts w:ascii="Microsoft YaHei" w:hAnsi="Microsoft YaHei" w:eastAsia="Microsoft YaHei" w:cs="Microsoft YaHei"/>
          <w:sz w:val="15"/>
          <w:szCs w:val="15"/>
          <w:spacing w:val="4"/>
        </w:rPr>
        <w:t>毕马威分析</w:t>
      </w:r>
    </w:p>
    <w:p>
      <w:pPr>
        <w:pStyle w:val="BodyText"/>
        <w:spacing w:line="332" w:lineRule="auto"/>
        <w:rPr/>
      </w:pPr>
      <w:r/>
    </w:p>
    <w:p>
      <w:pPr>
        <w:pStyle w:val="BodyText"/>
        <w:spacing w:line="332" w:lineRule="auto"/>
        <w:rPr/>
      </w:pPr>
      <w:r/>
    </w:p>
    <w:p>
      <w:pPr>
        <w:ind w:left="840" w:right="1241" w:hanging="411"/>
        <w:spacing w:before="48"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965" w:header="0" w:footer="0" w:gutter="0"/>
        </w:sectPr>
        <w:rPr>
          <w:rFonts w:ascii="Microsoft YaHei" w:hAnsi="Microsoft YaHei" w:eastAsia="Microsoft YaHei" w:cs="Microsoft YaHei"/>
          <w:sz w:val="11"/>
          <w:szCs w:val="11"/>
        </w:rPr>
      </w:pPr>
    </w:p>
    <w:p>
      <w:pPr>
        <w:ind w:left="7674"/>
        <w:spacing w:before="314" w:line="193" w:lineRule="auto"/>
        <w:outlineLvl w:val="0"/>
        <w:rPr>
          <w:rFonts w:ascii="Microsoft YaHei" w:hAnsi="Microsoft YaHei" w:eastAsia="Microsoft YaHei" w:cs="Microsoft YaHei"/>
          <w:sz w:val="18"/>
          <w:szCs w:val="18"/>
        </w:rPr>
      </w:pPr>
      <w:r>
        <w:pict>
          <v:rect id="_x0000_s498" style="position:absolute;margin-left:611.99pt;margin-top:0pt;mso-position-vertical-relative:page;mso-position-horizontal-relative:page;width:0.25pt;height:859pt;z-index:252008448;" o:allowincell="f" fillcolor="#000000" filled="true" stroked="false"/>
        </w:pict>
      </w:r>
      <w:r>
        <w:rPr>
          <w:rFonts w:ascii="Microsoft YaHei" w:hAnsi="Microsoft YaHei" w:eastAsia="Microsoft YaHei" w:cs="Microsoft YaHei"/>
          <w:sz w:val="18"/>
          <w:szCs w:val="18"/>
          <w:color w:val="A8A8A8"/>
          <w:spacing w:val="-1"/>
        </w:rPr>
        <w:t>新型储能助力能源转型</w:t>
      </w:r>
      <w:r>
        <w:rPr>
          <w:rFonts w:ascii="Microsoft YaHei" w:hAnsi="Microsoft YaHei" w:eastAsia="Microsoft YaHei" w:cs="Microsoft YaHei"/>
          <w:sz w:val="18"/>
          <w:szCs w:val="18"/>
          <w:color w:val="A8A8A8"/>
          <w:spacing w:val="25"/>
          <w:w w:val="101"/>
        </w:rPr>
        <w:t xml:space="preserve">  </w:t>
      </w:r>
      <w:r>
        <w:rPr>
          <w:sz w:val="18"/>
          <w:szCs w:val="18"/>
          <w:position w:val="-4"/>
        </w:rPr>
        <w:drawing>
          <wp:inline distT="0" distB="0" distL="0" distR="0">
            <wp:extent cx="6350" cy="130175"/>
            <wp:effectExtent l="0" t="0" r="0" b="0"/>
            <wp:docPr id="262" name="IM 262"/>
            <wp:cNvGraphicFramePr/>
            <a:graphic>
              <a:graphicData uri="http://schemas.openxmlformats.org/drawingml/2006/picture">
                <pic:pic>
                  <pic:nvPicPr>
                    <pic:cNvPr id="262" name="IM 262"/>
                    <pic:cNvPicPr/>
                  </pic:nvPicPr>
                  <pic:blipFill>
                    <a:blip r:embed="rId125"/>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spacing w:val="16"/>
          <w:w w:val="101"/>
        </w:rPr>
        <w:t xml:space="preserve">  </w:t>
      </w:r>
      <w:r>
        <w:rPr>
          <w:rFonts w:ascii="Microsoft YaHei" w:hAnsi="Microsoft YaHei" w:eastAsia="Microsoft YaHei" w:cs="Microsoft YaHei"/>
          <w:sz w:val="18"/>
          <w:szCs w:val="18"/>
          <w:b/>
          <w:bCs/>
          <w:color w:val="A8A8A8"/>
          <w:spacing w:val="-1"/>
        </w:rPr>
        <w:t>26</w:t>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60" w:lineRule="auto"/>
        <w:rPr/>
      </w:pPr>
      <w:r/>
    </w:p>
    <w:p>
      <w:pPr>
        <w:ind w:left="9" w:right="3002" w:firstLine="1"/>
        <w:spacing w:before="90" w:line="217"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从国际比较来看，根据国际能源署IEA的预测，到2026年，中国电化学储能总装机量将</w:t>
      </w:r>
      <w:r>
        <w:rPr>
          <w:rFonts w:ascii="Microsoft YaHei" w:hAnsi="Microsoft YaHei" w:eastAsia="Microsoft YaHei" w:cs="Microsoft YaHei"/>
          <w:sz w:val="21"/>
          <w:szCs w:val="21"/>
          <w:spacing w:val="12"/>
        </w:rPr>
        <w:t xml:space="preserve"> </w:t>
      </w:r>
      <w:r>
        <w:rPr>
          <w:rFonts w:ascii="Microsoft YaHei" w:hAnsi="Microsoft YaHei" w:eastAsia="Microsoft YaHei" w:cs="Microsoft YaHei"/>
          <w:sz w:val="21"/>
          <w:szCs w:val="21"/>
          <w:spacing w:val="1"/>
        </w:rPr>
        <w:t>跃居各国首位</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spacing w:val="-30"/>
        </w:rPr>
        <w:t xml:space="preserve"> </w:t>
      </w:r>
      <w:r>
        <w:rPr>
          <w:rFonts w:ascii="Microsoft YaHei" w:hAnsi="Microsoft YaHei" w:eastAsia="Microsoft YaHei" w:cs="Microsoft YaHei"/>
          <w:sz w:val="21"/>
          <w:szCs w:val="21"/>
          <w:spacing w:val="1"/>
        </w:rPr>
        <w:t>占比22%</w:t>
      </w:r>
      <w:r>
        <w:rPr>
          <w:rFonts w:ascii="Microsoft YaHei" w:hAnsi="Microsoft YaHei" w:eastAsia="Microsoft YaHei" w:cs="Microsoft YaHei"/>
          <w:sz w:val="21"/>
          <w:szCs w:val="21"/>
          <w:spacing w:val="-26"/>
        </w:rPr>
        <w:t xml:space="preserve"> </w:t>
      </w:r>
      <w:r>
        <w:rPr>
          <w:rFonts w:ascii="Microsoft YaHei" w:hAnsi="Microsoft YaHei" w:eastAsia="Microsoft YaHei" w:cs="Microsoft YaHei"/>
          <w:sz w:val="21"/>
          <w:szCs w:val="21"/>
          <w:spacing w:val="1"/>
        </w:rPr>
        <w:t>，较2020年上升2个百分点</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rPr>
        <w:t>，几乎与欧洲全境的总装机量持 </w:t>
      </w:r>
      <w:r>
        <w:rPr>
          <w:rFonts w:ascii="Microsoft YaHei" w:hAnsi="Microsoft YaHei" w:eastAsia="Microsoft YaHei" w:cs="Microsoft YaHei"/>
          <w:sz w:val="21"/>
          <w:szCs w:val="21"/>
        </w:rPr>
        <w:t>平</w:t>
      </w:r>
      <w:r>
        <w:rPr>
          <w:rFonts w:ascii="Microsoft YaHei" w:hAnsi="Microsoft YaHei" w:eastAsia="Microsoft YaHei" w:cs="Microsoft YaHei"/>
          <w:sz w:val="21"/>
          <w:szCs w:val="21"/>
          <w:spacing w:val="-16"/>
        </w:rPr>
        <w:t xml:space="preserve"> </w:t>
      </w:r>
      <w:r>
        <w:rPr>
          <w:rFonts w:ascii="Microsoft YaHei" w:hAnsi="Microsoft YaHei" w:eastAsia="Microsoft YaHei" w:cs="Microsoft YaHei"/>
          <w:sz w:val="21"/>
          <w:szCs w:val="21"/>
        </w:rPr>
        <w:t>，较美国高7个百分点。</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rPr>
        <w:t>除中国外</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rPr>
        <w:t>，印度也表现亮眼</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rPr>
        <w:t>，</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rPr>
        <w:t>电化学储能装机量将由2020 </w:t>
      </w:r>
      <w:r>
        <w:rPr>
          <w:rFonts w:ascii="Microsoft YaHei" w:hAnsi="Microsoft YaHei" w:eastAsia="Microsoft YaHei" w:cs="Microsoft YaHei"/>
          <w:sz w:val="21"/>
          <w:szCs w:val="21"/>
          <w:spacing w:val="-3"/>
        </w:rPr>
        <w:t>年的忽略不计飙升到2026年20%的全球占比（图 11）。</w:t>
      </w:r>
    </w:p>
    <w:p>
      <w:pPr>
        <w:pStyle w:val="BodyText"/>
        <w:spacing w:line="340" w:lineRule="auto"/>
        <w:rPr/>
      </w:pPr>
      <w:r>
        <w:pict>
          <v:rect id="_x0000_s500" style="position:absolute;margin-left:0.119995pt;margin-top:10.488pt;mso-position-vertical-relative:text;mso-position-horizontal-relative:text;width:30.5pt;height:5pt;z-index:252016640;" fillcolor="#00B8F5" filled="true" stroked="false"/>
        </w:pict>
      </w:r>
      <w:r/>
    </w:p>
    <w:p>
      <w:pPr>
        <w:ind w:left="918"/>
        <w:spacing w:before="90" w:line="180" w:lineRule="auto"/>
        <w:rPr>
          <w:rFonts w:ascii="Microsoft YaHei" w:hAnsi="Microsoft YaHei" w:eastAsia="Microsoft YaHei" w:cs="Microsoft YaHei"/>
          <w:sz w:val="21"/>
          <w:szCs w:val="21"/>
        </w:rPr>
      </w:pPr>
      <w:r>
        <mc:AlternateContent xmlns:mc="http://schemas.openxmlformats.org/markup-compatibility/2006">
          <mc:Choice Requires="wps">
            <w:drawing>
              <wp:anchor distT="0" distB="0" distL="0" distR="0" simplePos="0" relativeHeight="251991040" behindDoc="1" locked="0" layoutInCell="1" allowOverlap="1">
                <wp:simplePos x="0" y="0"/>
                <wp:positionH relativeFrom="column">
                  <wp:posOffset>0</wp:posOffset>
                </wp:positionH>
                <wp:positionV relativeFrom="paragraph">
                  <wp:posOffset>-41614</wp:posOffset>
                </wp:positionV>
                <wp:extent cx="6123940" cy="329565"/>
                <wp:effectExtent l="0" t="0" r="0" b="0"/>
                <wp:wrapNone/>
                <wp:docPr id="264" name="Rect 264"/>
                <wp:cNvGraphicFramePr/>
                <a:graphic>
                  <a:graphicData uri="http://schemas.microsoft.com/office/word/2010/wordprocessingShape">
                    <wps:wsp>
                      <wps:cNvPr id="264" name="Rect 264"/>
                      <wps:cNvSpPr/>
                      <wps:spPr>
                        <a:xfrm>
                          <a:off x="0" y="-41614"/>
                          <a:ext cx="6123940" cy="329565"/>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502" style="position:absolute;margin-left:0pt;margin-top:-3.27673pt;mso-position-vertical-relative:text;mso-position-horizontal-relative:text;width:482.2pt;height:25.95pt;z-index:-251325440;" fillcolor="#F1F1F1" filled="true" stroked="false"/>
            </w:pict>
          </mc:Fallback>
        </mc:AlternateContent>
      </w:r>
      <w:r>
        <w:pict>
          <v:shape id="_x0000_s504" style="position:absolute;margin-left:7.00904pt;margin-top:1.72327pt;mso-position-vertical-relative:text;mso-position-horizontal-relative:text;width:31.5pt;height:18.2pt;z-index:252006400;" filled="false" stroked="false" type="#_x0000_t202">
            <v:fill on="false"/>
            <v:stroke on="false"/>
            <v:path/>
            <v:imagedata o:title=""/>
            <o:lock v:ext="edit" aspectratio="false"/>
            <v:textbox inset="0mm,0mm,0mm,0mm">
              <w:txbxContent>
                <w:p>
                  <w:pPr>
                    <w:ind w:left="20"/>
                    <w:spacing w:before="20" w:line="215" w:lineRule="auto"/>
                    <w:rPr>
                      <w:sz w:val="21"/>
                      <w:szCs w:val="21"/>
                    </w:rPr>
                  </w:pPr>
                  <w:r>
                    <w:rPr>
                      <w:rFonts w:ascii="Microsoft YaHei" w:hAnsi="Microsoft YaHei" w:eastAsia="Microsoft YaHei" w:cs="Microsoft YaHei"/>
                      <w:sz w:val="21"/>
                      <w:szCs w:val="21"/>
                      <w:b/>
                      <w:bCs/>
                      <w:color w:val="00B8F5"/>
                      <w:spacing w:val="-14"/>
                    </w:rPr>
                    <w:t>图</w:t>
                  </w:r>
                  <w:r>
                    <w:rPr>
                      <w:rFonts w:ascii="Microsoft YaHei" w:hAnsi="Microsoft YaHei" w:eastAsia="Microsoft YaHei" w:cs="Microsoft YaHei"/>
                      <w:sz w:val="21"/>
                      <w:szCs w:val="21"/>
                      <w:b/>
                      <w:bCs/>
                      <w:color w:val="00B8F5"/>
                      <w:spacing w:val="2"/>
                    </w:rPr>
                    <w:t xml:space="preserve"> </w:t>
                  </w:r>
                  <w:r>
                    <w:rPr>
                      <w:rFonts w:ascii="Microsoft YaHei" w:hAnsi="Microsoft YaHei" w:eastAsia="Microsoft YaHei" w:cs="Microsoft YaHei"/>
                      <w:sz w:val="21"/>
                      <w:szCs w:val="21"/>
                      <w:b/>
                      <w:bCs/>
                      <w:color w:val="00B8F5"/>
                      <w:spacing w:val="-14"/>
                    </w:rPr>
                    <w:t>11</w:t>
                  </w:r>
                  <w:r>
                    <w:rPr>
                      <w:rFonts w:ascii="Microsoft YaHei" w:hAnsi="Microsoft YaHei" w:eastAsia="Microsoft YaHei" w:cs="Microsoft YaHei"/>
                      <w:sz w:val="21"/>
                      <w:szCs w:val="21"/>
                      <w:b/>
                      <w:bCs/>
                      <w:color w:val="00B8F5"/>
                      <w:spacing w:val="13"/>
                    </w:rPr>
                    <w:t xml:space="preserve"> </w:t>
                  </w:r>
                  <w:r>
                    <w:rPr>
                      <w:sz w:val="21"/>
                      <w:szCs w:val="21"/>
                      <w:position w:val="-5"/>
                    </w:rPr>
                    <w:drawing>
                      <wp:inline distT="0" distB="0" distL="0" distR="0">
                        <wp:extent cx="12700" cy="175666"/>
                        <wp:effectExtent l="0" t="0" r="0" b="0"/>
                        <wp:docPr id="266" name="IM 266"/>
                        <wp:cNvGraphicFramePr/>
                        <a:graphic>
                          <a:graphicData uri="http://schemas.openxmlformats.org/drawingml/2006/picture">
                            <pic:pic>
                              <pic:nvPicPr>
                                <pic:cNvPr id="266" name="IM 266"/>
                                <pic:cNvPicPr/>
                              </pic:nvPicPr>
                              <pic:blipFill>
                                <a:blip r:embed="rId126"/>
                                <a:stretch>
                                  <a:fillRect/>
                                </a:stretch>
                              </pic:blipFill>
                              <pic:spPr>
                                <a:xfrm rot="0">
                                  <a:off x="0" y="0"/>
                                  <a:ext cx="12700" cy="175666"/>
                                </a:xfrm>
                                <a:prstGeom prst="rect">
                                  <a:avLst/>
                                </a:prstGeom>
                              </pic:spPr>
                            </pic:pic>
                          </a:graphicData>
                        </a:graphic>
                      </wp:inline>
                    </w:drawing>
                  </w:r>
                </w:p>
              </w:txbxContent>
            </v:textbox>
          </v:shape>
        </w:pict>
      </w:r>
      <w:r>
        <w:rPr>
          <w:rFonts w:ascii="Microsoft YaHei" w:hAnsi="Microsoft YaHei" w:eastAsia="Microsoft YaHei" w:cs="Microsoft YaHei"/>
          <w:sz w:val="21"/>
          <w:szCs w:val="21"/>
          <w:b/>
          <w:bCs/>
          <w:color w:val="00B8F5"/>
        </w:rPr>
        <w:t>各国和地区电化学储能总装机量占比预测</w:t>
      </w:r>
    </w:p>
    <w:p>
      <w:pPr>
        <w:pStyle w:val="BodyText"/>
        <w:spacing w:line="410" w:lineRule="auto"/>
        <w:rPr/>
      </w:pPr>
      <w:r/>
    </w:p>
    <w:p>
      <w:pPr>
        <w:pStyle w:val="BodyText"/>
        <w:ind w:left="14"/>
        <w:spacing w:before="60" w:line="194" w:lineRule="auto"/>
        <w:rPr/>
      </w:pPr>
      <w:r>
        <w:drawing>
          <wp:anchor distT="0" distB="0" distL="0" distR="0" simplePos="0" relativeHeight="252021760" behindDoc="0" locked="0" layoutInCell="1" allowOverlap="1">
            <wp:simplePos x="0" y="0"/>
            <wp:positionH relativeFrom="column">
              <wp:posOffset>2578607</wp:posOffset>
            </wp:positionH>
            <wp:positionV relativeFrom="paragraph">
              <wp:posOffset>91377</wp:posOffset>
            </wp:positionV>
            <wp:extent cx="1417320" cy="6350"/>
            <wp:effectExtent l="0" t="0" r="0" b="0"/>
            <wp:wrapNone/>
            <wp:docPr id="268" name="IM 268"/>
            <wp:cNvGraphicFramePr/>
            <a:graphic>
              <a:graphicData uri="http://schemas.openxmlformats.org/drawingml/2006/picture">
                <pic:pic>
                  <pic:nvPicPr>
                    <pic:cNvPr id="268" name="IM 268"/>
                    <pic:cNvPicPr/>
                  </pic:nvPicPr>
                  <pic:blipFill>
                    <a:blip r:embed="rId127"/>
                    <a:stretch>
                      <a:fillRect/>
                    </a:stretch>
                  </pic:blipFill>
                  <pic:spPr>
                    <a:xfrm rot="0">
                      <a:off x="0" y="0"/>
                      <a:ext cx="1417320" cy="6350"/>
                    </a:xfrm>
                    <a:prstGeom prst="rect">
                      <a:avLst/>
                    </a:prstGeom>
                  </pic:spPr>
                </pic:pic>
              </a:graphicData>
            </a:graphic>
          </wp:anchor>
        </w:drawing>
      </w:r>
      <w:r>
        <w:pict>
          <v:shape id="_x0000_s506" style="position:absolute;margin-left:138.693pt;margin-top:5.3739pt;mso-position-vertical-relative:text;mso-position-horizontal-relative:text;width:17.05pt;height:11.9pt;z-index:252020736;" filled="false" stroked="false" type="#_x0000_t202">
            <v:fill on="false"/>
            <v:stroke on="false"/>
            <v:path/>
            <v:imagedata o:title=""/>
            <o:lock v:ext="edit" aspectratio="false"/>
            <v:textbox inset="0mm,0mm,0mm,0mm">
              <w:txbxContent>
                <w:p>
                  <w:pPr>
                    <w:pStyle w:val="BodyText"/>
                    <w:ind w:left="20"/>
                    <w:spacing w:before="19" w:line="197" w:lineRule="auto"/>
                    <w:rPr/>
                  </w:pPr>
                  <w:r>
                    <w:rPr>
                      <w:color w:val="FFFFFF"/>
                      <w:spacing w:val="-1"/>
                    </w:rPr>
                    <w:t>4%</w:t>
                  </w:r>
                </w:p>
              </w:txbxContent>
            </v:textbox>
          </v:shape>
        </w:pict>
      </w:r>
      <w:r>
        <w:pict>
          <v:shape id="_x0000_s508" style="position:absolute;margin-left:362.217pt;margin-top:6.65161pt;mso-position-vertical-relative:text;mso-position-horizontal-relative:text;width:16.75pt;height:11.9pt;z-index:252019712;" filled="false" stroked="false" type="#_x0000_t202">
            <v:fill on="false"/>
            <v:stroke on="false"/>
            <v:path/>
            <v:imagedata o:title=""/>
            <o:lock v:ext="edit" aspectratio="false"/>
            <v:textbox inset="0mm,0mm,0mm,0mm">
              <w:txbxContent>
                <w:p>
                  <w:pPr>
                    <w:pStyle w:val="BodyText"/>
                    <w:ind w:left="20"/>
                    <w:spacing w:before="19" w:line="197" w:lineRule="auto"/>
                    <w:rPr/>
                  </w:pPr>
                  <w:r>
                    <w:rPr>
                      <w:color w:val="FFFFFF"/>
                      <w:spacing w:val="-2"/>
                    </w:rPr>
                    <w:t>6%</w:t>
                  </w:r>
                </w:p>
              </w:txbxContent>
            </v:textbox>
          </v:shape>
        </w:pict>
      </w:r>
      <w:r>
        <w:pict>
          <v:shape id="_x0000_s510" style="position:absolute;margin-left:32.65pt;margin-top:7.32013pt;mso-position-vertical-relative:text;mso-position-horizontal-relative:text;width:3.4pt;height:145pt;z-index:252004352;" filled="false" strokecolor="#000000" strokeweight="0.50pt" coordsize="68,2900" coordorigin="0,0" path="m62,2837l62,5m0,2837l62,2837m0,2270l62,2270m0,1704l62,1704m0,1137l62,1137m0,571l62,571m0,5l62,5m62,2837l62,2899e">
            <v:stroke miterlimit="10"/>
          </v:shape>
        </w:pict>
      </w:r>
      <w:r>
        <w:drawing>
          <wp:anchor distT="0" distB="0" distL="0" distR="0" simplePos="0" relativeHeight="252018688" behindDoc="0" locked="0" layoutInCell="1" allowOverlap="1">
            <wp:simplePos x="0" y="0"/>
            <wp:positionH relativeFrom="column">
              <wp:posOffset>1158239</wp:posOffset>
            </wp:positionH>
            <wp:positionV relativeFrom="paragraph">
              <wp:posOffset>92952</wp:posOffset>
            </wp:positionV>
            <wp:extent cx="4255008" cy="106692"/>
            <wp:effectExtent l="0" t="0" r="0" b="0"/>
            <wp:wrapNone/>
            <wp:docPr id="270" name="IM 270"/>
            <wp:cNvGraphicFramePr/>
            <a:graphic>
              <a:graphicData uri="http://schemas.openxmlformats.org/drawingml/2006/picture">
                <pic:pic>
                  <pic:nvPicPr>
                    <pic:cNvPr id="270" name="IM 270"/>
                    <pic:cNvPicPr/>
                  </pic:nvPicPr>
                  <pic:blipFill>
                    <a:blip r:embed="rId128"/>
                    <a:stretch>
                      <a:fillRect/>
                    </a:stretch>
                  </pic:blipFill>
                  <pic:spPr>
                    <a:xfrm rot="0">
                      <a:off x="0" y="0"/>
                      <a:ext cx="4255008" cy="106692"/>
                    </a:xfrm>
                    <a:prstGeom prst="rect">
                      <a:avLst/>
                    </a:prstGeom>
                  </pic:spPr>
                </pic:pic>
              </a:graphicData>
            </a:graphic>
          </wp:anchor>
        </w:drawing>
      </w:r>
      <w:r>
        <w:rPr>
          <w:spacing w:val="-6"/>
        </w:rPr>
        <w:t>100%</w:t>
      </w:r>
    </w:p>
    <w:p>
      <w:pPr>
        <w:ind w:firstLine="4060"/>
        <w:spacing w:line="62" w:lineRule="exact"/>
        <w:rPr/>
      </w:pPr>
      <w:r>
        <w:rPr>
          <w:position w:val="-1"/>
        </w:rPr>
        <w:pict>
          <v:shape id="_x0000_s512" style="mso-position-vertical-relative:line;mso-position-horizontal-relative:char;width:111.65pt;height:3.15pt;" filled="false" strokecolor="#7F7F7F" strokeweight="0.50pt" coordsize="2233,63" coordorigin="0,0" path="m2232,57l0,4e">
            <v:stroke dashstyle="dash" miterlimit="10"/>
          </v:shape>
        </w:pict>
      </w:r>
    </w:p>
    <w:p>
      <w:pPr>
        <w:pStyle w:val="BodyText"/>
        <w:ind w:left="7221"/>
        <w:spacing w:before="109" w:line="197" w:lineRule="auto"/>
        <w:rPr/>
      </w:pPr>
      <w:r>
        <w:drawing>
          <wp:anchor distT="0" distB="0" distL="0" distR="0" simplePos="0" relativeHeight="251994112" behindDoc="1" locked="0" layoutInCell="1" allowOverlap="1">
            <wp:simplePos x="0" y="0"/>
            <wp:positionH relativeFrom="column">
              <wp:posOffset>1158239</wp:posOffset>
            </wp:positionH>
            <wp:positionV relativeFrom="paragraph">
              <wp:posOffset>-36839</wp:posOffset>
            </wp:positionV>
            <wp:extent cx="4255008" cy="1725167"/>
            <wp:effectExtent l="0" t="0" r="0" b="0"/>
            <wp:wrapNone/>
            <wp:docPr id="272" name="IM 272"/>
            <wp:cNvGraphicFramePr/>
            <a:graphic>
              <a:graphicData uri="http://schemas.openxmlformats.org/drawingml/2006/picture">
                <pic:pic>
                  <pic:nvPicPr>
                    <pic:cNvPr id="272" name="IM 272"/>
                    <pic:cNvPicPr/>
                  </pic:nvPicPr>
                  <pic:blipFill>
                    <a:blip r:embed="rId129"/>
                    <a:stretch>
                      <a:fillRect/>
                    </a:stretch>
                  </pic:blipFill>
                  <pic:spPr>
                    <a:xfrm rot="0">
                      <a:off x="0" y="0"/>
                      <a:ext cx="4255008" cy="1725167"/>
                    </a:xfrm>
                    <a:prstGeom prst="rect">
                      <a:avLst/>
                    </a:prstGeom>
                  </pic:spPr>
                </pic:pic>
              </a:graphicData>
            </a:graphic>
          </wp:anchor>
        </w:drawing>
      </w:r>
      <w:r>
        <w:rPr>
          <w:color w:val="FFFFFF"/>
          <w:spacing w:val="-5"/>
        </w:rPr>
        <w:t>13%</w:t>
      </w:r>
    </w:p>
    <w:p>
      <w:pPr>
        <w:pStyle w:val="BodyText"/>
        <w:ind w:left="117"/>
        <w:spacing w:before="1" w:line="197" w:lineRule="auto"/>
        <w:rPr/>
      </w:pPr>
      <w:r>
        <w:pict>
          <v:shape id="_x0000_s514" style="position:absolute;margin-left:135.979pt;margin-top:-4.30019pt;mso-position-vertical-relative:text;mso-position-horizontal-relative:text;width:22.6pt;height:11.9pt;z-index:252012544;" filled="false" stroked="false" type="#_x0000_t202">
            <v:fill on="false"/>
            <v:stroke on="false"/>
            <v:path/>
            <v:imagedata o:title=""/>
            <o:lock v:ext="edit" aspectratio="false"/>
            <v:textbox inset="0mm,0mm,0mm,0mm">
              <w:txbxContent>
                <w:p>
                  <w:pPr>
                    <w:pStyle w:val="BodyText"/>
                    <w:ind w:left="20"/>
                    <w:spacing w:before="19" w:line="197" w:lineRule="auto"/>
                    <w:rPr/>
                  </w:pPr>
                  <w:r>
                    <w:rPr>
                      <w:color w:val="FFFFFF"/>
                      <w:spacing w:val="-2"/>
                    </w:rPr>
                    <w:t>26%</w:t>
                  </w:r>
                </w:p>
              </w:txbxContent>
            </v:textbox>
          </v:shape>
        </w:pict>
      </w:r>
      <w:r>
        <w:pict>
          <v:shape id="_x0000_s516" style="position:absolute;margin-left:203.255pt;margin-top:3.61107pt;mso-position-vertical-relative:text;mso-position-horizontal-relative:text;width:111.7pt;height:16.1pt;z-index:-251321344;" filled="false" strokecolor="#7F7F7F" strokeweight="0.50pt" coordsize="2233,322" coordorigin="0,0" path="m2232,4l0,316e">
            <v:stroke dashstyle="dash" miterlimit="10"/>
          </v:shape>
        </w:pict>
      </w:r>
      <w:r>
        <w:rPr>
          <w:spacing w:val="-3"/>
        </w:rPr>
        <w:t>80%</w:t>
      </w:r>
    </w:p>
    <w:p>
      <w:pPr>
        <w:pStyle w:val="BodyText"/>
        <w:ind w:left="7204"/>
        <w:spacing w:before="144" w:line="197" w:lineRule="auto"/>
        <w:rPr/>
      </w:pPr>
      <w:r>
        <w:rPr>
          <w:color w:val="FFFFFF"/>
          <w:spacing w:val="-2"/>
        </w:rPr>
        <w:t>25%</w:t>
      </w:r>
    </w:p>
    <w:p>
      <w:pPr>
        <w:pStyle w:val="BodyText"/>
        <w:ind w:left="116"/>
        <w:spacing w:before="26" w:line="197" w:lineRule="auto"/>
        <w:rPr/>
      </w:pPr>
      <w:r>
        <w:pict>
          <v:shape id="_x0000_s518" style="position:absolute;margin-left:135.979pt;margin-top:2.33147pt;mso-position-vertical-relative:text;mso-position-horizontal-relative:text;width:22.6pt;height:11.9pt;z-index:252013568;" filled="false" stroked="false" type="#_x0000_t202">
            <v:fill on="false"/>
            <v:stroke on="false"/>
            <v:path/>
            <v:imagedata o:title=""/>
            <o:lock v:ext="edit" aspectratio="false"/>
            <v:textbox inset="0mm,0mm,0mm,0mm">
              <w:txbxContent>
                <w:p>
                  <w:pPr>
                    <w:pStyle w:val="BodyText"/>
                    <w:ind w:left="20"/>
                    <w:spacing w:before="19" w:line="197" w:lineRule="auto"/>
                    <w:rPr/>
                  </w:pPr>
                  <w:r>
                    <w:rPr>
                      <w:color w:val="FFFFFF"/>
                      <w:spacing w:val="-2"/>
                    </w:rPr>
                    <w:t>21%</w:t>
                  </w:r>
                </w:p>
              </w:txbxContent>
            </v:textbox>
          </v:shape>
        </w:pict>
      </w:r>
      <w:r>
        <w:pict>
          <v:shape id="_x0000_s520" style="position:absolute;margin-left:203.266pt;margin-top:11.5528pt;mso-position-vertical-relative:text;mso-position-horizontal-relative:text;width:111.65pt;height:11.3pt;z-index:-251326464;" filled="false" strokecolor="#7F7F7F" strokeweight="0.50pt" coordsize="2233,226" coordorigin="0,0" path="m2232,4l0,220e">
            <v:stroke dashstyle="dash" miterlimit="10"/>
          </v:shape>
        </w:pict>
      </w:r>
      <w:r>
        <w:rPr>
          <w:spacing w:val="-2"/>
        </w:rPr>
        <w:t>60%</w:t>
      </w:r>
    </w:p>
    <w:p>
      <w:pPr>
        <w:pStyle w:val="BodyText"/>
        <w:ind w:left="7221"/>
        <w:spacing w:before="135" w:line="197" w:lineRule="auto"/>
        <w:rPr/>
      </w:pPr>
      <w:r>
        <w:rPr>
          <w:color w:val="FFFFFF"/>
          <w:spacing w:val="-5"/>
        </w:rPr>
        <w:t>15%</w:t>
      </w:r>
    </w:p>
    <w:p>
      <w:pPr>
        <w:pStyle w:val="BodyText"/>
        <w:ind w:left="111"/>
        <w:spacing w:before="34" w:line="197" w:lineRule="auto"/>
        <w:rPr/>
      </w:pPr>
      <w:r>
        <w:rPr>
          <w:spacing w:val="-1"/>
        </w:rPr>
        <w:t>40%</w:t>
      </w:r>
    </w:p>
    <w:p>
      <w:pPr>
        <w:pStyle w:val="BodyText"/>
        <w:ind w:left="7204"/>
        <w:spacing w:before="53" w:line="197" w:lineRule="auto"/>
        <w:rPr/>
      </w:pPr>
      <w:r>
        <w:drawing>
          <wp:anchor distT="0" distB="0" distL="0" distR="0" simplePos="0" relativeHeight="251993088" behindDoc="1" locked="0" layoutInCell="1" allowOverlap="1">
            <wp:simplePos x="0" y="0"/>
            <wp:positionH relativeFrom="column">
              <wp:posOffset>2577771</wp:posOffset>
            </wp:positionH>
            <wp:positionV relativeFrom="paragraph">
              <wp:posOffset>-95672</wp:posOffset>
            </wp:positionV>
            <wp:extent cx="2835476" cy="393221"/>
            <wp:effectExtent l="0" t="0" r="0" b="0"/>
            <wp:wrapNone/>
            <wp:docPr id="274" name="IM 274"/>
            <wp:cNvGraphicFramePr/>
            <a:graphic>
              <a:graphicData uri="http://schemas.openxmlformats.org/drawingml/2006/picture">
                <pic:pic>
                  <pic:nvPicPr>
                    <pic:cNvPr id="274" name="IM 274"/>
                    <pic:cNvPicPr/>
                  </pic:nvPicPr>
                  <pic:blipFill>
                    <a:blip r:embed="rId130"/>
                    <a:stretch>
                      <a:fillRect/>
                    </a:stretch>
                  </pic:blipFill>
                  <pic:spPr>
                    <a:xfrm rot="0">
                      <a:off x="0" y="0"/>
                      <a:ext cx="2835476" cy="393221"/>
                    </a:xfrm>
                    <a:prstGeom prst="rect">
                      <a:avLst/>
                    </a:prstGeom>
                  </pic:spPr>
                </pic:pic>
              </a:graphicData>
            </a:graphic>
          </wp:anchor>
        </w:drawing>
      </w:r>
      <w:r>
        <w:pict>
          <v:shape id="_x0000_s522" style="position:absolute;margin-left:135.979pt;margin-top:-1.95583pt;mso-position-vertical-relative:text;mso-position-horizontal-relative:text;width:22.6pt;height:32.1pt;z-index:252003328;" filled="false" stroked="false" type="#_x0000_t202">
            <v:fill on="false"/>
            <v:stroke on="false"/>
            <v:path/>
            <v:imagedata o:title=""/>
            <o:lock v:ext="edit" aspectratio="false"/>
            <v:textbox inset="0mm,0mm,0mm,0mm">
              <w:txbxContent>
                <w:p>
                  <w:pPr>
                    <w:pStyle w:val="BodyText"/>
                    <w:ind w:left="20"/>
                    <w:spacing w:before="19" w:line="197" w:lineRule="auto"/>
                    <w:rPr/>
                  </w:pPr>
                  <w:r>
                    <w:rPr>
                      <w:color w:val="FFFFFF"/>
                      <w:spacing w:val="-2"/>
                    </w:rPr>
                    <w:t>28%</w:t>
                  </w:r>
                </w:p>
                <w:p>
                  <w:pPr>
                    <w:pStyle w:val="BodyText"/>
                    <w:ind w:left="80"/>
                    <w:spacing w:before="205" w:line="197" w:lineRule="auto"/>
                    <w:rPr/>
                  </w:pPr>
                  <w:r>
                    <w:rPr>
                      <w:color w:val="FFFFFF"/>
                      <w:spacing w:val="-2"/>
                    </w:rPr>
                    <w:t>0%</w:t>
                  </w:r>
                </w:p>
              </w:txbxContent>
            </v:textbox>
          </v:shape>
        </w:pict>
      </w:r>
      <w:r>
        <w:rPr>
          <w:color w:val="FFFFFF"/>
          <w:spacing w:val="-2"/>
        </w:rPr>
        <w:t>20%</w:t>
      </w:r>
    </w:p>
    <w:p>
      <w:pPr>
        <w:pStyle w:val="BodyText"/>
        <w:ind w:left="114"/>
        <w:spacing w:before="117" w:line="197" w:lineRule="auto"/>
        <w:rPr/>
      </w:pPr>
      <w:r>
        <w:pict>
          <v:shape id="_x0000_s524" style="position:absolute;margin-left:203.284pt;margin-top:7.75215pt;mso-position-vertical-relative:text;mso-position-horizontal-relative:text;width:111.65pt;height:3.4pt;z-index:-251324416;" filled="false" strokecolor="#7F7F7F" strokeweight="0.50pt" coordsize="2233,68" coordorigin="0,0" path="m2232,4l0,62e">
            <v:stroke dashstyle="dash" miterlimit="10"/>
          </v:shape>
        </w:pict>
      </w:r>
      <w:r>
        <w:rPr>
          <w:spacing w:val="-2"/>
        </w:rPr>
        <w:t>20%</w:t>
      </w:r>
    </w:p>
    <w:p>
      <w:pPr>
        <w:pStyle w:val="BodyText"/>
        <w:ind w:left="2739"/>
        <w:spacing w:before="97" w:line="197" w:lineRule="auto"/>
        <w:rPr/>
      </w:pPr>
      <w:r>
        <w:pict>
          <v:shape id="_x0000_s526" style="position:absolute;margin-left:359.239pt;margin-top:2.50047pt;mso-position-vertical-relative:text;mso-position-horizontal-relative:text;width:22.6pt;height:11.9pt;z-index:252011520;" filled="false" stroked="false" type="#_x0000_t202">
            <v:fill on="false"/>
            <v:stroke on="false"/>
            <v:path/>
            <v:imagedata o:title=""/>
            <o:lock v:ext="edit" aspectratio="false"/>
            <v:textbox inset="0mm,0mm,0mm,0mm">
              <w:txbxContent>
                <w:p>
                  <w:pPr>
                    <w:pStyle w:val="BodyText"/>
                    <w:ind w:left="20"/>
                    <w:spacing w:before="19" w:line="197" w:lineRule="auto"/>
                    <w:rPr/>
                  </w:pPr>
                  <w:r>
                    <w:rPr>
                      <w:color w:val="FFFFFF"/>
                      <w:spacing w:val="-2"/>
                    </w:rPr>
                    <w:t>22%</w:t>
                  </w:r>
                </w:p>
              </w:txbxContent>
            </v:textbox>
          </v:shape>
        </w:pict>
      </w:r>
      <w:r>
        <w:rPr>
          <w:color w:val="FFFFFF"/>
          <w:spacing w:val="-2"/>
        </w:rPr>
        <w:t>20%</w:t>
      </w:r>
    </w:p>
    <w:p>
      <w:pPr>
        <w:pStyle w:val="BodyText"/>
        <w:ind w:left="234"/>
        <w:spacing w:before="73" w:line="197" w:lineRule="auto"/>
        <w:rPr/>
      </w:pPr>
      <w:r>
        <w:pict>
          <v:shape id="_x0000_s528" style="position:absolute;margin-left:35.77pt;margin-top:7.96419pt;mso-position-vertical-relative:text;mso-position-horizontal-relative:text;width:446.65pt;height:3.4pt;z-index:252000256;" filled="false" strokecolor="#000000" strokeweight="0.50pt" coordsize="8932,68" coordorigin="0,0" path="m0,5l8927,5m4464,5l4464,67m8927,5l8927,67e">
            <v:stroke miterlimit="10"/>
          </v:shape>
        </w:pict>
      </w:r>
      <w:r>
        <w:rPr>
          <w:spacing w:val="-2"/>
        </w:rPr>
        <w:t>0%</w:t>
      </w:r>
    </w:p>
    <w:p>
      <w:pPr>
        <w:pStyle w:val="BodyText"/>
        <w:ind w:left="2714"/>
        <w:spacing w:before="54" w:line="195" w:lineRule="auto"/>
        <w:rPr/>
      </w:pPr>
      <w:r>
        <w:rPr/>
        <w:t>2020                                      </w:t>
      </w:r>
      <w:r>
        <w:rPr>
          <w:spacing w:val="-1"/>
        </w:rPr>
        <w:t xml:space="preserve">                               2026</w:t>
      </w:r>
    </w:p>
    <w:p>
      <w:pPr>
        <w:ind w:left="307"/>
        <w:spacing w:before="130" w:line="186" w:lineRule="auto"/>
        <w:rPr>
          <w:rFonts w:ascii="Microsoft YaHei" w:hAnsi="Microsoft YaHei" w:eastAsia="Microsoft YaHei" w:cs="Microsoft YaHei"/>
          <w:sz w:val="21"/>
          <w:szCs w:val="21"/>
        </w:rPr>
      </w:pPr>
      <w:r>
        <w:rPr>
          <w:rFonts w:ascii="PMingLiU" w:hAnsi="PMingLiU" w:eastAsia="PMingLiU" w:cs="PMingLiU"/>
          <w:sz w:val="21"/>
          <w:szCs w:val="21"/>
        </w:rPr>
        <w:drawing>
          <wp:inline distT="0" distB="0" distL="0" distR="0">
            <wp:extent cx="67055" cy="67055"/>
            <wp:effectExtent l="0" t="0" r="0" b="0"/>
            <wp:docPr id="276" name="IM 276"/>
            <wp:cNvGraphicFramePr/>
            <a:graphic>
              <a:graphicData uri="http://schemas.openxmlformats.org/drawingml/2006/picture">
                <pic:pic>
                  <pic:nvPicPr>
                    <pic:cNvPr id="276" name="IM 276"/>
                    <pic:cNvPicPr/>
                  </pic:nvPicPr>
                  <pic:blipFill>
                    <a:blip r:embed="rId131"/>
                    <a:stretch>
                      <a:fillRect/>
                    </a:stretch>
                  </pic:blipFill>
                  <pic:spPr>
                    <a:xfrm rot="0">
                      <a:off x="0" y="0"/>
                      <a:ext cx="67055" cy="67055"/>
                    </a:xfrm>
                    <a:prstGeom prst="rect">
                      <a:avLst/>
                    </a:prstGeom>
                  </pic:spPr>
                </pic:pic>
              </a:graphicData>
            </a:graphic>
          </wp:inline>
        </w:drawing>
      </w:r>
      <w:r>
        <w:rPr>
          <w:rFonts w:ascii="PMingLiU" w:hAnsi="PMingLiU" w:eastAsia="PMingLiU" w:cs="PMingLiU"/>
          <w:sz w:val="21"/>
          <w:szCs w:val="21"/>
          <w:spacing w:val="19"/>
        </w:rPr>
        <w:t xml:space="preserve"> </w:t>
      </w:r>
      <w:r>
        <w:rPr>
          <w:rFonts w:ascii="PMingLiU" w:hAnsi="PMingLiU" w:eastAsia="PMingLiU" w:cs="PMingLiU"/>
          <w:sz w:val="21"/>
          <w:szCs w:val="21"/>
        </w:rPr>
        <w:t>中国              </w:t>
      </w:r>
      <w:r>
        <w:rPr>
          <w:sz w:val="21"/>
          <w:szCs w:val="21"/>
        </w:rPr>
        <w:drawing>
          <wp:inline distT="0" distB="0" distL="0" distR="0">
            <wp:extent cx="67055" cy="67055"/>
            <wp:effectExtent l="0" t="0" r="0" b="0"/>
            <wp:docPr id="278" name="IM 278"/>
            <wp:cNvGraphicFramePr/>
            <a:graphic>
              <a:graphicData uri="http://schemas.openxmlformats.org/drawingml/2006/picture">
                <pic:pic>
                  <pic:nvPicPr>
                    <pic:cNvPr id="278" name="IM 278"/>
                    <pic:cNvPicPr/>
                  </pic:nvPicPr>
                  <pic:blipFill>
                    <a:blip r:embed="rId132"/>
                    <a:stretch>
                      <a:fillRect/>
                    </a:stretch>
                  </pic:blipFill>
                  <pic:spPr>
                    <a:xfrm rot="0">
                      <a:off x="0" y="0"/>
                      <a:ext cx="67055" cy="67055"/>
                    </a:xfrm>
                    <a:prstGeom prst="rect">
                      <a:avLst/>
                    </a:prstGeom>
                  </pic:spPr>
                </pic:pic>
              </a:graphicData>
            </a:graphic>
          </wp:inline>
        </w:drawing>
      </w:r>
      <w:r>
        <w:rPr>
          <w:rFonts w:ascii="PMingLiU" w:hAnsi="PMingLiU" w:eastAsia="PMingLiU" w:cs="PMingLiU"/>
          <w:sz w:val="21"/>
          <w:szCs w:val="21"/>
          <w:spacing w:val="-1"/>
        </w:rPr>
        <w:t xml:space="preserve"> </w:t>
      </w:r>
      <w:r>
        <w:rPr>
          <w:rFonts w:ascii="PMingLiU" w:hAnsi="PMingLiU" w:eastAsia="PMingLiU" w:cs="PMingLiU"/>
          <w:sz w:val="21"/>
          <w:szCs w:val="21"/>
        </w:rPr>
        <w:t>印度              </w:t>
      </w:r>
      <w:r>
        <w:rPr>
          <w:sz w:val="21"/>
          <w:szCs w:val="21"/>
        </w:rPr>
        <w:drawing>
          <wp:inline distT="0" distB="0" distL="0" distR="0">
            <wp:extent cx="67055" cy="67055"/>
            <wp:effectExtent l="0" t="0" r="0" b="0"/>
            <wp:docPr id="280" name="IM 280"/>
            <wp:cNvGraphicFramePr/>
            <a:graphic>
              <a:graphicData uri="http://schemas.openxmlformats.org/drawingml/2006/picture">
                <pic:pic>
                  <pic:nvPicPr>
                    <pic:cNvPr id="280" name="IM 280"/>
                    <pic:cNvPicPr/>
                  </pic:nvPicPr>
                  <pic:blipFill>
                    <a:blip r:embed="rId133"/>
                    <a:stretch>
                      <a:fillRect/>
                    </a:stretch>
                  </pic:blipFill>
                  <pic:spPr>
                    <a:xfrm rot="0">
                      <a:off x="0" y="0"/>
                      <a:ext cx="67055" cy="67055"/>
                    </a:xfrm>
                    <a:prstGeom prst="rect">
                      <a:avLst/>
                    </a:prstGeom>
                  </pic:spPr>
                </pic:pic>
              </a:graphicData>
            </a:graphic>
          </wp:inline>
        </w:drawing>
      </w:r>
      <w:r>
        <w:rPr>
          <w:rFonts w:ascii="PMingLiU" w:hAnsi="PMingLiU" w:eastAsia="PMingLiU" w:cs="PMingLiU"/>
          <w:sz w:val="21"/>
          <w:szCs w:val="21"/>
          <w:spacing w:val="-5"/>
        </w:rPr>
        <w:t xml:space="preserve"> </w:t>
      </w:r>
      <w:r>
        <w:rPr>
          <w:rFonts w:ascii="PMingLiU" w:hAnsi="PMingLiU" w:eastAsia="PMingLiU" w:cs="PMingLiU"/>
          <w:sz w:val="21"/>
          <w:szCs w:val="21"/>
        </w:rPr>
        <w:t>美国              </w:t>
      </w:r>
      <w:r>
        <w:rPr>
          <w:sz w:val="21"/>
          <w:szCs w:val="21"/>
        </w:rPr>
        <w:drawing>
          <wp:inline distT="0" distB="0" distL="0" distR="0">
            <wp:extent cx="67055" cy="67055"/>
            <wp:effectExtent l="0" t="0" r="0" b="0"/>
            <wp:docPr id="282" name="IM 282"/>
            <wp:cNvGraphicFramePr/>
            <a:graphic>
              <a:graphicData uri="http://schemas.openxmlformats.org/drawingml/2006/picture">
                <pic:pic>
                  <pic:nvPicPr>
                    <pic:cNvPr id="282" name="IM 282"/>
                    <pic:cNvPicPr/>
                  </pic:nvPicPr>
                  <pic:blipFill>
                    <a:blip r:embed="rId134"/>
                    <a:stretch>
                      <a:fillRect/>
                    </a:stretch>
                  </pic:blipFill>
                  <pic:spPr>
                    <a:xfrm rot="0">
                      <a:off x="0" y="0"/>
                      <a:ext cx="67055" cy="67055"/>
                    </a:xfrm>
                    <a:prstGeom prst="rect">
                      <a:avLst/>
                    </a:prstGeom>
                  </pic:spPr>
                </pic:pic>
              </a:graphicData>
            </a:graphic>
          </wp:inline>
        </w:drawing>
      </w:r>
      <w:r>
        <w:rPr>
          <w:rFonts w:ascii="PMingLiU" w:hAnsi="PMingLiU" w:eastAsia="PMingLiU" w:cs="PMingLiU"/>
          <w:sz w:val="21"/>
          <w:szCs w:val="21"/>
          <w:spacing w:val="-8"/>
        </w:rPr>
        <w:t xml:space="preserve"> </w:t>
      </w:r>
      <w:r>
        <w:rPr>
          <w:rFonts w:ascii="PMingLiU" w:hAnsi="PMingLiU" w:eastAsia="PMingLiU" w:cs="PMingLiU"/>
          <w:sz w:val="21"/>
          <w:szCs w:val="21"/>
        </w:rPr>
        <w:t>欧洲</w:t>
      </w:r>
      <w:r>
        <w:rPr>
          <w:rFonts w:ascii="PMingLiU" w:hAnsi="PMingLiU" w:eastAsia="PMingLiU" w:cs="PMingLiU"/>
          <w:sz w:val="21"/>
          <w:szCs w:val="21"/>
          <w:spacing w:val="-1"/>
        </w:rPr>
        <w:t xml:space="preserve">              </w:t>
      </w:r>
      <w:r>
        <w:rPr>
          <w:sz w:val="21"/>
          <w:szCs w:val="21"/>
        </w:rPr>
        <w:drawing>
          <wp:inline distT="0" distB="0" distL="0" distR="0">
            <wp:extent cx="67055" cy="67055"/>
            <wp:effectExtent l="0" t="0" r="0" b="0"/>
            <wp:docPr id="284" name="IM 284"/>
            <wp:cNvGraphicFramePr/>
            <a:graphic>
              <a:graphicData uri="http://schemas.openxmlformats.org/drawingml/2006/picture">
                <pic:pic>
                  <pic:nvPicPr>
                    <pic:cNvPr id="284" name="IM 284"/>
                    <pic:cNvPicPr/>
                  </pic:nvPicPr>
                  <pic:blipFill>
                    <a:blip r:embed="rId135"/>
                    <a:stretch>
                      <a:fillRect/>
                    </a:stretch>
                  </pic:blipFill>
                  <pic:spPr>
                    <a:xfrm rot="0">
                      <a:off x="0" y="0"/>
                      <a:ext cx="67055" cy="67055"/>
                    </a:xfrm>
                    <a:prstGeom prst="rect">
                      <a:avLst/>
                    </a:prstGeom>
                  </pic:spPr>
                </pic:pic>
              </a:graphicData>
            </a:graphic>
          </wp:inline>
        </w:drawing>
      </w:r>
      <w:r>
        <w:rPr>
          <w:rFonts w:ascii="PMingLiU" w:hAnsi="PMingLiU" w:eastAsia="PMingLiU" w:cs="PMingLiU"/>
          <w:sz w:val="21"/>
          <w:szCs w:val="21"/>
          <w:spacing w:val="4"/>
        </w:rPr>
        <w:t xml:space="preserve"> </w:t>
      </w:r>
      <w:r>
        <w:rPr>
          <w:rFonts w:ascii="Microsoft YaHei" w:hAnsi="Microsoft YaHei" w:eastAsia="Microsoft YaHei" w:cs="Microsoft YaHei"/>
          <w:sz w:val="21"/>
          <w:szCs w:val="21"/>
          <w:spacing w:val="-1"/>
        </w:rPr>
        <w:t>亚太其他国家            </w:t>
      </w:r>
      <w:r>
        <w:rPr>
          <w:sz w:val="21"/>
          <w:szCs w:val="21"/>
        </w:rPr>
        <w:drawing>
          <wp:inline distT="0" distB="0" distL="0" distR="0">
            <wp:extent cx="67055" cy="67055"/>
            <wp:effectExtent l="0" t="0" r="0" b="0"/>
            <wp:docPr id="286" name="IM 286"/>
            <wp:cNvGraphicFramePr/>
            <a:graphic>
              <a:graphicData uri="http://schemas.openxmlformats.org/drawingml/2006/picture">
                <pic:pic>
                  <pic:nvPicPr>
                    <pic:cNvPr id="286" name="IM 286"/>
                    <pic:cNvPicPr/>
                  </pic:nvPicPr>
                  <pic:blipFill>
                    <a:blip r:embed="rId136"/>
                    <a:stretch>
                      <a:fillRect/>
                    </a:stretch>
                  </pic:blipFill>
                  <pic:spPr>
                    <a:xfrm rot="0">
                      <a:off x="0" y="0"/>
                      <a:ext cx="67055" cy="67055"/>
                    </a:xfrm>
                    <a:prstGeom prst="rect">
                      <a:avLst/>
                    </a:prstGeom>
                  </pic:spPr>
                </pic:pic>
              </a:graphicData>
            </a:graphic>
          </wp:inline>
        </w:drawing>
      </w:r>
      <w:r>
        <w:rPr>
          <w:rFonts w:ascii="Microsoft YaHei" w:hAnsi="Microsoft YaHei" w:eastAsia="Microsoft YaHei" w:cs="Microsoft YaHei"/>
          <w:sz w:val="21"/>
          <w:szCs w:val="21"/>
          <w:spacing w:val="-7"/>
        </w:rPr>
        <w:t xml:space="preserve"> </w:t>
      </w:r>
      <w:r>
        <w:rPr>
          <w:rFonts w:ascii="Microsoft YaHei" w:hAnsi="Microsoft YaHei" w:eastAsia="Microsoft YaHei" w:cs="Microsoft YaHei"/>
          <w:sz w:val="21"/>
          <w:szCs w:val="21"/>
          <w:spacing w:val="-1"/>
        </w:rPr>
        <w:t>世界其他国家</w:t>
      </w:r>
    </w:p>
    <w:p>
      <w:pPr>
        <w:pStyle w:val="BodyText"/>
        <w:spacing w:line="313" w:lineRule="auto"/>
        <w:rPr/>
      </w:pPr>
      <w:r/>
    </w:p>
    <w:p>
      <w:pPr>
        <w:ind w:left="8"/>
        <w:spacing w:before="65" w:line="197"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2"/>
        </w:rPr>
        <w:t>数据来源： </w:t>
      </w:r>
      <w:r>
        <w:rPr>
          <w:rFonts w:ascii="Microsoft YaHei" w:hAnsi="Microsoft YaHei" w:eastAsia="Microsoft YaHei" w:cs="Microsoft YaHei"/>
          <w:sz w:val="15"/>
          <w:szCs w:val="15"/>
        </w:rPr>
        <w:t>IEA</w:t>
      </w:r>
      <w:r>
        <w:rPr>
          <w:rFonts w:ascii="Microsoft YaHei" w:hAnsi="Microsoft YaHei" w:eastAsia="Microsoft YaHei" w:cs="Microsoft YaHei"/>
          <w:sz w:val="15"/>
          <w:szCs w:val="15"/>
          <w:spacing w:val="2"/>
        </w:rPr>
        <w:t>,</w:t>
      </w:r>
      <w:r>
        <w:rPr>
          <w:rFonts w:ascii="Microsoft YaHei" w:hAnsi="Microsoft YaHei" w:eastAsia="Microsoft YaHei" w:cs="Microsoft YaHei"/>
          <w:sz w:val="15"/>
          <w:szCs w:val="15"/>
          <w:spacing w:val="21"/>
          <w:w w:val="101"/>
        </w:rPr>
        <w:t xml:space="preserve"> </w:t>
      </w:r>
      <w:r>
        <w:rPr>
          <w:rFonts w:ascii="Microsoft YaHei" w:hAnsi="Microsoft YaHei" w:eastAsia="Microsoft YaHei" w:cs="Microsoft YaHei"/>
          <w:sz w:val="15"/>
          <w:szCs w:val="15"/>
          <w:spacing w:val="2"/>
        </w:rPr>
        <w:t>毕马威分析</w:t>
      </w:r>
    </w:p>
    <w:p>
      <w:pPr>
        <w:pStyle w:val="BodyText"/>
        <w:spacing w:line="390" w:lineRule="auto"/>
        <w:rPr/>
      </w:pPr>
      <w:r/>
    </w:p>
    <w:p>
      <w:pPr>
        <w:ind w:left="10" w:right="3007"/>
        <w:spacing w:before="91" w:line="223"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7"/>
        </w:rPr>
        <w:t>从传统储能方式抽水蓄能来看</w:t>
      </w:r>
      <w:r>
        <w:rPr>
          <w:rFonts w:ascii="Microsoft YaHei" w:hAnsi="Microsoft YaHei" w:eastAsia="Microsoft YaHei" w:cs="Microsoft YaHei"/>
          <w:sz w:val="21"/>
          <w:szCs w:val="21"/>
          <w:spacing w:val="-19"/>
        </w:rPr>
        <w:t xml:space="preserve"> </w:t>
      </w:r>
      <w:r>
        <w:rPr>
          <w:rFonts w:ascii="Microsoft YaHei" w:hAnsi="Microsoft YaHei" w:eastAsia="Microsoft YaHei" w:cs="Microsoft YaHei"/>
          <w:sz w:val="21"/>
          <w:szCs w:val="21"/>
          <w:spacing w:val="7"/>
        </w:rPr>
        <w:t>，2026年中国的总</w:t>
      </w:r>
      <w:r>
        <w:rPr>
          <w:rFonts w:ascii="Microsoft YaHei" w:hAnsi="Microsoft YaHei" w:eastAsia="Microsoft YaHei" w:cs="Microsoft YaHei"/>
          <w:sz w:val="21"/>
          <w:szCs w:val="21"/>
          <w:spacing w:val="6"/>
        </w:rPr>
        <w:t>占比与2020年持平</w:t>
      </w:r>
      <w:r>
        <w:rPr>
          <w:rFonts w:ascii="Microsoft YaHei" w:hAnsi="Microsoft YaHei" w:eastAsia="Microsoft YaHei" w:cs="Microsoft YaHei"/>
          <w:sz w:val="21"/>
          <w:szCs w:val="21"/>
          <w:spacing w:val="-20"/>
        </w:rPr>
        <w:t xml:space="preserve"> </w:t>
      </w:r>
      <w:r>
        <w:rPr>
          <w:rFonts w:ascii="Microsoft YaHei" w:hAnsi="Microsoft YaHei" w:eastAsia="Microsoft YaHei" w:cs="Microsoft YaHei"/>
          <w:sz w:val="21"/>
          <w:szCs w:val="21"/>
          <w:spacing w:val="6"/>
        </w:rPr>
        <w:t>，</w:t>
      </w:r>
      <w:r>
        <w:rPr>
          <w:rFonts w:ascii="Microsoft YaHei" w:hAnsi="Microsoft YaHei" w:eastAsia="Microsoft YaHei" w:cs="Microsoft YaHei"/>
          <w:sz w:val="21"/>
          <w:szCs w:val="21"/>
          <w:spacing w:val="-40"/>
        </w:rPr>
        <w:t xml:space="preserve"> </w:t>
      </w:r>
      <w:r>
        <w:rPr>
          <w:rFonts w:ascii="Microsoft YaHei" w:hAnsi="Microsoft YaHei" w:eastAsia="Microsoft YaHei" w:cs="Microsoft YaHei"/>
          <w:sz w:val="21"/>
          <w:szCs w:val="21"/>
          <w:spacing w:val="6"/>
        </w:rPr>
        <w:t>为11%</w:t>
      </w:r>
      <w:r>
        <w:rPr>
          <w:rFonts w:ascii="Microsoft YaHei" w:hAnsi="Microsoft YaHei" w:eastAsia="Microsoft YaHei" w:cs="Microsoft YaHei"/>
          <w:sz w:val="21"/>
          <w:szCs w:val="21"/>
          <w:spacing w:val="-17"/>
        </w:rPr>
        <w:t xml:space="preserve"> </w:t>
      </w:r>
      <w:r>
        <w:rPr>
          <w:rFonts w:ascii="Microsoft YaHei" w:hAnsi="Microsoft YaHei" w:eastAsia="Microsoft YaHei" w:cs="Microsoft YaHei"/>
          <w:sz w:val="21"/>
          <w:szCs w:val="21"/>
          <w:spacing w:val="6"/>
        </w:rPr>
        <w:t>，在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2020-2026年间的新增装机总量预计达381GWh。</w:t>
      </w:r>
      <w:r>
        <w:rPr>
          <w:rFonts w:ascii="Microsoft YaHei" w:hAnsi="Microsoft YaHei" w:eastAsia="Microsoft YaHei" w:cs="Microsoft YaHei"/>
          <w:sz w:val="21"/>
          <w:szCs w:val="21"/>
          <w:spacing w:val="-37"/>
        </w:rPr>
        <w:t xml:space="preserve"> </w:t>
      </w:r>
      <w:r>
        <w:rPr>
          <w:rFonts w:ascii="Microsoft YaHei" w:hAnsi="Microsoft YaHei" w:eastAsia="Microsoft YaHei" w:cs="Microsoft YaHei"/>
          <w:sz w:val="21"/>
          <w:szCs w:val="21"/>
        </w:rPr>
        <w:t>印度的装机量占比预计将从20</w:t>
      </w:r>
      <w:r>
        <w:rPr>
          <w:rFonts w:ascii="Microsoft YaHei" w:hAnsi="Microsoft YaHei" w:eastAsia="Microsoft YaHei" w:cs="Microsoft YaHei"/>
          <w:sz w:val="21"/>
          <w:szCs w:val="21"/>
          <w:spacing w:val="-1"/>
        </w:rPr>
        <w:t>20年</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的15%翻一番达到2026年的33%</w:t>
      </w:r>
      <w:r>
        <w:rPr>
          <w:rFonts w:ascii="Microsoft YaHei" w:hAnsi="Microsoft YaHei" w:eastAsia="Microsoft YaHei" w:cs="Microsoft YaHei"/>
          <w:sz w:val="21"/>
          <w:szCs w:val="21"/>
          <w:spacing w:val="-31"/>
        </w:rPr>
        <w:t xml:space="preserve"> </w:t>
      </w:r>
      <w:r>
        <w:rPr>
          <w:rFonts w:ascii="Microsoft YaHei" w:hAnsi="Microsoft YaHei" w:eastAsia="Microsoft YaHei" w:cs="Microsoft YaHei"/>
          <w:sz w:val="21"/>
          <w:szCs w:val="21"/>
          <w:spacing w:val="-4"/>
        </w:rPr>
        <w:t>，7年间预计新增装机量达2,587GWh（图 </w:t>
      </w:r>
      <w:r>
        <w:rPr>
          <w:rFonts w:ascii="Microsoft YaHei" w:hAnsi="Microsoft YaHei" w:eastAsia="Microsoft YaHei" w:cs="Microsoft YaHei"/>
          <w:sz w:val="21"/>
          <w:szCs w:val="21"/>
          <w:spacing w:val="-5"/>
        </w:rPr>
        <w:t>12）。</w:t>
      </w:r>
    </w:p>
    <w:p>
      <w:pPr>
        <w:pStyle w:val="BodyText"/>
        <w:spacing w:line="317" w:lineRule="auto"/>
        <w:rPr/>
      </w:pPr>
      <w:r/>
    </w:p>
    <w:p>
      <w:pPr>
        <w:pStyle w:val="BodyText"/>
        <w:spacing w:line="318" w:lineRule="auto"/>
        <w:rPr/>
      </w:pPr>
      <w:r>
        <w:pict>
          <v:rect id="_x0000_s530" style="position:absolute;margin-left:0.119995pt;margin-top:9.29312pt;mso-position-vertical-relative:text;mso-position-horizontal-relative:text;width:30.5pt;height:5pt;z-index:252017664;" fillcolor="#00B8F5" filled="true" stroked="false"/>
        </w:pict>
      </w:r>
      <w:r/>
    </w:p>
    <w:p>
      <w:pPr>
        <w:ind w:left="918"/>
        <w:spacing w:before="90" w:line="180" w:lineRule="auto"/>
        <w:rPr>
          <w:rFonts w:ascii="Microsoft YaHei" w:hAnsi="Microsoft YaHei" w:eastAsia="Microsoft YaHei" w:cs="Microsoft YaHei"/>
          <w:sz w:val="21"/>
          <w:szCs w:val="21"/>
        </w:rPr>
      </w:pPr>
      <w:r>
        <mc:AlternateContent xmlns:mc="http://schemas.openxmlformats.org/markup-compatibility/2006">
          <mc:Choice Requires="wps">
            <w:drawing>
              <wp:anchor distT="0" distB="0" distL="0" distR="0" simplePos="0" relativeHeight="251996160" behindDoc="1" locked="0" layoutInCell="1" allowOverlap="1">
                <wp:simplePos x="0" y="0"/>
                <wp:positionH relativeFrom="column">
                  <wp:posOffset>0</wp:posOffset>
                </wp:positionH>
                <wp:positionV relativeFrom="paragraph">
                  <wp:posOffset>-42734</wp:posOffset>
                </wp:positionV>
                <wp:extent cx="6123940" cy="332740"/>
                <wp:effectExtent l="0" t="0" r="0" b="0"/>
                <wp:wrapNone/>
                <wp:docPr id="288" name="Rect 288"/>
                <wp:cNvGraphicFramePr/>
                <a:graphic>
                  <a:graphicData uri="http://schemas.microsoft.com/office/word/2010/wordprocessingShape">
                    <wps:wsp>
                      <wps:cNvPr id="288" name="Rect 288"/>
                      <wps:cNvSpPr/>
                      <wps:spPr>
                        <a:xfrm>
                          <a:off x="0" y="-42734"/>
                          <a:ext cx="6123940" cy="332740"/>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532" style="position:absolute;margin-left:0pt;margin-top:-3.36491pt;mso-position-vertical-relative:text;mso-position-horizontal-relative:text;width:482.2pt;height:26.2pt;z-index:-251320320;" fillcolor="#F1F1F1" filled="true" stroked="false"/>
            </w:pict>
          </mc:Fallback>
        </mc:AlternateContent>
      </w:r>
      <w:r>
        <w:pict>
          <v:shape id="_x0000_s534" style="position:absolute;margin-left:7.00904pt;margin-top:1.63509pt;mso-position-vertical-relative:text;mso-position-horizontal-relative:text;width:31.5pt;height:18.2pt;z-index:252005376;" filled="false" stroked="false" type="#_x0000_t202">
            <v:fill on="false"/>
            <v:stroke on="false"/>
            <v:path/>
            <v:imagedata o:title=""/>
            <o:lock v:ext="edit" aspectratio="false"/>
            <v:textbox inset="0mm,0mm,0mm,0mm">
              <w:txbxContent>
                <w:p>
                  <w:pPr>
                    <w:ind w:left="20"/>
                    <w:spacing w:before="20" w:line="215" w:lineRule="auto"/>
                    <w:rPr>
                      <w:sz w:val="21"/>
                      <w:szCs w:val="21"/>
                    </w:rPr>
                  </w:pPr>
                  <w:r>
                    <w:rPr>
                      <w:rFonts w:ascii="Microsoft YaHei" w:hAnsi="Microsoft YaHei" w:eastAsia="Microsoft YaHei" w:cs="Microsoft YaHei"/>
                      <w:sz w:val="21"/>
                      <w:szCs w:val="21"/>
                      <w:b/>
                      <w:bCs/>
                      <w:color w:val="00B8F5"/>
                      <w:spacing w:val="-14"/>
                    </w:rPr>
                    <w:t>图</w:t>
                  </w:r>
                  <w:r>
                    <w:rPr>
                      <w:rFonts w:ascii="Microsoft YaHei" w:hAnsi="Microsoft YaHei" w:eastAsia="Microsoft YaHei" w:cs="Microsoft YaHei"/>
                      <w:sz w:val="21"/>
                      <w:szCs w:val="21"/>
                      <w:b/>
                      <w:bCs/>
                      <w:color w:val="00B8F5"/>
                      <w:spacing w:val="2"/>
                    </w:rPr>
                    <w:t xml:space="preserve"> </w:t>
                  </w:r>
                  <w:r>
                    <w:rPr>
                      <w:rFonts w:ascii="Microsoft YaHei" w:hAnsi="Microsoft YaHei" w:eastAsia="Microsoft YaHei" w:cs="Microsoft YaHei"/>
                      <w:sz w:val="21"/>
                      <w:szCs w:val="21"/>
                      <w:b/>
                      <w:bCs/>
                      <w:color w:val="00B8F5"/>
                      <w:spacing w:val="-14"/>
                    </w:rPr>
                    <w:t>12</w:t>
                  </w:r>
                  <w:r>
                    <w:rPr>
                      <w:rFonts w:ascii="Microsoft YaHei" w:hAnsi="Microsoft YaHei" w:eastAsia="Microsoft YaHei" w:cs="Microsoft YaHei"/>
                      <w:sz w:val="21"/>
                      <w:szCs w:val="21"/>
                      <w:b/>
                      <w:bCs/>
                      <w:color w:val="00B8F5"/>
                      <w:spacing w:val="13"/>
                    </w:rPr>
                    <w:t xml:space="preserve"> </w:t>
                  </w:r>
                  <w:r>
                    <w:rPr>
                      <w:sz w:val="21"/>
                      <w:szCs w:val="21"/>
                      <w:position w:val="-5"/>
                    </w:rPr>
                    <w:drawing>
                      <wp:inline distT="0" distB="0" distL="0" distR="0">
                        <wp:extent cx="12700" cy="175666"/>
                        <wp:effectExtent l="0" t="0" r="0" b="0"/>
                        <wp:docPr id="290" name="IM 290"/>
                        <wp:cNvGraphicFramePr/>
                        <a:graphic>
                          <a:graphicData uri="http://schemas.openxmlformats.org/drawingml/2006/picture">
                            <pic:pic>
                              <pic:nvPicPr>
                                <pic:cNvPr id="290" name="IM 290"/>
                                <pic:cNvPicPr/>
                              </pic:nvPicPr>
                              <pic:blipFill>
                                <a:blip r:embed="rId137"/>
                                <a:stretch>
                                  <a:fillRect/>
                                </a:stretch>
                              </pic:blipFill>
                              <pic:spPr>
                                <a:xfrm rot="0">
                                  <a:off x="0" y="0"/>
                                  <a:ext cx="12700" cy="175666"/>
                                </a:xfrm>
                                <a:prstGeom prst="rect">
                                  <a:avLst/>
                                </a:prstGeom>
                              </pic:spPr>
                            </pic:pic>
                          </a:graphicData>
                        </a:graphic>
                      </wp:inline>
                    </w:drawing>
                  </w:r>
                </w:p>
              </w:txbxContent>
            </v:textbox>
          </v:shape>
        </w:pict>
      </w:r>
      <w:r>
        <w:rPr>
          <w:rFonts w:ascii="Microsoft YaHei" w:hAnsi="Microsoft YaHei" w:eastAsia="Microsoft YaHei" w:cs="Microsoft YaHei"/>
          <w:sz w:val="21"/>
          <w:szCs w:val="21"/>
          <w:b/>
          <w:bCs/>
          <w:color w:val="00B8F5"/>
        </w:rPr>
        <w:t>各国和地区抽水蓄能总装机量占比预测</w:t>
      </w:r>
    </w:p>
    <w:p>
      <w:pPr>
        <w:pStyle w:val="BodyText"/>
        <w:spacing w:line="376" w:lineRule="auto"/>
        <w:rPr/>
      </w:pPr>
      <w:r>
        <w:pict>
          <v:shape id="_x0000_s536" style="position:absolute;margin-left:4.26828pt;margin-top:17.5265pt;mso-position-vertical-relative:text;mso-position-horizontal-relative:text;width:27.75pt;height:11.9pt;z-index:252009472;" filled="false" stroked="false" type="#_x0000_t202">
            <v:fill on="false"/>
            <v:stroke on="false"/>
            <v:path/>
            <v:imagedata o:title=""/>
            <o:lock v:ext="edit" aspectratio="false"/>
            <v:textbox inset="0mm,0mm,0mm,0mm">
              <w:txbxContent>
                <w:p>
                  <w:pPr>
                    <w:pStyle w:val="BodyText"/>
                    <w:ind w:left="20"/>
                    <w:spacing w:before="19" w:line="197" w:lineRule="auto"/>
                    <w:rPr/>
                  </w:pPr>
                  <w:r>
                    <w:rPr>
                      <w:spacing w:val="-6"/>
                    </w:rPr>
                    <w:t>100%</w:t>
                  </w:r>
                </w:p>
              </w:txbxContent>
            </v:textbox>
          </v:shape>
        </w:pict>
      </w:r>
      <w:r/>
    </w:p>
    <w:p>
      <w:pPr>
        <w:pStyle w:val="BodyText"/>
        <w:ind w:firstLine="2774"/>
        <w:spacing w:before="1" w:line="202" w:lineRule="exact"/>
        <w:rPr/>
      </w:pPr>
      <w:r>
        <w:pict>
          <v:shape id="_x0000_s538" style="position:absolute;margin-left:358.56pt;margin-top:0.047729pt;mso-position-vertical-relative:text;mso-position-horizontal-relative:text;width:21.4pt;height:10.1pt;z-index:252007424;" fillcolor="#0C233C" filled="true" stroked="false" type="#_x0000_t202">
            <v:fill on="true"/>
            <v:stroke on="false"/>
            <v:path/>
            <v:imagedata o:title=""/>
            <o:lock v:ext="edit" aspectratio="false"/>
            <v:textbox inset="0mm,0mm,0mm,0mm">
              <w:txbxContent>
                <w:p>
                  <w:pPr>
                    <w:pStyle w:val="BodyText"/>
                    <w:ind w:left="65"/>
                    <w:spacing w:before="20" w:line="197" w:lineRule="auto"/>
                    <w:rPr/>
                  </w:pPr>
                  <w:r>
                    <w:rPr>
                      <w:color w:val="FFFFFF"/>
                      <w:spacing w:val="-2"/>
                    </w:rPr>
                    <w:t>2%</w:t>
                  </w:r>
                </w:p>
              </w:txbxContent>
            </v:textbox>
          </v:shape>
        </w:pict>
      </w:r>
      <w:r>
        <w:pict>
          <v:shape id="_x0000_s540" style="position:absolute;margin-left:36.97pt;margin-top:3.8877pt;mso-position-vertical-relative:text;mso-position-horizontal-relative:text;width:3.65pt;height:180.75pt;z-index:252002304;" filled="false" strokecolor="#000000" strokeweight="0.50pt" coordsize="73,3615" coordorigin="0,0" path="m67,3547l67,5m0,3547l67,3547m0,2841l67,2841m0,2131l67,2131m0,1421l67,1421m0,715l67,715m0,5l67,5m67,3547l67,3614e">
            <v:stroke miterlimit="10"/>
          </v:shape>
        </w:pict>
      </w:r>
      <w:r>
        <w:drawing>
          <wp:anchor distT="0" distB="0" distL="0" distR="0" simplePos="0" relativeHeight="251998208" behindDoc="1" locked="0" layoutInCell="1" allowOverlap="1">
            <wp:simplePos x="0" y="0"/>
            <wp:positionH relativeFrom="column">
              <wp:posOffset>1203959</wp:posOffset>
            </wp:positionH>
            <wp:positionV relativeFrom="paragraph">
              <wp:posOffset>46325</wp:posOffset>
            </wp:positionV>
            <wp:extent cx="4166615" cy="73278"/>
            <wp:effectExtent l="0" t="0" r="0" b="0"/>
            <wp:wrapNone/>
            <wp:docPr id="292" name="IM 292"/>
            <wp:cNvGraphicFramePr/>
            <a:graphic>
              <a:graphicData uri="http://schemas.openxmlformats.org/drawingml/2006/picture">
                <pic:pic>
                  <pic:nvPicPr>
                    <pic:cNvPr id="292" name="IM 292"/>
                    <pic:cNvPicPr/>
                  </pic:nvPicPr>
                  <pic:blipFill>
                    <a:blip r:embed="rId138"/>
                    <a:stretch>
                      <a:fillRect/>
                    </a:stretch>
                  </pic:blipFill>
                  <pic:spPr>
                    <a:xfrm rot="0">
                      <a:off x="0" y="0"/>
                      <a:ext cx="4166615" cy="73278"/>
                    </a:xfrm>
                    <a:prstGeom prst="rect">
                      <a:avLst/>
                    </a:prstGeom>
                  </pic:spPr>
                </pic:pic>
              </a:graphicData>
            </a:graphic>
          </wp:anchor>
        </w:drawing>
      </w:r>
      <w:r>
        <w:rPr>
          <w:position w:val="-4"/>
        </w:rPr>
        <w:pict>
          <v:shape id="_x0000_s542" style="mso-position-vertical-relative:line;mso-position-horizontal-relative:char;width:21.4pt;height:10.1pt;" fillcolor="#0C233C" filled="true" stroked="false" type="#_x0000_t202">
            <v:fill on="true"/>
            <v:stroke on="false"/>
            <v:path/>
            <v:imagedata o:title=""/>
            <o:lock v:ext="edit" aspectratio="false"/>
            <v:textbox inset="0mm,0mm,0mm,0mm">
              <w:txbxContent>
                <w:p>
                  <w:pPr>
                    <w:ind w:left="69"/>
                    <w:spacing w:before="21" w:line="197" w:lineRule="auto"/>
                    <w:rPr>
                      <w:rFonts w:ascii="Arial" w:hAnsi="Arial" w:eastAsia="Arial" w:cs="Arial"/>
                      <w:sz w:val="21"/>
                      <w:szCs w:val="21"/>
                    </w:rPr>
                  </w:pPr>
                  <w:r>
                    <w:rPr>
                      <w:rFonts w:ascii="Arial" w:hAnsi="Arial" w:eastAsia="Arial" w:cs="Arial"/>
                      <w:sz w:val="21"/>
                      <w:szCs w:val="21"/>
                      <w:color w:val="FFFFFF"/>
                      <w:spacing w:val="-2"/>
                    </w:rPr>
                    <w:t>3%</w:t>
                  </w:r>
                </w:p>
              </w:txbxContent>
            </v:textbox>
          </v:shape>
        </w:pict>
      </w:r>
    </w:p>
    <w:p>
      <w:pPr>
        <w:pStyle w:val="BodyText"/>
        <w:ind w:left="2843"/>
        <w:spacing w:before="21" w:line="197" w:lineRule="auto"/>
        <w:rPr/>
      </w:pPr>
      <w:r>
        <w:drawing>
          <wp:anchor distT="0" distB="0" distL="0" distR="0" simplePos="0" relativeHeight="251997184" behindDoc="1" locked="0" layoutInCell="1" allowOverlap="1">
            <wp:simplePos x="0" y="0"/>
            <wp:positionH relativeFrom="column">
              <wp:posOffset>1203959</wp:posOffset>
            </wp:positionH>
            <wp:positionV relativeFrom="paragraph">
              <wp:posOffset>-27569</wp:posOffset>
            </wp:positionV>
            <wp:extent cx="4166615" cy="2197607"/>
            <wp:effectExtent l="0" t="0" r="0" b="0"/>
            <wp:wrapNone/>
            <wp:docPr id="294" name="IM 294"/>
            <wp:cNvGraphicFramePr/>
            <a:graphic>
              <a:graphicData uri="http://schemas.openxmlformats.org/drawingml/2006/picture">
                <pic:pic>
                  <pic:nvPicPr>
                    <pic:cNvPr id="294" name="IM 294"/>
                    <pic:cNvPicPr/>
                  </pic:nvPicPr>
                  <pic:blipFill>
                    <a:blip r:embed="rId139"/>
                    <a:stretch>
                      <a:fillRect/>
                    </a:stretch>
                  </pic:blipFill>
                  <pic:spPr>
                    <a:xfrm rot="0">
                      <a:off x="0" y="0"/>
                      <a:ext cx="4166615" cy="2197607"/>
                    </a:xfrm>
                    <a:prstGeom prst="rect">
                      <a:avLst/>
                    </a:prstGeom>
                  </pic:spPr>
                </pic:pic>
              </a:graphicData>
            </a:graphic>
          </wp:anchor>
        </w:drawing>
      </w:r>
      <w:r>
        <w:pict>
          <v:shape id="_x0000_s544" style="position:absolute;margin-left:356.906pt;margin-top:-0.334076pt;mso-position-vertical-relative:text;mso-position-horizontal-relative:text;width:22.6pt;height:74.25pt;z-index:252001280;" filled="false" stroked="false" type="#_x0000_t202">
            <v:fill on="false"/>
            <v:stroke on="false"/>
            <v:path/>
            <v:imagedata o:title=""/>
            <o:lock v:ext="edit" aspectratio="false"/>
            <v:textbox inset="0mm,0mm,0mm,0mm">
              <w:txbxContent>
                <w:p>
                  <w:pPr>
                    <w:pStyle w:val="BodyText"/>
                    <w:ind w:left="79" w:right="77"/>
                    <w:spacing w:before="21" w:line="213" w:lineRule="auto"/>
                    <w:jc w:val="both"/>
                    <w:rPr/>
                  </w:pPr>
                  <w:r>
                    <w:rPr>
                      <w:color w:val="FFFFFF"/>
                      <w:spacing w:val="-5"/>
                    </w:rPr>
                    <w:t>6%</w:t>
                  </w:r>
                  <w:r>
                    <w:rPr>
                      <w:color w:val="FFFFFF"/>
                    </w:rPr>
                    <w:t xml:space="preserve"> </w:t>
                  </w:r>
                  <w:r>
                    <w:rPr>
                      <w:color w:val="FFFFFF"/>
                      <w:spacing w:val="-5"/>
                    </w:rPr>
                    <w:t>8%</w:t>
                  </w:r>
                  <w:r>
                    <w:rPr>
                      <w:color w:val="FFFFFF"/>
                    </w:rPr>
                    <w:t xml:space="preserve"> </w:t>
                  </w:r>
                  <w:r>
                    <w:rPr>
                      <w:color w:val="FFFFFF"/>
                      <w:spacing w:val="-5"/>
                    </w:rPr>
                    <w:t>3%</w:t>
                  </w:r>
                  <w:r>
                    <w:rPr>
                      <w:color w:val="FFFFFF"/>
                    </w:rPr>
                    <w:t xml:space="preserve"> </w:t>
                  </w:r>
                  <w:r>
                    <w:rPr>
                      <w:color w:val="FFFFFF"/>
                      <w:spacing w:val="-5"/>
                    </w:rPr>
                    <w:t>7%</w:t>
                  </w:r>
                </w:p>
                <w:p>
                  <w:pPr>
                    <w:pStyle w:val="BodyText"/>
                    <w:spacing w:line="324" w:lineRule="auto"/>
                    <w:rPr/>
                  </w:pPr>
                  <w:r/>
                </w:p>
                <w:p>
                  <w:pPr>
                    <w:pStyle w:val="BodyText"/>
                    <w:ind w:left="20"/>
                    <w:spacing w:before="60" w:line="197" w:lineRule="auto"/>
                    <w:rPr/>
                  </w:pPr>
                  <w:r>
                    <w:rPr>
                      <w:color w:val="FFFFFF"/>
                      <w:spacing w:val="-2"/>
                    </w:rPr>
                    <w:t>29%</w:t>
                  </w:r>
                </w:p>
              </w:txbxContent>
            </v:textbox>
          </v:shape>
        </w:pict>
      </w:r>
      <w:r>
        <w:rPr>
          <w:color w:val="FFFFFF"/>
          <w:spacing w:val="-3"/>
        </w:rPr>
        <w:t>7%</w:t>
      </w:r>
    </w:p>
    <w:p>
      <w:pPr>
        <w:pStyle w:val="BodyText"/>
        <w:ind w:left="2836" w:right="7749" w:hanging="37"/>
        <w:spacing w:before="110" w:line="244" w:lineRule="auto"/>
        <w:jc w:val="both"/>
        <w:rPr/>
      </w:pPr>
      <w:r>
        <w:pict>
          <v:shape id="_x0000_s546" style="position:absolute;margin-left:9.38988pt;margin-top:13.0258pt;mso-position-vertical-relative:text;mso-position-horizontal-relative:text;width:22.75pt;height:11.9pt;z-index:252010496;" filled="false" stroked="false" type="#_x0000_t202">
            <v:fill on="false"/>
            <v:stroke on="false"/>
            <v:path/>
            <v:imagedata o:title=""/>
            <o:lock v:ext="edit" aspectratio="false"/>
            <v:textbox inset="0mm,0mm,0mm,0mm">
              <w:txbxContent>
                <w:p>
                  <w:pPr>
                    <w:pStyle w:val="BodyText"/>
                    <w:ind w:left="20"/>
                    <w:spacing w:before="19" w:line="197" w:lineRule="auto"/>
                    <w:rPr/>
                  </w:pPr>
                  <w:r>
                    <w:rPr>
                      <w:spacing w:val="-3"/>
                    </w:rPr>
                    <w:t>80%</w:t>
                  </w:r>
                </w:p>
              </w:txbxContent>
            </v:textbox>
          </v:shape>
        </w:pict>
      </w:r>
      <w:r>
        <w:rPr>
          <w:color w:val="FFFFFF"/>
          <w:spacing w:val="-9"/>
        </w:rPr>
        <w:t>11%</w:t>
      </w:r>
      <w:r>
        <w:rPr>
          <w:color w:val="FFFFFF"/>
        </w:rPr>
        <w:t xml:space="preserve"> </w:t>
      </w:r>
      <w:r>
        <w:rPr>
          <w:color w:val="FFFFFF"/>
          <w:spacing w:val="-2"/>
        </w:rPr>
        <w:t>4%</w:t>
      </w:r>
      <w:r>
        <w:rPr>
          <w:color w:val="FFFFFF"/>
        </w:rPr>
        <w:t xml:space="preserve">  </w:t>
      </w:r>
      <w:r>
        <w:rPr>
          <w:color w:val="FFFFFF"/>
          <w:spacing w:val="-1"/>
        </w:rPr>
        <w:t>9%</w:t>
      </w:r>
    </w:p>
    <w:p>
      <w:pPr>
        <w:pStyle w:val="BodyText"/>
        <w:ind w:left="207"/>
        <w:spacing w:before="141" w:line="197" w:lineRule="auto"/>
        <w:rPr/>
      </w:pPr>
      <w:r>
        <w:rPr>
          <w:spacing w:val="-2"/>
        </w:rPr>
        <w:t>60%</w:t>
      </w:r>
    </w:p>
    <w:p>
      <w:pPr>
        <w:pStyle w:val="BodyText"/>
        <w:ind w:left="2779"/>
        <w:spacing w:before="298" w:line="197" w:lineRule="auto"/>
        <w:rPr/>
      </w:pPr>
      <w:r>
        <w:rPr>
          <w:color w:val="FFFFFF"/>
          <w:spacing w:val="-1"/>
        </w:rPr>
        <w:t>40%</w:t>
      </w:r>
    </w:p>
    <w:p>
      <w:pPr>
        <w:pStyle w:val="BodyText"/>
        <w:ind w:left="201"/>
        <w:spacing w:before="15" w:line="197" w:lineRule="auto"/>
        <w:rPr/>
      </w:pPr>
      <w:r>
        <w:rPr>
          <w:spacing w:val="-1"/>
        </w:rPr>
        <w:t>40%</w:t>
      </w:r>
    </w:p>
    <w:p>
      <w:pPr>
        <w:pStyle w:val="BodyText"/>
        <w:ind w:left="7160"/>
        <w:spacing w:before="246" w:line="197" w:lineRule="auto"/>
        <w:rPr/>
      </w:pPr>
      <w:r>
        <w:rPr>
          <w:color w:val="FFFFFF"/>
          <w:spacing w:val="-3"/>
        </w:rPr>
        <w:t>33%</w:t>
      </w:r>
    </w:p>
    <w:p>
      <w:pPr>
        <w:pStyle w:val="BodyText"/>
        <w:ind w:left="205"/>
        <w:spacing w:before="67" w:line="197" w:lineRule="auto"/>
        <w:rPr/>
      </w:pPr>
      <w:r>
        <w:pict>
          <v:shape id="_x0000_s548" style="position:absolute;margin-left:138.969pt;margin-top:5.31998pt;mso-position-vertical-relative:text;mso-position-horizontal-relative:text;width:21.75pt;height:11.9pt;z-index:252015616;" filled="false" stroked="false" type="#_x0000_t202">
            <v:fill on="false"/>
            <v:stroke on="false"/>
            <v:path/>
            <v:imagedata o:title=""/>
            <o:lock v:ext="edit" aspectratio="false"/>
            <v:textbox inset="0mm,0mm,0mm,0mm">
              <w:txbxContent>
                <w:p>
                  <w:pPr>
                    <w:pStyle w:val="BodyText"/>
                    <w:ind w:left="20"/>
                    <w:spacing w:before="19" w:line="197" w:lineRule="auto"/>
                    <w:rPr/>
                  </w:pPr>
                  <w:r>
                    <w:rPr>
                      <w:color w:val="FFFFFF"/>
                      <w:spacing w:val="-5"/>
                    </w:rPr>
                    <w:t>15%</w:t>
                  </w:r>
                </w:p>
              </w:txbxContent>
            </v:textbox>
          </v:shape>
        </w:pict>
      </w:r>
      <w:r>
        <w:rPr>
          <w:spacing w:val="-2"/>
        </w:rPr>
        <w:t>20%</w:t>
      </w:r>
    </w:p>
    <w:p>
      <w:pPr>
        <w:pStyle w:val="BodyText"/>
        <w:spacing w:line="264" w:lineRule="auto"/>
        <w:rPr/>
      </w:pPr>
      <w:r/>
    </w:p>
    <w:p>
      <w:pPr>
        <w:pStyle w:val="BodyText"/>
        <w:ind w:left="2799"/>
        <w:spacing w:before="61" w:line="183" w:lineRule="auto"/>
        <w:rPr/>
      </w:pPr>
      <w:r>
        <w:pict>
          <v:shape id="_x0000_s550" style="position:absolute;margin-left:357.751pt;margin-top:1.84045pt;mso-position-vertical-relative:text;mso-position-horizontal-relative:text;width:21.75pt;height:11.9pt;z-index:252014592;" filled="false" stroked="false" type="#_x0000_t202">
            <v:fill on="false"/>
            <v:stroke on="false"/>
            <v:path/>
            <v:imagedata o:title=""/>
            <o:lock v:ext="edit" aspectratio="false"/>
            <v:textbox inset="0mm,0mm,0mm,0mm">
              <w:txbxContent>
                <w:p>
                  <w:pPr>
                    <w:pStyle w:val="BodyText"/>
                    <w:ind w:left="20"/>
                    <w:spacing w:before="19" w:line="197" w:lineRule="auto"/>
                    <w:rPr/>
                  </w:pPr>
                  <w:r>
                    <w:rPr>
                      <w:color w:val="FFFFFF"/>
                      <w:spacing w:val="-5"/>
                    </w:rPr>
                    <w:t>11%</w:t>
                  </w:r>
                </w:p>
              </w:txbxContent>
            </v:textbox>
          </v:shape>
        </w:pict>
      </w:r>
      <w:r>
        <w:rPr>
          <w:color w:val="FFFFFF"/>
          <w:spacing w:val="-5"/>
        </w:rPr>
        <w:t>11%</w:t>
      </w:r>
    </w:p>
    <w:p>
      <w:pPr>
        <w:pStyle w:val="BodyText"/>
        <w:ind w:left="324"/>
        <w:spacing w:before="1" w:line="196" w:lineRule="auto"/>
        <w:rPr/>
      </w:pPr>
      <w:r>
        <w:pict>
          <v:shape id="_x0000_s552" style="position:absolute;margin-left:40.33pt;margin-top:4.187pt;mso-position-vertical-relative:text;mso-position-horizontal-relative:text;width:437.8pt;height:3.65pt;z-index:251999232;" filled="false" strokecolor="#000000" strokeweight="0.50pt" coordsize="8755,73" coordorigin="0,0" path="m0,5l8750,5m4372,5l4372,72m8750,5l8750,72e">
            <v:stroke miterlimit="10"/>
          </v:shape>
        </w:pict>
      </w:r>
      <w:r>
        <w:rPr>
          <w:spacing w:val="-2"/>
        </w:rPr>
        <w:t>0%</w:t>
      </w:r>
    </w:p>
    <w:p>
      <w:pPr>
        <w:pStyle w:val="BodyText"/>
        <w:ind w:left="2760"/>
        <w:spacing w:before="54" w:line="195" w:lineRule="auto"/>
        <w:rPr/>
      </w:pPr>
      <w:r>
        <w:rPr>
          <w:spacing w:val="-2"/>
        </w:rPr>
        <w:t>2020</w:t>
      </w:r>
      <w:r>
        <w:rPr/>
        <w:t xml:space="preserve">                                                                   </w:t>
      </w:r>
      <w:r>
        <w:rPr>
          <w:spacing w:val="-2"/>
        </w:rPr>
        <w:t>2026</w:t>
      </w:r>
    </w:p>
    <w:p>
      <w:pPr>
        <w:ind w:left="14"/>
        <w:spacing w:before="210" w:line="187" w:lineRule="auto"/>
        <w:rPr>
          <w:rFonts w:ascii="Microsoft YaHei" w:hAnsi="Microsoft YaHei" w:eastAsia="Microsoft YaHei" w:cs="Microsoft YaHei"/>
          <w:sz w:val="21"/>
          <w:szCs w:val="21"/>
        </w:rPr>
      </w:pPr>
      <w:r>
        <w:rPr>
          <w:rFonts w:ascii="PMingLiU" w:hAnsi="PMingLiU" w:eastAsia="PMingLiU" w:cs="PMingLiU"/>
          <w:sz w:val="21"/>
          <w:szCs w:val="21"/>
        </w:rPr>
        <w:drawing>
          <wp:inline distT="0" distB="0" distL="0" distR="0">
            <wp:extent cx="67055" cy="67055"/>
            <wp:effectExtent l="0" t="0" r="0" b="0"/>
            <wp:docPr id="296" name="IM 296"/>
            <wp:cNvGraphicFramePr/>
            <a:graphic>
              <a:graphicData uri="http://schemas.openxmlformats.org/drawingml/2006/picture">
                <pic:pic>
                  <pic:nvPicPr>
                    <pic:cNvPr id="296" name="IM 296"/>
                    <pic:cNvPicPr/>
                  </pic:nvPicPr>
                  <pic:blipFill>
                    <a:blip r:embed="rId140"/>
                    <a:stretch>
                      <a:fillRect/>
                    </a:stretch>
                  </pic:blipFill>
                  <pic:spPr>
                    <a:xfrm rot="0">
                      <a:off x="0" y="0"/>
                      <a:ext cx="67055" cy="67055"/>
                    </a:xfrm>
                    <a:prstGeom prst="rect">
                      <a:avLst/>
                    </a:prstGeom>
                  </pic:spPr>
                </pic:pic>
              </a:graphicData>
            </a:graphic>
          </wp:inline>
        </w:drawing>
      </w:r>
      <w:r>
        <w:rPr>
          <w:rFonts w:ascii="PMingLiU" w:hAnsi="PMingLiU" w:eastAsia="PMingLiU" w:cs="PMingLiU"/>
          <w:sz w:val="21"/>
          <w:szCs w:val="21"/>
          <w:spacing w:val="15"/>
          <w:w w:val="101"/>
        </w:rPr>
        <w:t xml:space="preserve"> </w:t>
      </w:r>
      <w:r>
        <w:rPr>
          <w:rFonts w:ascii="PMingLiU" w:hAnsi="PMingLiU" w:eastAsia="PMingLiU" w:cs="PMingLiU"/>
          <w:sz w:val="21"/>
          <w:szCs w:val="21"/>
        </w:rPr>
        <w:t>中国      </w:t>
      </w:r>
      <w:r>
        <w:rPr>
          <w:sz w:val="21"/>
          <w:szCs w:val="21"/>
        </w:rPr>
        <w:drawing>
          <wp:inline distT="0" distB="0" distL="0" distR="0">
            <wp:extent cx="67055" cy="67055"/>
            <wp:effectExtent l="0" t="0" r="0" b="0"/>
            <wp:docPr id="298" name="IM 298"/>
            <wp:cNvGraphicFramePr/>
            <a:graphic>
              <a:graphicData uri="http://schemas.openxmlformats.org/drawingml/2006/picture">
                <pic:pic>
                  <pic:nvPicPr>
                    <pic:cNvPr id="298" name="IM 298"/>
                    <pic:cNvPicPr/>
                  </pic:nvPicPr>
                  <pic:blipFill>
                    <a:blip r:embed="rId141"/>
                    <a:stretch>
                      <a:fillRect/>
                    </a:stretch>
                  </pic:blipFill>
                  <pic:spPr>
                    <a:xfrm rot="0">
                      <a:off x="0" y="0"/>
                      <a:ext cx="67055" cy="67055"/>
                    </a:xfrm>
                    <a:prstGeom prst="rect">
                      <a:avLst/>
                    </a:prstGeom>
                  </pic:spPr>
                </pic:pic>
              </a:graphicData>
            </a:graphic>
          </wp:inline>
        </w:drawing>
      </w:r>
      <w:r>
        <w:rPr>
          <w:rFonts w:ascii="PMingLiU" w:hAnsi="PMingLiU" w:eastAsia="PMingLiU" w:cs="PMingLiU"/>
          <w:sz w:val="21"/>
          <w:szCs w:val="21"/>
          <w:spacing w:val="-5"/>
        </w:rPr>
        <w:t xml:space="preserve"> </w:t>
      </w:r>
      <w:r>
        <w:rPr>
          <w:rFonts w:ascii="PMingLiU" w:hAnsi="PMingLiU" w:eastAsia="PMingLiU" w:cs="PMingLiU"/>
          <w:sz w:val="21"/>
          <w:szCs w:val="21"/>
        </w:rPr>
        <w:t>印度       </w:t>
      </w:r>
      <w:r>
        <w:rPr>
          <w:sz w:val="21"/>
          <w:szCs w:val="21"/>
        </w:rPr>
        <w:drawing>
          <wp:inline distT="0" distB="0" distL="0" distR="0">
            <wp:extent cx="67055" cy="67055"/>
            <wp:effectExtent l="0" t="0" r="0" b="0"/>
            <wp:docPr id="300" name="IM 300"/>
            <wp:cNvGraphicFramePr/>
            <a:graphic>
              <a:graphicData uri="http://schemas.openxmlformats.org/drawingml/2006/picture">
                <pic:pic>
                  <pic:nvPicPr>
                    <pic:cNvPr id="300" name="IM 300"/>
                    <pic:cNvPicPr/>
                  </pic:nvPicPr>
                  <pic:blipFill>
                    <a:blip r:embed="rId142"/>
                    <a:stretch>
                      <a:fillRect/>
                    </a:stretch>
                  </pic:blipFill>
                  <pic:spPr>
                    <a:xfrm rot="0">
                      <a:off x="0" y="0"/>
                      <a:ext cx="67055" cy="67055"/>
                    </a:xfrm>
                    <a:prstGeom prst="rect">
                      <a:avLst/>
                    </a:prstGeom>
                  </pic:spPr>
                </pic:pic>
              </a:graphicData>
            </a:graphic>
          </wp:inline>
        </w:drawing>
      </w:r>
      <w:r>
        <w:rPr>
          <w:rFonts w:ascii="PMingLiU" w:hAnsi="PMingLiU" w:eastAsia="PMingLiU" w:cs="PMingLiU"/>
          <w:sz w:val="21"/>
          <w:szCs w:val="21"/>
          <w:spacing w:val="-1"/>
        </w:rPr>
        <w:t xml:space="preserve"> </w:t>
      </w:r>
      <w:r>
        <w:rPr>
          <w:rFonts w:ascii="PMingLiU" w:hAnsi="PMingLiU" w:eastAsia="PMingLiU" w:cs="PMingLiU"/>
          <w:sz w:val="21"/>
          <w:szCs w:val="21"/>
        </w:rPr>
        <w:t>美国       </w:t>
      </w:r>
      <w:r>
        <w:rPr>
          <w:sz w:val="21"/>
          <w:szCs w:val="21"/>
        </w:rPr>
        <w:drawing>
          <wp:inline distT="0" distB="0" distL="0" distR="0">
            <wp:extent cx="67055" cy="67055"/>
            <wp:effectExtent l="0" t="0" r="0" b="0"/>
            <wp:docPr id="302" name="IM 302"/>
            <wp:cNvGraphicFramePr/>
            <a:graphic>
              <a:graphicData uri="http://schemas.openxmlformats.org/drawingml/2006/picture">
                <pic:pic>
                  <pic:nvPicPr>
                    <pic:cNvPr id="302" name="IM 302"/>
                    <pic:cNvPicPr/>
                  </pic:nvPicPr>
                  <pic:blipFill>
                    <a:blip r:embed="rId143"/>
                    <a:stretch>
                      <a:fillRect/>
                    </a:stretch>
                  </pic:blipFill>
                  <pic:spPr>
                    <a:xfrm rot="0">
                      <a:off x="0" y="0"/>
                      <a:ext cx="67055" cy="67055"/>
                    </a:xfrm>
                    <a:prstGeom prst="rect">
                      <a:avLst/>
                    </a:prstGeom>
                  </pic:spPr>
                </pic:pic>
              </a:graphicData>
            </a:graphic>
          </wp:inline>
        </w:drawing>
      </w:r>
      <w:r>
        <w:rPr>
          <w:rFonts w:ascii="PMingLiU" w:hAnsi="PMingLiU" w:eastAsia="PMingLiU" w:cs="PMingLiU"/>
          <w:sz w:val="21"/>
          <w:szCs w:val="21"/>
          <w:spacing w:val="-6"/>
        </w:rPr>
        <w:t xml:space="preserve"> </w:t>
      </w:r>
      <w:r>
        <w:rPr>
          <w:rFonts w:ascii="PMingLiU" w:hAnsi="PMingLiU" w:eastAsia="PMingLiU" w:cs="PMingLiU"/>
          <w:sz w:val="21"/>
          <w:szCs w:val="21"/>
        </w:rPr>
        <w:t>挪威 </w:t>
      </w:r>
      <w:r>
        <w:rPr>
          <w:rFonts w:ascii="PMingLiU" w:hAnsi="PMingLiU" w:eastAsia="PMingLiU" w:cs="PMingLiU"/>
          <w:sz w:val="21"/>
          <w:szCs w:val="21"/>
          <w:spacing w:val="-1"/>
        </w:rPr>
        <w:t xml:space="preserve">      </w:t>
      </w:r>
      <w:r>
        <w:rPr>
          <w:sz w:val="21"/>
          <w:szCs w:val="21"/>
        </w:rPr>
        <w:drawing>
          <wp:inline distT="0" distB="0" distL="0" distR="0">
            <wp:extent cx="67056" cy="67055"/>
            <wp:effectExtent l="0" t="0" r="0" b="0"/>
            <wp:docPr id="304" name="IM 304"/>
            <wp:cNvGraphicFramePr/>
            <a:graphic>
              <a:graphicData uri="http://schemas.openxmlformats.org/drawingml/2006/picture">
                <pic:pic>
                  <pic:nvPicPr>
                    <pic:cNvPr id="304" name="IM 304"/>
                    <pic:cNvPicPr/>
                  </pic:nvPicPr>
                  <pic:blipFill>
                    <a:blip r:embed="rId144"/>
                    <a:stretch>
                      <a:fillRect/>
                    </a:stretch>
                  </pic:blipFill>
                  <pic:spPr>
                    <a:xfrm rot="0">
                      <a:off x="0" y="0"/>
                      <a:ext cx="67056" cy="67055"/>
                    </a:xfrm>
                    <a:prstGeom prst="rect">
                      <a:avLst/>
                    </a:prstGeom>
                  </pic:spPr>
                </pic:pic>
              </a:graphicData>
            </a:graphic>
          </wp:inline>
        </w:drawing>
      </w:r>
      <w:r>
        <w:rPr>
          <w:rFonts w:ascii="PMingLiU" w:hAnsi="PMingLiU" w:eastAsia="PMingLiU" w:cs="PMingLiU"/>
          <w:sz w:val="21"/>
          <w:szCs w:val="21"/>
          <w:spacing w:val="-6"/>
        </w:rPr>
        <w:t xml:space="preserve"> </w:t>
      </w:r>
      <w:r>
        <w:rPr>
          <w:rFonts w:ascii="PMingLiU" w:hAnsi="PMingLiU" w:eastAsia="PMingLiU" w:cs="PMingLiU"/>
          <w:sz w:val="21"/>
          <w:szCs w:val="21"/>
          <w:spacing w:val="-1"/>
        </w:rPr>
        <w:t>瑞士      </w:t>
      </w:r>
      <w:r>
        <w:rPr>
          <w:sz w:val="21"/>
          <w:szCs w:val="21"/>
        </w:rPr>
        <w:drawing>
          <wp:inline distT="0" distB="0" distL="0" distR="0">
            <wp:extent cx="67055" cy="67055"/>
            <wp:effectExtent l="0" t="0" r="0" b="0"/>
            <wp:docPr id="306" name="IM 306"/>
            <wp:cNvGraphicFramePr/>
            <a:graphic>
              <a:graphicData uri="http://schemas.openxmlformats.org/drawingml/2006/picture">
                <pic:pic>
                  <pic:nvPicPr>
                    <pic:cNvPr id="306" name="IM 306"/>
                    <pic:cNvPicPr/>
                  </pic:nvPicPr>
                  <pic:blipFill>
                    <a:blip r:embed="rId145"/>
                    <a:stretch>
                      <a:fillRect/>
                    </a:stretch>
                  </pic:blipFill>
                  <pic:spPr>
                    <a:xfrm rot="0">
                      <a:off x="0" y="0"/>
                      <a:ext cx="67055" cy="67055"/>
                    </a:xfrm>
                    <a:prstGeom prst="rect">
                      <a:avLst/>
                    </a:prstGeom>
                  </pic:spPr>
                </pic:pic>
              </a:graphicData>
            </a:graphic>
          </wp:inline>
        </w:drawing>
      </w:r>
      <w:r>
        <w:rPr>
          <w:rFonts w:ascii="PMingLiU" w:hAnsi="PMingLiU" w:eastAsia="PMingLiU" w:cs="PMingLiU"/>
          <w:sz w:val="21"/>
          <w:szCs w:val="21"/>
          <w:spacing w:val="7"/>
        </w:rPr>
        <w:t xml:space="preserve"> </w:t>
      </w:r>
      <w:r>
        <w:rPr>
          <w:rFonts w:ascii="Microsoft YaHei" w:hAnsi="Microsoft YaHei" w:eastAsia="Microsoft YaHei" w:cs="Microsoft YaHei"/>
          <w:sz w:val="21"/>
          <w:szCs w:val="21"/>
          <w:spacing w:val="-1"/>
        </w:rPr>
        <w:t>欧洲其他国家      </w:t>
      </w:r>
      <w:r>
        <w:rPr>
          <w:sz w:val="21"/>
          <w:szCs w:val="21"/>
        </w:rPr>
        <w:drawing>
          <wp:inline distT="0" distB="0" distL="0" distR="0">
            <wp:extent cx="67055" cy="67055"/>
            <wp:effectExtent l="0" t="0" r="0" b="0"/>
            <wp:docPr id="308" name="IM 308"/>
            <wp:cNvGraphicFramePr/>
            <a:graphic>
              <a:graphicData uri="http://schemas.openxmlformats.org/drawingml/2006/picture">
                <pic:pic>
                  <pic:nvPicPr>
                    <pic:cNvPr id="308" name="IM 308"/>
                    <pic:cNvPicPr/>
                  </pic:nvPicPr>
                  <pic:blipFill>
                    <a:blip r:embed="rId146"/>
                    <a:stretch>
                      <a:fillRect/>
                    </a:stretch>
                  </pic:blipFill>
                  <pic:spPr>
                    <a:xfrm rot="0">
                      <a:off x="0" y="0"/>
                      <a:ext cx="67055" cy="67055"/>
                    </a:xfrm>
                    <a:prstGeom prst="rect">
                      <a:avLst/>
                    </a:prstGeom>
                  </pic:spPr>
                </pic:pic>
              </a:graphicData>
            </a:graphic>
          </wp:inline>
        </w:drawing>
      </w:r>
      <w:r>
        <w:rPr>
          <w:rFonts w:ascii="Microsoft YaHei" w:hAnsi="Microsoft YaHei" w:eastAsia="Microsoft YaHei" w:cs="Microsoft YaHei"/>
          <w:sz w:val="21"/>
          <w:szCs w:val="21"/>
          <w:spacing w:val="-3"/>
        </w:rPr>
        <w:t xml:space="preserve"> </w:t>
      </w:r>
      <w:r>
        <w:rPr>
          <w:rFonts w:ascii="Microsoft YaHei" w:hAnsi="Microsoft YaHei" w:eastAsia="Microsoft YaHei" w:cs="Microsoft YaHei"/>
          <w:sz w:val="21"/>
          <w:szCs w:val="21"/>
          <w:spacing w:val="-1"/>
        </w:rPr>
        <w:t>亚太其他国家      </w:t>
      </w:r>
      <w:r>
        <w:rPr>
          <w:sz w:val="21"/>
          <w:szCs w:val="21"/>
        </w:rPr>
        <w:drawing>
          <wp:inline distT="0" distB="0" distL="0" distR="0">
            <wp:extent cx="67055" cy="67055"/>
            <wp:effectExtent l="0" t="0" r="0" b="0"/>
            <wp:docPr id="310" name="IM 310"/>
            <wp:cNvGraphicFramePr/>
            <a:graphic>
              <a:graphicData uri="http://schemas.openxmlformats.org/drawingml/2006/picture">
                <pic:pic>
                  <pic:nvPicPr>
                    <pic:cNvPr id="310" name="IM 310"/>
                    <pic:cNvPicPr/>
                  </pic:nvPicPr>
                  <pic:blipFill>
                    <a:blip r:embed="rId147"/>
                    <a:stretch>
                      <a:fillRect/>
                    </a:stretch>
                  </pic:blipFill>
                  <pic:spPr>
                    <a:xfrm rot="0">
                      <a:off x="0" y="0"/>
                      <a:ext cx="67055" cy="67055"/>
                    </a:xfrm>
                    <a:prstGeom prst="rect">
                      <a:avLst/>
                    </a:prstGeom>
                  </pic:spPr>
                </pic:pic>
              </a:graphicData>
            </a:graphic>
          </wp:inline>
        </w:drawing>
      </w:r>
      <w:r>
        <w:rPr>
          <w:rFonts w:ascii="Microsoft YaHei" w:hAnsi="Microsoft YaHei" w:eastAsia="Microsoft YaHei" w:cs="Microsoft YaHei"/>
          <w:sz w:val="21"/>
          <w:szCs w:val="21"/>
          <w:spacing w:val="-5"/>
        </w:rPr>
        <w:t xml:space="preserve"> </w:t>
      </w:r>
      <w:r>
        <w:rPr>
          <w:rFonts w:ascii="Microsoft YaHei" w:hAnsi="Microsoft YaHei" w:eastAsia="Microsoft YaHei" w:cs="Microsoft YaHei"/>
          <w:sz w:val="21"/>
          <w:szCs w:val="21"/>
          <w:spacing w:val="-1"/>
        </w:rPr>
        <w:t>世界其他国家</w:t>
      </w:r>
    </w:p>
    <w:p>
      <w:pPr>
        <w:ind w:left="8"/>
        <w:spacing w:before="95" w:line="197"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2"/>
        </w:rPr>
        <w:t>数据来源： </w:t>
      </w:r>
      <w:r>
        <w:rPr>
          <w:rFonts w:ascii="Microsoft YaHei" w:hAnsi="Microsoft YaHei" w:eastAsia="Microsoft YaHei" w:cs="Microsoft YaHei"/>
          <w:sz w:val="15"/>
          <w:szCs w:val="15"/>
        </w:rPr>
        <w:t>IEA</w:t>
      </w:r>
      <w:r>
        <w:rPr>
          <w:rFonts w:ascii="Microsoft YaHei" w:hAnsi="Microsoft YaHei" w:eastAsia="Microsoft YaHei" w:cs="Microsoft YaHei"/>
          <w:sz w:val="15"/>
          <w:szCs w:val="15"/>
          <w:spacing w:val="2"/>
        </w:rPr>
        <w:t>,</w:t>
      </w:r>
      <w:r>
        <w:rPr>
          <w:rFonts w:ascii="Microsoft YaHei" w:hAnsi="Microsoft YaHei" w:eastAsia="Microsoft YaHei" w:cs="Microsoft YaHei"/>
          <w:sz w:val="15"/>
          <w:szCs w:val="15"/>
          <w:spacing w:val="21"/>
          <w:w w:val="101"/>
        </w:rPr>
        <w:t xml:space="preserve"> </w:t>
      </w:r>
      <w:r>
        <w:rPr>
          <w:rFonts w:ascii="Microsoft YaHei" w:hAnsi="Microsoft YaHei" w:eastAsia="Microsoft YaHei" w:cs="Microsoft YaHei"/>
          <w:sz w:val="15"/>
          <w:szCs w:val="15"/>
          <w:spacing w:val="2"/>
        </w:rPr>
        <w:t>毕马威分析</w:t>
      </w:r>
    </w:p>
    <w:p>
      <w:pPr>
        <w:ind w:left="505" w:right="1241" w:hanging="411"/>
        <w:spacing w:before="188"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1300" w:header="0" w:footer="0" w:gutter="0"/>
        </w:sectPr>
        <w:rPr>
          <w:rFonts w:ascii="Microsoft YaHei" w:hAnsi="Microsoft YaHei" w:eastAsia="Microsoft YaHei" w:cs="Microsoft YaHei"/>
          <w:sz w:val="11"/>
          <w:szCs w:val="11"/>
        </w:rPr>
      </w:pPr>
    </w:p>
    <w:p>
      <w:pPr>
        <w:spacing w:before="314" w:line="193" w:lineRule="auto"/>
        <w:rPr>
          <w:rFonts w:ascii="Microsoft YaHei" w:hAnsi="Microsoft YaHei" w:eastAsia="Microsoft YaHei" w:cs="Microsoft YaHei"/>
          <w:sz w:val="18"/>
          <w:szCs w:val="18"/>
        </w:rPr>
      </w:pPr>
      <w:r>
        <w:pict>
          <v:rect id="_x0000_s554" style="position:absolute;margin-left:611.99pt;margin-top:0pt;mso-position-vertical-relative:page;mso-position-horizontal-relative:page;width:0.25pt;height:859pt;z-index:252037120;" o:allowincell="f" fillcolor="#000000" filled="true" stroked="false"/>
        </w:pict>
      </w:r>
      <w:r>
        <w:rPr>
          <w:rFonts w:ascii="Microsoft YaHei" w:hAnsi="Microsoft YaHei" w:eastAsia="Microsoft YaHei" w:cs="Microsoft YaHei"/>
          <w:sz w:val="18"/>
          <w:szCs w:val="18"/>
          <w:b/>
          <w:bCs/>
          <w:color w:val="A8A8A8"/>
          <w:spacing w:val="-1"/>
        </w:rPr>
        <w:t>27</w:t>
      </w:r>
      <w:r>
        <w:rPr>
          <w:rFonts w:ascii="Microsoft YaHei" w:hAnsi="Microsoft YaHei" w:eastAsia="Microsoft YaHei" w:cs="Microsoft YaHei"/>
          <w:sz w:val="18"/>
          <w:szCs w:val="18"/>
          <w:b/>
          <w:bCs/>
          <w:color w:val="A8A8A8"/>
          <w:spacing w:val="14"/>
        </w:rPr>
        <w:t xml:space="preserve">  </w:t>
      </w:r>
      <w:r>
        <w:rPr>
          <w:sz w:val="18"/>
          <w:szCs w:val="18"/>
          <w:position w:val="-4"/>
        </w:rPr>
        <w:drawing>
          <wp:inline distT="0" distB="0" distL="0" distR="0">
            <wp:extent cx="6350" cy="130175"/>
            <wp:effectExtent l="0" t="0" r="0" b="0"/>
            <wp:docPr id="312" name="IM 312"/>
            <wp:cNvGraphicFramePr/>
            <a:graphic>
              <a:graphicData uri="http://schemas.openxmlformats.org/drawingml/2006/picture">
                <pic:pic>
                  <pic:nvPicPr>
                    <pic:cNvPr id="312" name="IM 312"/>
                    <pic:cNvPicPr/>
                  </pic:nvPicPr>
                  <pic:blipFill>
                    <a:blip r:embed="rId148"/>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A8A8A8"/>
          <w:spacing w:val="26"/>
        </w:rPr>
        <w:t xml:space="preserve">  </w:t>
      </w:r>
      <w:r>
        <w:rPr>
          <w:rFonts w:ascii="Microsoft YaHei" w:hAnsi="Microsoft YaHei" w:eastAsia="Microsoft YaHei" w:cs="Microsoft YaHei"/>
          <w:sz w:val="18"/>
          <w:szCs w:val="18"/>
          <w:color w:val="A8A8A8"/>
          <w:spacing w:val="-1"/>
        </w:rPr>
        <w:t>新型储能助力能源转型</w:t>
      </w:r>
    </w:p>
    <w:p>
      <w:pPr>
        <w:pStyle w:val="BodyText"/>
        <w:spacing w:line="358" w:lineRule="auto"/>
        <w:rPr/>
      </w:pPr>
      <w:r/>
    </w:p>
    <w:p>
      <w:pPr>
        <w:pStyle w:val="BodyText"/>
        <w:spacing w:line="358" w:lineRule="auto"/>
        <w:rPr/>
      </w:pPr>
      <w:r/>
    </w:p>
    <w:p>
      <w:pPr>
        <w:ind w:left="416"/>
        <w:spacing w:before="309" w:line="179" w:lineRule="auto"/>
        <w:outlineLvl w:val="0"/>
        <w:rPr>
          <w:rFonts w:ascii="Microsoft YaHei" w:hAnsi="Microsoft YaHei" w:eastAsia="Microsoft YaHei" w:cs="Microsoft YaHei"/>
          <w:sz w:val="72"/>
          <w:szCs w:val="72"/>
        </w:rPr>
      </w:pPr>
      <w:r>
        <w:rPr>
          <w:rFonts w:ascii="Microsoft YaHei" w:hAnsi="Microsoft YaHei" w:eastAsia="Microsoft YaHei" w:cs="Microsoft YaHei"/>
          <w:sz w:val="72"/>
          <w:szCs w:val="72"/>
          <w:b/>
          <w:bCs/>
          <w:color w:val="00338D"/>
          <w:spacing w:val="-5"/>
        </w:rPr>
        <w:t>国内外新型储能发展比较</w:t>
      </w:r>
    </w:p>
    <w:p>
      <w:pPr>
        <w:ind w:left="379" w:right="2999" w:firstLine="12"/>
        <w:spacing w:before="348" w:line="174" w:lineRule="auto"/>
        <w:rPr>
          <w:rFonts w:ascii="Microsoft YaHei" w:hAnsi="Microsoft YaHei" w:eastAsia="Microsoft YaHei" w:cs="Microsoft YaHei"/>
          <w:sz w:val="36"/>
          <w:szCs w:val="36"/>
        </w:rPr>
      </w:pPr>
      <w:r>
        <w:rPr>
          <w:rFonts w:ascii="Microsoft YaHei" w:hAnsi="Microsoft YaHei" w:eastAsia="Microsoft YaHei" w:cs="Microsoft YaHei"/>
          <w:sz w:val="36"/>
          <w:szCs w:val="36"/>
          <w:b/>
          <w:bCs/>
          <w:color w:val="00338D"/>
          <w:spacing w:val="-2"/>
        </w:rPr>
        <w:t>中国积极推动新型储能规模化，市场机制调整事关</w:t>
      </w:r>
      <w:r>
        <w:rPr>
          <w:rFonts w:ascii="Microsoft YaHei" w:hAnsi="Microsoft YaHei" w:eastAsia="Microsoft YaHei" w:cs="Microsoft YaHei"/>
          <w:sz w:val="36"/>
          <w:szCs w:val="36"/>
          <w:b/>
          <w:bCs/>
          <w:color w:val="00338D"/>
          <w:spacing w:val="10"/>
        </w:rPr>
        <w:t xml:space="preserve"> </w:t>
      </w:r>
      <w:r>
        <w:rPr>
          <w:rFonts w:ascii="Microsoft YaHei" w:hAnsi="Microsoft YaHei" w:eastAsia="Microsoft YaHei" w:cs="Microsoft YaHei"/>
          <w:sz w:val="36"/>
          <w:szCs w:val="36"/>
          <w:b/>
          <w:bCs/>
          <w:color w:val="00338D"/>
          <w:spacing w:val="-4"/>
        </w:rPr>
        <w:t>长期发展</w:t>
      </w:r>
    </w:p>
    <w:p>
      <w:pPr>
        <w:ind w:left="345" w:right="2996"/>
        <w:spacing w:before="219" w:line="218"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在“双碳”</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目标和能源转型的大背景下</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，以电化学储能</w:t>
      </w:r>
      <w:r>
        <w:rPr>
          <w:rFonts w:ascii="Microsoft YaHei" w:hAnsi="Microsoft YaHei" w:eastAsia="Microsoft YaHei" w:cs="Microsoft YaHei"/>
          <w:sz w:val="21"/>
          <w:szCs w:val="21"/>
          <w:spacing w:val="2"/>
        </w:rPr>
        <w:t>为主的新型储能是重要的电网</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灵活性调节资源</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，将迎来大规模商业化应用契机</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，除了需</w:t>
      </w:r>
      <w:r>
        <w:rPr>
          <w:rFonts w:ascii="Microsoft YaHei" w:hAnsi="Microsoft YaHei" w:eastAsia="Microsoft YaHei" w:cs="Microsoft YaHei"/>
          <w:sz w:val="21"/>
          <w:szCs w:val="21"/>
          <w:spacing w:val="2"/>
        </w:rPr>
        <w:t>要不断推进技术进步和提高</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成本竞争力外</w:t>
      </w:r>
      <w:r>
        <w:rPr>
          <w:rFonts w:ascii="Microsoft YaHei" w:hAnsi="Microsoft YaHei" w:eastAsia="Microsoft YaHei" w:cs="Microsoft YaHei"/>
          <w:sz w:val="21"/>
          <w:szCs w:val="21"/>
          <w:spacing w:val="-16"/>
        </w:rPr>
        <w:t xml:space="preserve"> </w:t>
      </w:r>
      <w:r>
        <w:rPr>
          <w:rFonts w:ascii="Microsoft YaHei" w:hAnsi="Microsoft YaHei" w:eastAsia="Microsoft YaHei" w:cs="Microsoft YaHei"/>
          <w:sz w:val="21"/>
          <w:szCs w:val="21"/>
          <w:spacing w:val="2"/>
        </w:rPr>
        <w:t>，有利的政策环境和市场机制也必不可少。结合“</w:t>
      </w:r>
      <w:r>
        <w:rPr>
          <w:rFonts w:ascii="Microsoft YaHei" w:hAnsi="Microsoft YaHei" w:eastAsia="Microsoft YaHei" w:cs="Microsoft YaHei"/>
          <w:sz w:val="21"/>
          <w:szCs w:val="21"/>
          <w:spacing w:val="-45"/>
        </w:rPr>
        <w:t xml:space="preserve"> </w:t>
      </w:r>
      <w:r>
        <w:rPr>
          <w:rFonts w:ascii="Microsoft YaHei" w:hAnsi="Microsoft YaHei" w:eastAsia="Microsoft YaHei" w:cs="Microsoft YaHei"/>
          <w:sz w:val="21"/>
          <w:szCs w:val="21"/>
          <w:spacing w:val="2"/>
        </w:rPr>
        <w:t>十四五”</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2"/>
        </w:rPr>
        <w:t>以来国家出</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台的产业政策来看（表</w:t>
      </w:r>
      <w:r>
        <w:rPr>
          <w:rFonts w:ascii="Microsoft YaHei" w:hAnsi="Microsoft YaHei" w:eastAsia="Microsoft YaHei" w:cs="Microsoft YaHei"/>
          <w:sz w:val="21"/>
          <w:szCs w:val="21"/>
          <w:spacing w:val="54"/>
          <w:w w:val="101"/>
        </w:rPr>
        <w:t xml:space="preserve"> </w:t>
      </w:r>
      <w:r>
        <w:rPr>
          <w:rFonts w:ascii="Microsoft YaHei" w:hAnsi="Microsoft YaHei" w:eastAsia="Microsoft YaHei" w:cs="Microsoft YaHei"/>
          <w:sz w:val="21"/>
          <w:szCs w:val="21"/>
          <w:spacing w:val="2"/>
        </w:rPr>
        <w:t>5</w:t>
      </w:r>
      <w:r>
        <w:rPr>
          <w:rFonts w:ascii="Microsoft YaHei" w:hAnsi="Microsoft YaHei" w:eastAsia="Microsoft YaHei" w:cs="Microsoft YaHei"/>
          <w:sz w:val="21"/>
          <w:szCs w:val="21"/>
          <w:spacing w:val="-6"/>
        </w:rPr>
        <w:t>），</w:t>
      </w:r>
      <w:r>
        <w:rPr>
          <w:rFonts w:ascii="Microsoft YaHei" w:hAnsi="Microsoft YaHei" w:eastAsia="Microsoft YaHei" w:cs="Microsoft YaHei"/>
          <w:sz w:val="21"/>
          <w:szCs w:val="21"/>
          <w:spacing w:val="2"/>
        </w:rPr>
        <w:t>国家正积极推动到2025年实现新型储能从商</w:t>
      </w:r>
      <w:r>
        <w:rPr>
          <w:rFonts w:ascii="Microsoft YaHei" w:hAnsi="Microsoft YaHei" w:eastAsia="Microsoft YaHei" w:cs="Microsoft YaHei"/>
          <w:sz w:val="21"/>
          <w:szCs w:val="21"/>
          <w:spacing w:val="1"/>
        </w:rPr>
        <w:t>业化初期向</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规模化发展转变，到2030年实现全面市</w:t>
      </w:r>
      <w:r>
        <w:rPr>
          <w:rFonts w:ascii="Microsoft YaHei" w:hAnsi="Microsoft YaHei" w:eastAsia="Microsoft YaHei" w:cs="Microsoft YaHei"/>
          <w:sz w:val="21"/>
          <w:szCs w:val="21"/>
          <w:spacing w:val="1"/>
        </w:rPr>
        <w:t>场化发展。此外</w:t>
      </w:r>
      <w:r>
        <w:rPr>
          <w:rFonts w:ascii="Microsoft YaHei" w:hAnsi="Microsoft YaHei" w:eastAsia="Microsoft YaHei" w:cs="Microsoft YaHei"/>
          <w:sz w:val="21"/>
          <w:szCs w:val="21"/>
          <w:spacing w:val="-33"/>
        </w:rPr>
        <w:t xml:space="preserve"> </w:t>
      </w:r>
      <w:r>
        <w:rPr>
          <w:rFonts w:ascii="Microsoft YaHei" w:hAnsi="Microsoft YaHei" w:eastAsia="Microsoft YaHei" w:cs="Microsoft YaHei"/>
          <w:sz w:val="21"/>
          <w:szCs w:val="21"/>
          <w:spacing w:val="1"/>
        </w:rPr>
        <w:t>，政策端始终强调深化电力体</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制改革</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，推动储能参与电力市场交易</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，原因是政策支持是重要</w:t>
      </w:r>
      <w:r>
        <w:rPr>
          <w:rFonts w:ascii="Microsoft YaHei" w:hAnsi="Microsoft YaHei" w:eastAsia="Microsoft YaHei" w:cs="Microsoft YaHei"/>
          <w:sz w:val="21"/>
          <w:szCs w:val="21"/>
          <w:spacing w:val="1"/>
        </w:rPr>
        <w:t>的初期推动力之一</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，但</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中长期内</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，中国储能产业需要依靠稳健高效的市场机制</w:t>
      </w:r>
      <w:r>
        <w:rPr>
          <w:rFonts w:ascii="Microsoft YaHei" w:hAnsi="Microsoft YaHei" w:eastAsia="Microsoft YaHei" w:cs="Microsoft YaHei"/>
          <w:sz w:val="21"/>
          <w:szCs w:val="21"/>
          <w:spacing w:val="2"/>
        </w:rPr>
        <w:t>建立可持续的盈利模式</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，实现</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5"/>
        </w:rPr>
        <w:t>高质量发展。</w:t>
      </w:r>
    </w:p>
    <w:p>
      <w:pPr>
        <w:ind w:left="364"/>
        <w:spacing w:before="299" w:line="192"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B8F5"/>
          <w:spacing w:val="-2"/>
        </w:rPr>
        <w:t>表 5 | “十四五”时期国家出台多项新型储能产业支持政策</w:t>
      </w:r>
    </w:p>
    <w:p>
      <w:pPr>
        <w:spacing w:line="164" w:lineRule="exact"/>
        <w:rPr/>
      </w:pPr>
      <w:r/>
    </w:p>
    <w:tbl>
      <w:tblPr>
        <w:tblStyle w:val="TableNormal"/>
        <w:tblW w:w="9638" w:type="dxa"/>
        <w:tblInd w:w="359"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605"/>
        <w:gridCol w:w="1134"/>
        <w:gridCol w:w="1513"/>
        <w:gridCol w:w="5386"/>
      </w:tblGrid>
      <w:tr>
        <w:trPr>
          <w:trHeight w:val="452" w:hRule="atLeast"/>
        </w:trPr>
        <w:tc>
          <w:tcPr>
            <w:shd w:val="clear" w:fill="00B8F5"/>
            <w:tcW w:w="1605" w:type="dxa"/>
            <w:vAlign w:val="top"/>
            <w:tcBorders>
              <w:right w:val="single" w:color="FFFFFF" w:sz="12" w:space="0"/>
            </w:tcBorders>
          </w:tcPr>
          <w:p>
            <w:pPr>
              <w:pStyle w:val="TableText"/>
              <w:ind w:left="375"/>
              <w:spacing w:before="117" w:line="176" w:lineRule="auto"/>
              <w:rPr>
                <w:sz w:val="21"/>
                <w:szCs w:val="21"/>
              </w:rPr>
            </w:pPr>
            <w:r>
              <w:rPr>
                <w:sz w:val="21"/>
                <w:szCs w:val="21"/>
                <w:b/>
                <w:bCs/>
                <w:color w:val="FFFFFF"/>
                <w:spacing w:val="2"/>
              </w:rPr>
              <w:t>发布机构</w:t>
            </w:r>
          </w:p>
        </w:tc>
        <w:tc>
          <w:tcPr>
            <w:shd w:val="clear" w:fill="00B8F5"/>
            <w:tcW w:w="1134" w:type="dxa"/>
            <w:vAlign w:val="top"/>
            <w:tcBorders>
              <w:left w:val="single" w:color="FFFFFF" w:sz="12" w:space="0"/>
              <w:right w:val="single" w:color="FFFFFF" w:sz="12" w:space="0"/>
            </w:tcBorders>
          </w:tcPr>
          <w:p>
            <w:pPr>
              <w:pStyle w:val="TableText"/>
              <w:ind w:left="125"/>
              <w:spacing w:before="117" w:line="176" w:lineRule="auto"/>
              <w:rPr>
                <w:sz w:val="21"/>
                <w:szCs w:val="21"/>
              </w:rPr>
            </w:pPr>
            <w:r>
              <w:rPr>
                <w:sz w:val="21"/>
                <w:szCs w:val="21"/>
                <w:b/>
                <w:bCs/>
                <w:color w:val="FFFFFF"/>
                <w:spacing w:val="2"/>
              </w:rPr>
              <w:t>发布时间</w:t>
            </w:r>
          </w:p>
        </w:tc>
        <w:tc>
          <w:tcPr>
            <w:shd w:val="clear" w:fill="00B8F5"/>
            <w:tcW w:w="1513" w:type="dxa"/>
            <w:vAlign w:val="top"/>
            <w:tcBorders>
              <w:left w:val="single" w:color="FFFFFF" w:sz="12" w:space="0"/>
              <w:right w:val="single" w:color="FFFFFF" w:sz="12" w:space="0"/>
            </w:tcBorders>
          </w:tcPr>
          <w:p>
            <w:pPr>
              <w:pStyle w:val="TableText"/>
              <w:ind w:left="317"/>
              <w:spacing w:before="117" w:line="176" w:lineRule="auto"/>
              <w:rPr>
                <w:sz w:val="21"/>
                <w:szCs w:val="21"/>
              </w:rPr>
            </w:pPr>
            <w:r>
              <w:rPr>
                <w:sz w:val="21"/>
                <w:szCs w:val="21"/>
                <w:b/>
                <w:bCs/>
                <w:color w:val="FFFFFF"/>
                <w:spacing w:val="2"/>
              </w:rPr>
              <w:t>政策名称</w:t>
            </w:r>
          </w:p>
        </w:tc>
        <w:tc>
          <w:tcPr>
            <w:shd w:val="clear" w:fill="00B8F5"/>
            <w:tcW w:w="5386" w:type="dxa"/>
            <w:vAlign w:val="top"/>
            <w:tcBorders>
              <w:left w:val="single" w:color="FFFFFF" w:sz="12" w:space="0"/>
            </w:tcBorders>
          </w:tcPr>
          <w:p>
            <w:pPr>
              <w:pStyle w:val="TableText"/>
              <w:ind w:left="2258"/>
              <w:spacing w:before="115" w:line="177" w:lineRule="auto"/>
              <w:rPr>
                <w:sz w:val="21"/>
                <w:szCs w:val="21"/>
              </w:rPr>
            </w:pPr>
            <w:r>
              <w:rPr>
                <w:sz w:val="21"/>
                <w:szCs w:val="21"/>
                <w:b/>
                <w:bCs/>
                <w:color w:val="FFFFFF"/>
                <w:spacing w:val="1"/>
              </w:rPr>
              <w:t>主要内容</w:t>
            </w:r>
          </w:p>
        </w:tc>
      </w:tr>
      <w:tr>
        <w:trPr>
          <w:trHeight w:val="1141" w:hRule="atLeast"/>
        </w:trPr>
        <w:tc>
          <w:tcPr>
            <w:tcW w:w="1605" w:type="dxa"/>
            <w:vAlign w:val="top"/>
            <w:tcBorders>
              <w:right w:val="single" w:color="BFBFBF" w:sz="2" w:space="0"/>
            </w:tcBorders>
          </w:tcPr>
          <w:p>
            <w:pPr>
              <w:pStyle w:val="TableText"/>
              <w:ind w:left="114" w:right="46" w:firstLine="9"/>
              <w:spacing w:before="262" w:line="171" w:lineRule="auto"/>
              <w:jc w:val="both"/>
              <w:rPr>
                <w:sz w:val="18"/>
                <w:szCs w:val="18"/>
              </w:rPr>
            </w:pPr>
            <w:r>
              <w:rPr>
                <w:sz w:val="18"/>
                <w:szCs w:val="18"/>
                <w:b/>
                <w:bCs/>
                <w:color w:val="00B8F5"/>
                <w:spacing w:val="-2"/>
              </w:rPr>
              <w:t>国家发展改革委、</w:t>
            </w:r>
            <w:r>
              <w:rPr>
                <w:sz w:val="18"/>
                <w:szCs w:val="18"/>
                <w:b/>
                <w:bCs/>
                <w:color w:val="00B8F5"/>
                <w:spacing w:val="6"/>
              </w:rPr>
              <w:t xml:space="preserve"> </w:t>
            </w:r>
            <w:r>
              <w:rPr>
                <w:sz w:val="18"/>
                <w:szCs w:val="18"/>
                <w:b/>
                <w:bCs/>
                <w:color w:val="00B8F5"/>
                <w:spacing w:val="5"/>
              </w:rPr>
              <w:t>国家能源局、财</w:t>
            </w:r>
            <w:r>
              <w:rPr>
                <w:sz w:val="18"/>
                <w:szCs w:val="18"/>
                <w:b/>
                <w:bCs/>
                <w:color w:val="00B8F5"/>
              </w:rPr>
              <w:t xml:space="preserve">    </w:t>
            </w:r>
            <w:r>
              <w:rPr>
                <w:sz w:val="18"/>
                <w:szCs w:val="18"/>
                <w:b/>
                <w:bCs/>
                <w:color w:val="00B8F5"/>
                <w:spacing w:val="3"/>
              </w:rPr>
              <w:t>政部等</w:t>
            </w:r>
          </w:p>
        </w:tc>
        <w:tc>
          <w:tcPr>
            <w:tcW w:w="1134" w:type="dxa"/>
            <w:vAlign w:val="top"/>
            <w:tcBorders>
              <w:left w:val="single" w:color="BFBFBF" w:sz="2" w:space="0"/>
              <w:right w:val="single" w:color="BFBFBF" w:sz="2" w:space="0"/>
            </w:tcBorders>
          </w:tcPr>
          <w:p>
            <w:pPr>
              <w:spacing w:line="416" w:lineRule="auto"/>
              <w:rPr>
                <w:rFonts w:ascii="Arial"/>
                <w:sz w:val="21"/>
              </w:rPr>
            </w:pPr>
            <w:r/>
          </w:p>
          <w:p>
            <w:pPr>
              <w:pStyle w:val="TableText"/>
              <w:ind w:left="113"/>
              <w:spacing w:before="77" w:line="172" w:lineRule="auto"/>
              <w:rPr>
                <w:sz w:val="18"/>
                <w:szCs w:val="18"/>
              </w:rPr>
            </w:pPr>
            <w:r>
              <w:rPr>
                <w:sz w:val="18"/>
                <w:szCs w:val="18"/>
                <w:spacing w:val="-4"/>
              </w:rPr>
              <w:t>2022.06</w:t>
            </w:r>
          </w:p>
        </w:tc>
        <w:tc>
          <w:tcPr>
            <w:tcW w:w="1513" w:type="dxa"/>
            <w:vAlign w:val="top"/>
            <w:tcBorders>
              <w:left w:val="single" w:color="BFBFBF" w:sz="2" w:space="0"/>
              <w:right w:val="single" w:color="BFBFBF" w:sz="2" w:space="0"/>
            </w:tcBorders>
          </w:tcPr>
          <w:p>
            <w:pPr>
              <w:pStyle w:val="TableText"/>
              <w:ind w:left="112" w:right="125"/>
              <w:spacing w:before="261" w:line="172" w:lineRule="auto"/>
              <w:jc w:val="both"/>
              <w:rPr>
                <w:sz w:val="18"/>
                <w:szCs w:val="18"/>
              </w:rPr>
            </w:pPr>
            <w:r>
              <w:rPr>
                <w:sz w:val="18"/>
                <w:szCs w:val="18"/>
                <w:spacing w:val="-1"/>
              </w:rPr>
              <w:t>《“十四五”可</w:t>
            </w:r>
            <w:r>
              <w:rPr>
                <w:sz w:val="18"/>
                <w:szCs w:val="18"/>
                <w:spacing w:val="5"/>
              </w:rPr>
              <w:t xml:space="preserve"> </w:t>
            </w:r>
            <w:r>
              <w:rPr>
                <w:sz w:val="18"/>
                <w:szCs w:val="18"/>
                <w:spacing w:val="1"/>
              </w:rPr>
              <w:t>再生能源发展规 </w:t>
            </w:r>
            <w:r>
              <w:rPr>
                <w:sz w:val="18"/>
                <w:szCs w:val="18"/>
                <w:spacing w:val="-3"/>
              </w:rPr>
              <w:t>划》</w:t>
            </w:r>
          </w:p>
        </w:tc>
        <w:tc>
          <w:tcPr>
            <w:tcW w:w="5386" w:type="dxa"/>
            <w:vAlign w:val="top"/>
            <w:tcBorders>
              <w:left w:val="single" w:color="BFBFBF" w:sz="2" w:space="0"/>
            </w:tcBorders>
          </w:tcPr>
          <w:p>
            <w:pPr>
              <w:pStyle w:val="TableText"/>
              <w:ind w:left="121"/>
              <w:spacing w:before="146" w:line="168" w:lineRule="auto"/>
              <w:rPr>
                <w:sz w:val="18"/>
                <w:szCs w:val="18"/>
              </w:rPr>
            </w:pPr>
            <w:r>
              <w:rPr>
                <w:sz w:val="18"/>
                <w:szCs w:val="18"/>
                <w:position w:val="-3"/>
              </w:rPr>
              <w:drawing>
                <wp:inline distT="0" distB="0" distL="0" distR="0">
                  <wp:extent cx="43318" cy="128564"/>
                  <wp:effectExtent l="0" t="0" r="0" b="0"/>
                  <wp:docPr id="314" name="IM 314"/>
                  <wp:cNvGraphicFramePr/>
                  <a:graphic>
                    <a:graphicData uri="http://schemas.openxmlformats.org/drawingml/2006/picture">
                      <pic:pic>
                        <pic:nvPicPr>
                          <pic:cNvPr id="314" name="IM 314"/>
                          <pic:cNvPicPr/>
                        </pic:nvPicPr>
                        <pic:blipFill>
                          <a:blip r:embed="rId149"/>
                          <a:stretch>
                            <a:fillRect/>
                          </a:stretch>
                        </pic:blipFill>
                        <pic:spPr>
                          <a:xfrm rot="0">
                            <a:off x="0" y="0"/>
                            <a:ext cx="43318" cy="128564"/>
                          </a:xfrm>
                          <a:prstGeom prst="rect">
                            <a:avLst/>
                          </a:prstGeom>
                        </pic:spPr>
                      </pic:pic>
                    </a:graphicData>
                  </a:graphic>
                </wp:inline>
              </w:drawing>
            </w:r>
            <w:r>
              <w:rPr>
                <w:sz w:val="18"/>
                <w:szCs w:val="18"/>
                <w:spacing w:val="14"/>
                <w:w w:val="101"/>
              </w:rPr>
              <w:t xml:space="preserve">   </w:t>
            </w:r>
            <w:r>
              <w:rPr>
                <w:sz w:val="18"/>
                <w:szCs w:val="18"/>
              </w:rPr>
              <w:t>明确新型储能独立市场主体地位。</w:t>
            </w:r>
          </w:p>
          <w:p>
            <w:pPr>
              <w:pStyle w:val="TableText"/>
              <w:ind w:left="379" w:right="131" w:hanging="258"/>
              <w:spacing w:line="173" w:lineRule="auto"/>
              <w:rPr>
                <w:sz w:val="18"/>
                <w:szCs w:val="18"/>
              </w:rPr>
            </w:pPr>
            <w:r>
              <w:rPr>
                <w:sz w:val="18"/>
                <w:szCs w:val="18"/>
                <w:position w:val="-3"/>
              </w:rPr>
              <w:drawing>
                <wp:inline distT="0" distB="0" distL="0" distR="0">
                  <wp:extent cx="43318" cy="128564"/>
                  <wp:effectExtent l="0" t="0" r="0" b="0"/>
                  <wp:docPr id="316" name="IM 316"/>
                  <wp:cNvGraphicFramePr/>
                  <a:graphic>
                    <a:graphicData uri="http://schemas.openxmlformats.org/drawingml/2006/picture">
                      <pic:pic>
                        <pic:nvPicPr>
                          <pic:cNvPr id="316" name="IM 316"/>
                          <pic:cNvPicPr/>
                        </pic:nvPicPr>
                        <pic:blipFill>
                          <a:blip r:embed="rId150"/>
                          <a:stretch>
                            <a:fillRect/>
                          </a:stretch>
                        </pic:blipFill>
                        <pic:spPr>
                          <a:xfrm rot="0">
                            <a:off x="0" y="0"/>
                            <a:ext cx="43318" cy="128564"/>
                          </a:xfrm>
                          <a:prstGeom prst="rect">
                            <a:avLst/>
                          </a:prstGeom>
                        </pic:spPr>
                      </pic:pic>
                    </a:graphicData>
                  </a:graphic>
                </wp:inline>
              </w:drawing>
            </w:r>
            <w:r>
              <w:rPr>
                <w:sz w:val="18"/>
                <w:szCs w:val="18"/>
                <w:spacing w:val="13"/>
                <w:w w:val="101"/>
              </w:rPr>
              <w:t xml:space="preserve">   </w:t>
            </w:r>
            <w:r>
              <w:rPr>
                <w:sz w:val="18"/>
                <w:szCs w:val="18"/>
              </w:rPr>
              <w:t>提出完善储能参与各类电力市场的交易机制和技术标准，发挥 </w:t>
            </w:r>
            <w:r>
              <w:rPr>
                <w:sz w:val="18"/>
                <w:szCs w:val="18"/>
              </w:rPr>
              <w:t>储能调峰调频、应急备用、容量支撑等多元功能，促进储能在</w:t>
            </w:r>
            <w:r>
              <w:rPr>
                <w:sz w:val="18"/>
                <w:szCs w:val="18"/>
                <w:spacing w:val="10"/>
              </w:rPr>
              <w:t xml:space="preserve"> </w:t>
            </w:r>
            <w:r>
              <w:rPr>
                <w:sz w:val="18"/>
                <w:szCs w:val="18"/>
                <w:spacing w:val="-1"/>
              </w:rPr>
              <w:t>电源侧、电网侧和用户侧多场景应用等。</w:t>
            </w:r>
          </w:p>
        </w:tc>
      </w:tr>
      <w:tr>
        <w:trPr>
          <w:trHeight w:val="1160" w:hRule="atLeast"/>
        </w:trPr>
        <w:tc>
          <w:tcPr>
            <w:shd w:val="clear" w:fill="F1F1F1"/>
            <w:tcW w:w="1605" w:type="dxa"/>
            <w:vAlign w:val="top"/>
            <w:tcBorders>
              <w:right w:val="single" w:color="BFBFBF" w:sz="2" w:space="0"/>
            </w:tcBorders>
          </w:tcPr>
          <w:p>
            <w:pPr>
              <w:pStyle w:val="TableText"/>
              <w:ind w:left="113" w:right="150" w:firstLine="10"/>
              <w:spacing w:before="276" w:line="171" w:lineRule="auto"/>
              <w:jc w:val="both"/>
              <w:rPr>
                <w:sz w:val="18"/>
                <w:szCs w:val="18"/>
              </w:rPr>
            </w:pPr>
            <w:r>
              <w:rPr>
                <w:sz w:val="18"/>
                <w:szCs w:val="18"/>
                <w:b/>
                <w:bCs/>
                <w:color w:val="00B8F5"/>
                <w:spacing w:val="4"/>
              </w:rPr>
              <w:t>国家发展改革委</w:t>
            </w:r>
            <w:r>
              <w:rPr>
                <w:sz w:val="18"/>
                <w:szCs w:val="18"/>
                <w:b/>
                <w:bCs/>
                <w:color w:val="00B8F5"/>
              </w:rPr>
              <w:t xml:space="preserve">  </w:t>
            </w:r>
            <w:r>
              <w:rPr>
                <w:sz w:val="18"/>
                <w:szCs w:val="18"/>
                <w:b/>
                <w:bCs/>
                <w:color w:val="00B8F5"/>
                <w:spacing w:val="3"/>
              </w:rPr>
              <w:t>办公厅 国家能源</w:t>
            </w:r>
            <w:r>
              <w:rPr>
                <w:sz w:val="18"/>
                <w:szCs w:val="18"/>
                <w:b/>
                <w:bCs/>
                <w:color w:val="00B8F5"/>
              </w:rPr>
              <w:t xml:space="preserve"> </w:t>
            </w:r>
            <w:r>
              <w:rPr>
                <w:sz w:val="18"/>
                <w:szCs w:val="18"/>
                <w:b/>
                <w:bCs/>
                <w:color w:val="00B8F5"/>
                <w:spacing w:val="4"/>
              </w:rPr>
              <w:t>局综合司</w:t>
            </w:r>
          </w:p>
        </w:tc>
        <w:tc>
          <w:tcPr>
            <w:shd w:val="clear" w:fill="F1F1F1"/>
            <w:tcW w:w="1134" w:type="dxa"/>
            <w:vAlign w:val="top"/>
            <w:tcBorders>
              <w:left w:val="single" w:color="BFBFBF" w:sz="2" w:space="0"/>
              <w:right w:val="single" w:color="BFBFBF" w:sz="2" w:space="0"/>
            </w:tcBorders>
          </w:tcPr>
          <w:p>
            <w:pPr>
              <w:spacing w:line="430" w:lineRule="auto"/>
              <w:rPr>
                <w:rFonts w:ascii="Arial"/>
                <w:sz w:val="21"/>
              </w:rPr>
            </w:pPr>
            <w:r/>
          </w:p>
          <w:p>
            <w:pPr>
              <w:pStyle w:val="TableText"/>
              <w:ind w:left="113"/>
              <w:spacing w:before="77" w:line="172" w:lineRule="auto"/>
              <w:rPr>
                <w:sz w:val="18"/>
                <w:szCs w:val="18"/>
              </w:rPr>
            </w:pPr>
            <w:r>
              <w:rPr>
                <w:sz w:val="18"/>
                <w:szCs w:val="18"/>
                <w:spacing w:val="-4"/>
              </w:rPr>
              <w:t>2022.05</w:t>
            </w:r>
          </w:p>
        </w:tc>
        <w:tc>
          <w:tcPr>
            <w:shd w:val="clear" w:fill="F1F1F1"/>
            <w:tcW w:w="1513" w:type="dxa"/>
            <w:vAlign w:val="top"/>
            <w:tcBorders>
              <w:left w:val="single" w:color="BFBFBF" w:sz="2" w:space="0"/>
              <w:right w:val="single" w:color="BFBFBF" w:sz="2" w:space="0"/>
            </w:tcBorders>
          </w:tcPr>
          <w:p>
            <w:pPr>
              <w:pStyle w:val="TableText"/>
              <w:ind w:left="112" w:right="125"/>
              <w:spacing w:before="170" w:line="170" w:lineRule="auto"/>
              <w:jc w:val="both"/>
              <w:rPr>
                <w:sz w:val="18"/>
                <w:szCs w:val="18"/>
              </w:rPr>
            </w:pPr>
            <w:r>
              <w:rPr>
                <w:sz w:val="18"/>
                <w:szCs w:val="18"/>
                <w:spacing w:val="1"/>
              </w:rPr>
              <w:t>《关于进一步推</w:t>
            </w:r>
            <w:r>
              <w:rPr>
                <w:sz w:val="18"/>
                <w:szCs w:val="18"/>
                <w:spacing w:val="2"/>
              </w:rPr>
              <w:t xml:space="preserve"> </w:t>
            </w:r>
            <w:r>
              <w:rPr>
                <w:sz w:val="18"/>
                <w:szCs w:val="18"/>
                <w:spacing w:val="1"/>
              </w:rPr>
              <w:t>动新型储能参与 </w:t>
            </w:r>
            <w:r>
              <w:rPr>
                <w:sz w:val="18"/>
                <w:szCs w:val="18"/>
                <w:spacing w:val="1"/>
              </w:rPr>
              <w:t>电力市场和调度 </w:t>
            </w:r>
            <w:r>
              <w:rPr>
                <w:sz w:val="18"/>
                <w:szCs w:val="18"/>
              </w:rPr>
              <w:t>运用的通知》</w:t>
            </w:r>
          </w:p>
        </w:tc>
        <w:tc>
          <w:tcPr>
            <w:shd w:val="clear" w:fill="F1F1F1"/>
            <w:tcW w:w="5386" w:type="dxa"/>
            <w:vAlign w:val="top"/>
            <w:tcBorders>
              <w:left w:val="single" w:color="BFBFBF" w:sz="2" w:space="0"/>
            </w:tcBorders>
          </w:tcPr>
          <w:p>
            <w:pPr>
              <w:pStyle w:val="TableText"/>
              <w:ind w:left="121"/>
              <w:spacing w:before="160" w:line="168" w:lineRule="auto"/>
              <w:rPr>
                <w:sz w:val="18"/>
                <w:szCs w:val="18"/>
              </w:rPr>
            </w:pPr>
            <w:r>
              <w:rPr>
                <w:sz w:val="18"/>
                <w:szCs w:val="18"/>
                <w:position w:val="-3"/>
              </w:rPr>
              <w:drawing>
                <wp:inline distT="0" distB="0" distL="0" distR="0">
                  <wp:extent cx="43318" cy="128564"/>
                  <wp:effectExtent l="0" t="0" r="0" b="0"/>
                  <wp:docPr id="318" name="IM 318"/>
                  <wp:cNvGraphicFramePr/>
                  <a:graphic>
                    <a:graphicData uri="http://schemas.openxmlformats.org/drawingml/2006/picture">
                      <pic:pic>
                        <pic:nvPicPr>
                          <pic:cNvPr id="318" name="IM 318"/>
                          <pic:cNvPicPr/>
                        </pic:nvPicPr>
                        <pic:blipFill>
                          <a:blip r:embed="rId151"/>
                          <a:stretch>
                            <a:fillRect/>
                          </a:stretch>
                        </pic:blipFill>
                        <pic:spPr>
                          <a:xfrm rot="0">
                            <a:off x="0" y="0"/>
                            <a:ext cx="43318" cy="128564"/>
                          </a:xfrm>
                          <a:prstGeom prst="rect">
                            <a:avLst/>
                          </a:prstGeom>
                        </pic:spPr>
                      </pic:pic>
                    </a:graphicData>
                  </a:graphic>
                </wp:inline>
              </w:drawing>
            </w:r>
            <w:r>
              <w:rPr>
                <w:sz w:val="18"/>
                <w:szCs w:val="18"/>
                <w:spacing w:val="15"/>
                <w:w w:val="101"/>
              </w:rPr>
              <w:t xml:space="preserve">   </w:t>
            </w:r>
            <w:r>
              <w:rPr>
                <w:sz w:val="18"/>
                <w:szCs w:val="18"/>
                <w:spacing w:val="-1"/>
              </w:rPr>
              <w:t>新型储能可作为独立储能参与电力市场。</w:t>
            </w:r>
          </w:p>
          <w:p>
            <w:pPr>
              <w:pStyle w:val="TableText"/>
              <w:ind w:left="383" w:right="131" w:hanging="262"/>
              <w:spacing w:before="1" w:line="174" w:lineRule="auto"/>
              <w:rPr>
                <w:sz w:val="18"/>
                <w:szCs w:val="18"/>
              </w:rPr>
            </w:pPr>
            <w:r>
              <w:rPr>
                <w:sz w:val="18"/>
                <w:szCs w:val="18"/>
                <w:position w:val="-3"/>
              </w:rPr>
              <w:drawing>
                <wp:inline distT="0" distB="0" distL="0" distR="0">
                  <wp:extent cx="43318" cy="128564"/>
                  <wp:effectExtent l="0" t="0" r="0" b="0"/>
                  <wp:docPr id="320" name="IM 320"/>
                  <wp:cNvGraphicFramePr/>
                  <a:graphic>
                    <a:graphicData uri="http://schemas.openxmlformats.org/drawingml/2006/picture">
                      <pic:pic>
                        <pic:nvPicPr>
                          <pic:cNvPr id="320" name="IM 320"/>
                          <pic:cNvPicPr/>
                        </pic:nvPicPr>
                        <pic:blipFill>
                          <a:blip r:embed="rId152"/>
                          <a:stretch>
                            <a:fillRect/>
                          </a:stretch>
                        </pic:blipFill>
                        <pic:spPr>
                          <a:xfrm rot="0">
                            <a:off x="0" y="0"/>
                            <a:ext cx="43318" cy="128564"/>
                          </a:xfrm>
                          <a:prstGeom prst="rect">
                            <a:avLst/>
                          </a:prstGeom>
                        </pic:spPr>
                      </pic:pic>
                    </a:graphicData>
                  </a:graphic>
                </wp:inline>
              </w:drawing>
            </w:r>
            <w:r>
              <w:rPr>
                <w:sz w:val="18"/>
                <w:szCs w:val="18"/>
                <w:spacing w:val="13"/>
                <w:w w:val="101"/>
              </w:rPr>
              <w:t xml:space="preserve">   </w:t>
            </w:r>
            <w:r>
              <w:rPr>
                <w:sz w:val="18"/>
                <w:szCs w:val="18"/>
              </w:rPr>
              <w:t>鼓励配建新型储能与所属电源联合参与电力市场，加快推动独 </w:t>
            </w:r>
            <w:r>
              <w:rPr>
                <w:sz w:val="18"/>
                <w:szCs w:val="18"/>
              </w:rPr>
              <w:t>立储能参与电力市场配合电网调峰，充分发挥独立储能技术优</w:t>
            </w:r>
            <w:r>
              <w:rPr>
                <w:sz w:val="18"/>
                <w:szCs w:val="18"/>
                <w:spacing w:val="7"/>
              </w:rPr>
              <w:t xml:space="preserve"> </w:t>
            </w:r>
            <w:r>
              <w:rPr>
                <w:sz w:val="18"/>
                <w:szCs w:val="18"/>
              </w:rPr>
              <w:t>势提供辅助服务，建立电网侧储能价格机制等。</w:t>
            </w:r>
          </w:p>
        </w:tc>
      </w:tr>
      <w:tr>
        <w:trPr>
          <w:trHeight w:val="896" w:hRule="atLeast"/>
        </w:trPr>
        <w:tc>
          <w:tcPr>
            <w:tcW w:w="1605" w:type="dxa"/>
            <w:vAlign w:val="top"/>
            <w:tcBorders>
              <w:right w:val="single" w:color="BFBFBF" w:sz="2" w:space="0"/>
            </w:tcBorders>
          </w:tcPr>
          <w:p>
            <w:pPr>
              <w:spacing w:line="286" w:lineRule="auto"/>
              <w:rPr>
                <w:rFonts w:ascii="Arial"/>
                <w:sz w:val="21"/>
              </w:rPr>
            </w:pPr>
            <w:r/>
          </w:p>
          <w:p>
            <w:pPr>
              <w:pStyle w:val="TableText"/>
              <w:ind w:left="124"/>
              <w:spacing w:before="77" w:line="177" w:lineRule="auto"/>
              <w:rPr>
                <w:sz w:val="18"/>
                <w:szCs w:val="18"/>
              </w:rPr>
            </w:pPr>
            <w:r>
              <w:rPr>
                <w:sz w:val="18"/>
                <w:szCs w:val="18"/>
                <w:b/>
                <w:bCs/>
                <w:color w:val="00B8F5"/>
                <w:spacing w:val="3"/>
              </w:rPr>
              <w:t>国务院办公厅</w:t>
            </w:r>
          </w:p>
        </w:tc>
        <w:tc>
          <w:tcPr>
            <w:tcW w:w="1134" w:type="dxa"/>
            <w:vAlign w:val="top"/>
            <w:tcBorders>
              <w:left w:val="single" w:color="BFBFBF" w:sz="2" w:space="0"/>
              <w:right w:val="single" w:color="BFBFBF" w:sz="2" w:space="0"/>
            </w:tcBorders>
          </w:tcPr>
          <w:p>
            <w:pPr>
              <w:spacing w:line="303" w:lineRule="auto"/>
              <w:rPr>
                <w:rFonts w:ascii="Arial"/>
                <w:sz w:val="21"/>
              </w:rPr>
            </w:pPr>
            <w:r/>
          </w:p>
          <w:p>
            <w:pPr>
              <w:pStyle w:val="TableText"/>
              <w:ind w:left="113"/>
              <w:spacing w:before="77" w:line="172" w:lineRule="auto"/>
              <w:rPr>
                <w:sz w:val="18"/>
                <w:szCs w:val="18"/>
              </w:rPr>
            </w:pPr>
            <w:r>
              <w:rPr>
                <w:sz w:val="18"/>
                <w:szCs w:val="18"/>
                <w:spacing w:val="-4"/>
              </w:rPr>
              <w:t>2022.05</w:t>
            </w:r>
          </w:p>
        </w:tc>
        <w:tc>
          <w:tcPr>
            <w:tcW w:w="1513" w:type="dxa"/>
            <w:vAlign w:val="top"/>
            <w:tcBorders>
              <w:left w:val="single" w:color="BFBFBF" w:sz="2" w:space="0"/>
              <w:right w:val="single" w:color="BFBFBF" w:sz="2" w:space="0"/>
            </w:tcBorders>
          </w:tcPr>
          <w:p>
            <w:pPr>
              <w:pStyle w:val="TableText"/>
              <w:ind w:left="110" w:firstLine="2"/>
              <w:spacing w:before="150" w:line="171" w:lineRule="auto"/>
              <w:jc w:val="both"/>
              <w:rPr>
                <w:sz w:val="18"/>
                <w:szCs w:val="18"/>
              </w:rPr>
            </w:pPr>
            <w:r>
              <w:rPr>
                <w:sz w:val="18"/>
                <w:szCs w:val="18"/>
                <w:spacing w:val="-5"/>
              </w:rPr>
              <w:t>《关于促进新时</w:t>
            </w:r>
            <w:r>
              <w:rPr>
                <w:sz w:val="18"/>
                <w:szCs w:val="18"/>
                <w:spacing w:val="1"/>
              </w:rPr>
              <w:t xml:space="preserve">    </w:t>
            </w:r>
            <w:r>
              <w:rPr>
                <w:sz w:val="18"/>
                <w:szCs w:val="18"/>
                <w:spacing w:val="-3"/>
              </w:rPr>
              <w:t>代新能源高质量</w:t>
            </w:r>
            <w:r>
              <w:rPr>
                <w:sz w:val="18"/>
                <w:szCs w:val="18"/>
              </w:rPr>
              <w:t xml:space="preserve">    </w:t>
            </w:r>
            <w:r>
              <w:rPr>
                <w:sz w:val="18"/>
                <w:szCs w:val="18"/>
                <w:spacing w:val="-6"/>
              </w:rPr>
              <w:t>发展的实施方案》</w:t>
            </w:r>
          </w:p>
        </w:tc>
        <w:tc>
          <w:tcPr>
            <w:tcW w:w="5386" w:type="dxa"/>
            <w:vAlign w:val="top"/>
            <w:tcBorders>
              <w:left w:val="single" w:color="BFBFBF" w:sz="2" w:space="0"/>
            </w:tcBorders>
          </w:tcPr>
          <w:p>
            <w:pPr>
              <w:pStyle w:val="TableText"/>
              <w:ind w:left="380" w:right="131" w:hanging="259"/>
              <w:spacing w:before="142" w:line="173" w:lineRule="auto"/>
              <w:rPr>
                <w:sz w:val="18"/>
                <w:szCs w:val="18"/>
              </w:rPr>
            </w:pPr>
            <w:r>
              <w:rPr>
                <w:sz w:val="18"/>
                <w:szCs w:val="18"/>
                <w:position w:val="-3"/>
              </w:rPr>
              <w:drawing>
                <wp:inline distT="0" distB="0" distL="0" distR="0">
                  <wp:extent cx="43318" cy="128564"/>
                  <wp:effectExtent l="0" t="0" r="0" b="0"/>
                  <wp:docPr id="322" name="IM 322"/>
                  <wp:cNvGraphicFramePr/>
                  <a:graphic>
                    <a:graphicData uri="http://schemas.openxmlformats.org/drawingml/2006/picture">
                      <pic:pic>
                        <pic:nvPicPr>
                          <pic:cNvPr id="322" name="IM 322"/>
                          <pic:cNvPicPr/>
                        </pic:nvPicPr>
                        <pic:blipFill>
                          <a:blip r:embed="rId153"/>
                          <a:stretch>
                            <a:fillRect/>
                          </a:stretch>
                        </pic:blipFill>
                        <pic:spPr>
                          <a:xfrm rot="0">
                            <a:off x="0" y="0"/>
                            <a:ext cx="43318" cy="128564"/>
                          </a:xfrm>
                          <a:prstGeom prst="rect">
                            <a:avLst/>
                          </a:prstGeom>
                        </pic:spPr>
                      </pic:pic>
                    </a:graphicData>
                  </a:graphic>
                </wp:inline>
              </w:drawing>
            </w:r>
            <w:r>
              <w:rPr>
                <w:sz w:val="18"/>
                <w:szCs w:val="18"/>
                <w:spacing w:val="13"/>
                <w:w w:val="101"/>
              </w:rPr>
              <w:t xml:space="preserve">   </w:t>
            </w:r>
            <w:r>
              <w:rPr>
                <w:sz w:val="18"/>
                <w:szCs w:val="18"/>
              </w:rPr>
              <w:t>完善调峰调频电源补偿机制，加大煤电机组灵活性改造、水电 </w:t>
            </w:r>
            <w:r>
              <w:rPr>
                <w:sz w:val="18"/>
                <w:szCs w:val="18"/>
              </w:rPr>
              <w:t>扩机、抽水蓄能和太阳能热发电项目建设力度，推动新型储能</w:t>
            </w:r>
            <w:r>
              <w:rPr>
                <w:sz w:val="18"/>
                <w:szCs w:val="18"/>
                <w:spacing w:val="9"/>
              </w:rPr>
              <w:t xml:space="preserve"> </w:t>
            </w:r>
            <w:r>
              <w:rPr>
                <w:sz w:val="18"/>
                <w:szCs w:val="18"/>
                <w:spacing w:val="-1"/>
              </w:rPr>
              <w:t>快速发展。研究储能成本回收机制。</w:t>
            </w:r>
          </w:p>
        </w:tc>
      </w:tr>
      <w:tr>
        <w:trPr>
          <w:trHeight w:val="988" w:hRule="atLeast"/>
        </w:trPr>
        <w:tc>
          <w:tcPr>
            <w:shd w:val="clear" w:fill="F1F1F1"/>
            <w:tcW w:w="1605" w:type="dxa"/>
            <w:vAlign w:val="top"/>
            <w:tcBorders>
              <w:right w:val="single" w:color="BFBFBF" w:sz="2" w:space="0"/>
            </w:tcBorders>
          </w:tcPr>
          <w:p>
            <w:pPr>
              <w:pStyle w:val="TableText"/>
              <w:ind w:left="124" w:right="46"/>
              <w:spacing w:before="308" w:line="172" w:lineRule="auto"/>
              <w:rPr>
                <w:sz w:val="18"/>
                <w:szCs w:val="18"/>
              </w:rPr>
            </w:pPr>
            <w:r>
              <w:rPr>
                <w:sz w:val="18"/>
                <w:szCs w:val="18"/>
                <w:b/>
                <w:bCs/>
                <w:color w:val="00B8F5"/>
                <w:spacing w:val="-2"/>
              </w:rPr>
              <w:t>国家发展改革委、</w:t>
            </w:r>
            <w:r>
              <w:rPr>
                <w:sz w:val="18"/>
                <w:szCs w:val="18"/>
                <w:b/>
                <w:bCs/>
                <w:color w:val="00B8F5"/>
                <w:spacing w:val="6"/>
              </w:rPr>
              <w:t xml:space="preserve"> </w:t>
            </w:r>
            <w:r>
              <w:rPr>
                <w:sz w:val="18"/>
                <w:szCs w:val="18"/>
                <w:b/>
                <w:bCs/>
                <w:color w:val="00B8F5"/>
                <w:spacing w:val="2"/>
              </w:rPr>
              <w:t>国家能源局</w:t>
            </w:r>
          </w:p>
        </w:tc>
        <w:tc>
          <w:tcPr>
            <w:shd w:val="clear" w:fill="F1F1F1"/>
            <w:tcW w:w="1134" w:type="dxa"/>
            <w:vAlign w:val="top"/>
            <w:tcBorders>
              <w:left w:val="single" w:color="BFBFBF" w:sz="2" w:space="0"/>
              <w:right w:val="single" w:color="BFBFBF" w:sz="2" w:space="0"/>
            </w:tcBorders>
          </w:tcPr>
          <w:p>
            <w:pPr>
              <w:spacing w:line="353" w:lineRule="auto"/>
              <w:rPr>
                <w:rFonts w:ascii="Arial"/>
                <w:sz w:val="21"/>
              </w:rPr>
            </w:pPr>
            <w:r/>
          </w:p>
          <w:p>
            <w:pPr>
              <w:pStyle w:val="TableText"/>
              <w:ind w:left="113"/>
              <w:spacing w:before="78" w:line="172" w:lineRule="auto"/>
              <w:rPr>
                <w:sz w:val="18"/>
                <w:szCs w:val="18"/>
              </w:rPr>
            </w:pPr>
            <w:r>
              <w:rPr>
                <w:sz w:val="18"/>
                <w:szCs w:val="18"/>
                <w:spacing w:val="-4"/>
              </w:rPr>
              <w:t>2022.01</w:t>
            </w:r>
          </w:p>
        </w:tc>
        <w:tc>
          <w:tcPr>
            <w:shd w:val="clear" w:fill="F1F1F1"/>
            <w:tcW w:w="1513" w:type="dxa"/>
            <w:vAlign w:val="top"/>
            <w:tcBorders>
              <w:left w:val="single" w:color="BFBFBF" w:sz="2" w:space="0"/>
              <w:right w:val="single" w:color="BFBFBF" w:sz="2" w:space="0"/>
            </w:tcBorders>
          </w:tcPr>
          <w:p>
            <w:pPr>
              <w:pStyle w:val="TableText"/>
              <w:ind w:left="114" w:right="125" w:hanging="2"/>
              <w:spacing w:before="197" w:line="172" w:lineRule="auto"/>
              <w:jc w:val="both"/>
              <w:rPr>
                <w:sz w:val="18"/>
                <w:szCs w:val="18"/>
              </w:rPr>
            </w:pPr>
            <w:r>
              <w:rPr>
                <w:sz w:val="18"/>
                <w:szCs w:val="18"/>
              </w:rPr>
              <w:t>《“十四五”新 </w:t>
            </w:r>
            <w:r>
              <w:rPr>
                <w:sz w:val="18"/>
                <w:szCs w:val="18"/>
                <w:spacing w:val="1"/>
              </w:rPr>
              <w:t>型储能发展实施</w:t>
            </w:r>
            <w:r>
              <w:rPr>
                <w:sz w:val="18"/>
                <w:szCs w:val="18"/>
              </w:rPr>
              <w:t xml:space="preserve"> </w:t>
            </w:r>
            <w:r>
              <w:rPr>
                <w:sz w:val="18"/>
                <w:szCs w:val="18"/>
                <w:spacing w:val="-2"/>
              </w:rPr>
              <w:t>方案》</w:t>
            </w:r>
          </w:p>
        </w:tc>
        <w:tc>
          <w:tcPr>
            <w:shd w:val="clear" w:fill="F1F1F1"/>
            <w:tcW w:w="5386" w:type="dxa"/>
            <w:vAlign w:val="top"/>
            <w:tcBorders>
              <w:left w:val="single" w:color="BFBFBF" w:sz="2" w:space="0"/>
            </w:tcBorders>
          </w:tcPr>
          <w:p>
            <w:pPr>
              <w:pStyle w:val="TableText"/>
              <w:ind w:left="380" w:right="131" w:hanging="259"/>
              <w:spacing w:before="83" w:line="168" w:lineRule="auto"/>
              <w:rPr>
                <w:sz w:val="18"/>
                <w:szCs w:val="18"/>
              </w:rPr>
            </w:pPr>
            <w:r>
              <w:rPr>
                <w:sz w:val="18"/>
                <w:szCs w:val="18"/>
                <w:position w:val="-3"/>
              </w:rPr>
              <w:drawing>
                <wp:inline distT="0" distB="0" distL="0" distR="0">
                  <wp:extent cx="43318" cy="128564"/>
                  <wp:effectExtent l="0" t="0" r="0" b="0"/>
                  <wp:docPr id="324" name="IM 324"/>
                  <wp:cNvGraphicFramePr/>
                  <a:graphic>
                    <a:graphicData uri="http://schemas.openxmlformats.org/drawingml/2006/picture">
                      <pic:pic>
                        <pic:nvPicPr>
                          <pic:cNvPr id="324" name="IM 324"/>
                          <pic:cNvPicPr/>
                        </pic:nvPicPr>
                        <pic:blipFill>
                          <a:blip r:embed="rId154"/>
                          <a:stretch>
                            <a:fillRect/>
                          </a:stretch>
                        </pic:blipFill>
                        <pic:spPr>
                          <a:xfrm rot="0">
                            <a:off x="0" y="0"/>
                            <a:ext cx="43318" cy="128564"/>
                          </a:xfrm>
                          <a:prstGeom prst="rect">
                            <a:avLst/>
                          </a:prstGeom>
                        </pic:spPr>
                      </pic:pic>
                    </a:graphicData>
                  </a:graphic>
                </wp:inline>
              </w:drawing>
            </w:r>
            <w:r>
              <w:rPr>
                <w:sz w:val="18"/>
                <w:szCs w:val="18"/>
                <w:spacing w:val="15"/>
              </w:rPr>
              <w:t xml:space="preserve">   </w:t>
            </w:r>
            <w:r>
              <w:rPr>
                <w:sz w:val="18"/>
                <w:szCs w:val="18"/>
                <w:spacing w:val="-2"/>
              </w:rPr>
              <w:t>到 2025 年，新型储能由商业化初期步入规模化发展阶段，具</w:t>
            </w:r>
            <w:r>
              <w:rPr>
                <w:sz w:val="18"/>
                <w:szCs w:val="18"/>
              </w:rPr>
              <w:t xml:space="preserve">  </w:t>
            </w:r>
            <w:r>
              <w:rPr>
                <w:sz w:val="18"/>
                <w:szCs w:val="18"/>
              </w:rPr>
              <w:t>备大规模商业化应用条件。其中，电化学储能技术性能进一步</w:t>
            </w:r>
            <w:r>
              <w:rPr>
                <w:sz w:val="18"/>
                <w:szCs w:val="18"/>
                <w:spacing w:val="9"/>
              </w:rPr>
              <w:t xml:space="preserve"> </w:t>
            </w:r>
            <w:r>
              <w:rPr>
                <w:sz w:val="18"/>
                <w:szCs w:val="18"/>
                <w:spacing w:val="-1"/>
              </w:rPr>
              <w:t>提升，系统成本降低</w:t>
            </w:r>
            <w:r>
              <w:rPr>
                <w:sz w:val="18"/>
                <w:szCs w:val="18"/>
                <w:spacing w:val="-21"/>
              </w:rPr>
              <w:t xml:space="preserve"> </w:t>
            </w:r>
            <w:r>
              <w:rPr>
                <w:sz w:val="18"/>
                <w:szCs w:val="18"/>
                <w:spacing w:val="-1"/>
              </w:rPr>
              <w:t>30%以上。</w:t>
            </w:r>
          </w:p>
          <w:p>
            <w:pPr>
              <w:pStyle w:val="TableText"/>
              <w:ind w:left="121"/>
              <w:spacing w:line="191" w:lineRule="auto"/>
              <w:rPr>
                <w:sz w:val="18"/>
                <w:szCs w:val="18"/>
              </w:rPr>
            </w:pPr>
            <w:r>
              <w:rPr>
                <w:sz w:val="18"/>
                <w:szCs w:val="18"/>
                <w:position w:val="-3"/>
              </w:rPr>
              <w:drawing>
                <wp:inline distT="0" distB="0" distL="0" distR="0">
                  <wp:extent cx="43318" cy="128564"/>
                  <wp:effectExtent l="0" t="0" r="0" b="0"/>
                  <wp:docPr id="326" name="IM 326"/>
                  <wp:cNvGraphicFramePr/>
                  <a:graphic>
                    <a:graphicData uri="http://schemas.openxmlformats.org/drawingml/2006/picture">
                      <pic:pic>
                        <pic:nvPicPr>
                          <pic:cNvPr id="326" name="IM 326"/>
                          <pic:cNvPicPr/>
                        </pic:nvPicPr>
                        <pic:blipFill>
                          <a:blip r:embed="rId155"/>
                          <a:stretch>
                            <a:fillRect/>
                          </a:stretch>
                        </pic:blipFill>
                        <pic:spPr>
                          <a:xfrm rot="0">
                            <a:off x="0" y="0"/>
                            <a:ext cx="43318" cy="128564"/>
                          </a:xfrm>
                          <a:prstGeom prst="rect">
                            <a:avLst/>
                          </a:prstGeom>
                        </pic:spPr>
                      </pic:pic>
                    </a:graphicData>
                  </a:graphic>
                </wp:inline>
              </w:drawing>
            </w:r>
            <w:r>
              <w:rPr>
                <w:sz w:val="18"/>
                <w:szCs w:val="18"/>
                <w:spacing w:val="12"/>
              </w:rPr>
              <w:t xml:space="preserve">   </w:t>
            </w:r>
            <w:r>
              <w:rPr>
                <w:sz w:val="18"/>
                <w:szCs w:val="18"/>
                <w:spacing w:val="-2"/>
              </w:rPr>
              <w:t>到 2030 年，新型储能全面市场化发展。</w:t>
            </w:r>
          </w:p>
        </w:tc>
      </w:tr>
      <w:tr>
        <w:trPr>
          <w:trHeight w:val="672" w:hRule="atLeast"/>
        </w:trPr>
        <w:tc>
          <w:tcPr>
            <w:tcW w:w="1605" w:type="dxa"/>
            <w:vAlign w:val="top"/>
            <w:tcBorders>
              <w:right w:val="single" w:color="BFBFBF" w:sz="2" w:space="0"/>
            </w:tcBorders>
          </w:tcPr>
          <w:p>
            <w:pPr>
              <w:pStyle w:val="TableText"/>
              <w:ind w:left="124"/>
              <w:spacing w:before="261" w:line="177" w:lineRule="auto"/>
              <w:rPr>
                <w:sz w:val="18"/>
                <w:szCs w:val="18"/>
              </w:rPr>
            </w:pPr>
            <w:r>
              <w:rPr>
                <w:sz w:val="18"/>
                <w:szCs w:val="18"/>
                <w:b/>
                <w:bCs/>
                <w:color w:val="00B8F5"/>
                <w:spacing w:val="2"/>
              </w:rPr>
              <w:t>国家能源局</w:t>
            </w:r>
          </w:p>
        </w:tc>
        <w:tc>
          <w:tcPr>
            <w:tcW w:w="1134" w:type="dxa"/>
            <w:vAlign w:val="top"/>
            <w:tcBorders>
              <w:left w:val="single" w:color="BFBFBF" w:sz="2" w:space="0"/>
              <w:right w:val="single" w:color="BFBFBF" w:sz="2" w:space="0"/>
            </w:tcBorders>
          </w:tcPr>
          <w:p>
            <w:pPr>
              <w:pStyle w:val="TableText"/>
              <w:ind w:left="113"/>
              <w:spacing w:before="279" w:line="172" w:lineRule="auto"/>
              <w:rPr>
                <w:sz w:val="18"/>
                <w:szCs w:val="18"/>
              </w:rPr>
            </w:pPr>
            <w:r>
              <w:rPr>
                <w:sz w:val="18"/>
                <w:szCs w:val="18"/>
                <w:spacing w:val="-4"/>
              </w:rPr>
              <w:t>2021.12</w:t>
            </w:r>
          </w:p>
        </w:tc>
        <w:tc>
          <w:tcPr>
            <w:tcW w:w="1513" w:type="dxa"/>
            <w:vAlign w:val="top"/>
            <w:tcBorders>
              <w:left w:val="single" w:color="BFBFBF" w:sz="2" w:space="0"/>
              <w:right w:val="single" w:color="BFBFBF" w:sz="2" w:space="0"/>
            </w:tcBorders>
          </w:tcPr>
          <w:p>
            <w:pPr>
              <w:pStyle w:val="TableText"/>
              <w:ind w:left="113" w:right="133" w:hanging="1"/>
              <w:spacing w:before="152" w:line="174" w:lineRule="auto"/>
              <w:rPr>
                <w:sz w:val="18"/>
                <w:szCs w:val="18"/>
              </w:rPr>
            </w:pPr>
            <w:r>
              <w:rPr>
                <w:sz w:val="18"/>
                <w:szCs w:val="18"/>
              </w:rPr>
              <w:t>《电力辅助服务</w:t>
            </w:r>
            <w:r>
              <w:rPr>
                <w:sz w:val="18"/>
                <w:szCs w:val="18"/>
                <w:spacing w:val="1"/>
              </w:rPr>
              <w:t xml:space="preserve"> </w:t>
            </w:r>
            <w:r>
              <w:rPr>
                <w:sz w:val="18"/>
                <w:szCs w:val="18"/>
                <w:spacing w:val="-1"/>
              </w:rPr>
              <w:t>管理办法》</w:t>
            </w:r>
          </w:p>
        </w:tc>
        <w:tc>
          <w:tcPr>
            <w:tcW w:w="5386" w:type="dxa"/>
            <w:vAlign w:val="top"/>
            <w:tcBorders>
              <w:left w:val="single" w:color="BFBFBF" w:sz="2" w:space="0"/>
            </w:tcBorders>
          </w:tcPr>
          <w:p>
            <w:pPr>
              <w:pStyle w:val="TableText"/>
              <w:ind w:left="383" w:right="131" w:hanging="262"/>
              <w:spacing w:before="36" w:line="162" w:lineRule="auto"/>
              <w:rPr>
                <w:sz w:val="18"/>
                <w:szCs w:val="18"/>
              </w:rPr>
            </w:pPr>
            <w:r>
              <w:rPr>
                <w:sz w:val="18"/>
                <w:szCs w:val="18"/>
                <w:position w:val="-3"/>
              </w:rPr>
              <w:drawing>
                <wp:inline distT="0" distB="0" distL="0" distR="0">
                  <wp:extent cx="43318" cy="128564"/>
                  <wp:effectExtent l="0" t="0" r="0" b="0"/>
                  <wp:docPr id="328" name="IM 328"/>
                  <wp:cNvGraphicFramePr/>
                  <a:graphic>
                    <a:graphicData uri="http://schemas.openxmlformats.org/drawingml/2006/picture">
                      <pic:pic>
                        <pic:nvPicPr>
                          <pic:cNvPr id="328" name="IM 328"/>
                          <pic:cNvPicPr/>
                        </pic:nvPicPr>
                        <pic:blipFill>
                          <a:blip r:embed="rId156"/>
                          <a:stretch>
                            <a:fillRect/>
                          </a:stretch>
                        </pic:blipFill>
                        <pic:spPr>
                          <a:xfrm rot="0">
                            <a:off x="0" y="0"/>
                            <a:ext cx="43318" cy="128564"/>
                          </a:xfrm>
                          <a:prstGeom prst="rect">
                            <a:avLst/>
                          </a:prstGeom>
                        </pic:spPr>
                      </pic:pic>
                    </a:graphicData>
                  </a:graphic>
                </wp:inline>
              </w:drawing>
            </w:r>
            <w:r>
              <w:rPr>
                <w:sz w:val="18"/>
                <w:szCs w:val="18"/>
                <w:spacing w:val="13"/>
                <w:w w:val="101"/>
              </w:rPr>
              <w:t xml:space="preserve">   </w:t>
            </w:r>
            <w:r>
              <w:rPr>
                <w:sz w:val="18"/>
                <w:szCs w:val="18"/>
              </w:rPr>
              <w:t>将电化学储能、压缩空气储能、飞轮等新型储能纳入并网主体 </w:t>
            </w:r>
            <w:r>
              <w:rPr>
                <w:sz w:val="18"/>
                <w:szCs w:val="18"/>
              </w:rPr>
              <w:t>管理。鼓励新型储能、可调节负荷等并网主体参与电力辅助服</w:t>
            </w:r>
            <w:r>
              <w:rPr>
                <w:sz w:val="18"/>
                <w:szCs w:val="18"/>
                <w:spacing w:val="7"/>
              </w:rPr>
              <w:t xml:space="preserve"> </w:t>
            </w:r>
            <w:r>
              <w:rPr>
                <w:sz w:val="18"/>
                <w:szCs w:val="18"/>
                <w:spacing w:val="-9"/>
              </w:rPr>
              <w:t>务。</w:t>
            </w:r>
          </w:p>
        </w:tc>
      </w:tr>
      <w:tr>
        <w:trPr>
          <w:trHeight w:val="780" w:hRule="atLeast"/>
        </w:trPr>
        <w:tc>
          <w:tcPr>
            <w:shd w:val="clear" w:fill="F1F1F1"/>
            <w:tcW w:w="1605" w:type="dxa"/>
            <w:vAlign w:val="top"/>
            <w:tcBorders>
              <w:right w:val="single" w:color="BFBFBF" w:sz="2" w:space="0"/>
            </w:tcBorders>
          </w:tcPr>
          <w:p>
            <w:pPr>
              <w:pStyle w:val="TableText"/>
              <w:ind w:left="124"/>
              <w:spacing w:before="318" w:line="177" w:lineRule="auto"/>
              <w:rPr>
                <w:sz w:val="18"/>
                <w:szCs w:val="18"/>
              </w:rPr>
            </w:pPr>
            <w:r>
              <w:rPr>
                <w:sz w:val="18"/>
                <w:szCs w:val="18"/>
                <w:b/>
                <w:bCs/>
                <w:color w:val="00B8F5"/>
              </w:rPr>
              <w:t>国务院</w:t>
            </w:r>
          </w:p>
        </w:tc>
        <w:tc>
          <w:tcPr>
            <w:shd w:val="clear" w:fill="F1F1F1"/>
            <w:tcW w:w="1134" w:type="dxa"/>
            <w:vAlign w:val="top"/>
            <w:tcBorders>
              <w:left w:val="single" w:color="BFBFBF" w:sz="2" w:space="0"/>
              <w:right w:val="single" w:color="BFBFBF" w:sz="2" w:space="0"/>
            </w:tcBorders>
          </w:tcPr>
          <w:p>
            <w:pPr>
              <w:spacing w:line="257" w:lineRule="auto"/>
              <w:rPr>
                <w:rFonts w:ascii="Arial"/>
                <w:sz w:val="21"/>
              </w:rPr>
            </w:pPr>
            <w:r/>
          </w:p>
          <w:p>
            <w:pPr>
              <w:pStyle w:val="TableText"/>
              <w:ind w:left="113"/>
              <w:spacing w:before="77" w:line="172" w:lineRule="auto"/>
              <w:rPr>
                <w:sz w:val="18"/>
                <w:szCs w:val="18"/>
              </w:rPr>
            </w:pPr>
            <w:r>
              <w:rPr>
                <w:sz w:val="18"/>
                <w:szCs w:val="18"/>
                <w:spacing w:val="-4"/>
              </w:rPr>
              <w:t>2021.10</w:t>
            </w:r>
          </w:p>
        </w:tc>
        <w:tc>
          <w:tcPr>
            <w:shd w:val="clear" w:fill="F1F1F1"/>
            <w:tcW w:w="1513" w:type="dxa"/>
            <w:vAlign w:val="top"/>
            <w:tcBorders>
              <w:left w:val="single" w:color="BFBFBF" w:sz="2" w:space="0"/>
              <w:right w:val="single" w:color="BFBFBF" w:sz="2" w:space="0"/>
            </w:tcBorders>
          </w:tcPr>
          <w:p>
            <w:pPr>
              <w:pStyle w:val="TableText"/>
              <w:ind w:left="112" w:right="131"/>
              <w:spacing w:before="211" w:line="173" w:lineRule="auto"/>
              <w:rPr>
                <w:sz w:val="18"/>
                <w:szCs w:val="18"/>
              </w:rPr>
            </w:pPr>
            <w:r>
              <w:rPr>
                <w:sz w:val="18"/>
                <w:szCs w:val="18"/>
                <w:spacing w:val="-2"/>
              </w:rPr>
              <w:t>《2030年前碳</w:t>
            </w:r>
            <w:r>
              <w:rPr>
                <w:sz w:val="18"/>
                <w:szCs w:val="18"/>
              </w:rPr>
              <w:t xml:space="preserve">   </w:t>
            </w:r>
            <w:r>
              <w:rPr>
                <w:sz w:val="18"/>
                <w:szCs w:val="18"/>
              </w:rPr>
              <w:t>达峰行动方案》</w:t>
            </w:r>
          </w:p>
        </w:tc>
        <w:tc>
          <w:tcPr>
            <w:shd w:val="clear" w:fill="F1F1F1"/>
            <w:tcW w:w="5386" w:type="dxa"/>
            <w:vAlign w:val="top"/>
            <w:tcBorders>
              <w:left w:val="single" w:color="BFBFBF" w:sz="2" w:space="0"/>
            </w:tcBorders>
          </w:tcPr>
          <w:p>
            <w:pPr>
              <w:pStyle w:val="TableText"/>
              <w:ind w:left="121"/>
              <w:spacing w:before="202" w:line="168" w:lineRule="auto"/>
              <w:rPr>
                <w:sz w:val="18"/>
                <w:szCs w:val="18"/>
              </w:rPr>
            </w:pPr>
            <w:r>
              <w:rPr>
                <w:sz w:val="18"/>
                <w:szCs w:val="18"/>
                <w:position w:val="-3"/>
              </w:rPr>
              <w:drawing>
                <wp:inline distT="0" distB="0" distL="0" distR="0">
                  <wp:extent cx="43318" cy="128564"/>
                  <wp:effectExtent l="0" t="0" r="0" b="0"/>
                  <wp:docPr id="330" name="IM 330"/>
                  <wp:cNvGraphicFramePr/>
                  <a:graphic>
                    <a:graphicData uri="http://schemas.openxmlformats.org/drawingml/2006/picture">
                      <pic:pic>
                        <pic:nvPicPr>
                          <pic:cNvPr id="330" name="IM 330"/>
                          <pic:cNvPicPr/>
                        </pic:nvPicPr>
                        <pic:blipFill>
                          <a:blip r:embed="rId157"/>
                          <a:stretch>
                            <a:fillRect/>
                          </a:stretch>
                        </pic:blipFill>
                        <pic:spPr>
                          <a:xfrm rot="0">
                            <a:off x="0" y="0"/>
                            <a:ext cx="43318" cy="128564"/>
                          </a:xfrm>
                          <a:prstGeom prst="rect">
                            <a:avLst/>
                          </a:prstGeom>
                        </pic:spPr>
                      </pic:pic>
                    </a:graphicData>
                  </a:graphic>
                </wp:inline>
              </w:drawing>
            </w:r>
            <w:r>
              <w:rPr>
                <w:sz w:val="18"/>
                <w:szCs w:val="18"/>
                <w:spacing w:val="13"/>
              </w:rPr>
              <w:t xml:space="preserve">   </w:t>
            </w:r>
            <w:r>
              <w:rPr>
                <w:sz w:val="18"/>
                <w:szCs w:val="18"/>
                <w:spacing w:val="-3"/>
              </w:rPr>
              <w:t>到2025年，新型储能装机容量达30GW以上</w:t>
            </w:r>
            <w:r>
              <w:rPr>
                <w:sz w:val="12"/>
                <w:szCs w:val="12"/>
                <w:spacing w:val="-3"/>
                <w:position w:val="5"/>
              </w:rPr>
              <w:t>17</w:t>
            </w:r>
            <w:r>
              <w:rPr>
                <w:sz w:val="18"/>
                <w:szCs w:val="18"/>
                <w:spacing w:val="-3"/>
              </w:rPr>
              <w:t>。</w:t>
            </w:r>
          </w:p>
          <w:p>
            <w:pPr>
              <w:pStyle w:val="TableText"/>
              <w:ind w:left="122"/>
              <w:spacing w:line="198" w:lineRule="auto"/>
              <w:rPr>
                <w:sz w:val="18"/>
                <w:szCs w:val="18"/>
              </w:rPr>
            </w:pPr>
            <w:r>
              <w:rPr>
                <w:sz w:val="18"/>
                <w:szCs w:val="18"/>
                <w:position w:val="-3"/>
              </w:rPr>
              <w:drawing>
                <wp:inline distT="0" distB="0" distL="0" distR="0">
                  <wp:extent cx="43318" cy="128564"/>
                  <wp:effectExtent l="0" t="0" r="0" b="0"/>
                  <wp:docPr id="332" name="IM 332"/>
                  <wp:cNvGraphicFramePr/>
                  <a:graphic>
                    <a:graphicData uri="http://schemas.openxmlformats.org/drawingml/2006/picture">
                      <pic:pic>
                        <pic:nvPicPr>
                          <pic:cNvPr id="332" name="IM 332"/>
                          <pic:cNvPicPr/>
                        </pic:nvPicPr>
                        <pic:blipFill>
                          <a:blip r:embed="rId158"/>
                          <a:stretch>
                            <a:fillRect/>
                          </a:stretch>
                        </pic:blipFill>
                        <pic:spPr>
                          <a:xfrm rot="0">
                            <a:off x="0" y="0"/>
                            <a:ext cx="43318" cy="128564"/>
                          </a:xfrm>
                          <a:prstGeom prst="rect">
                            <a:avLst/>
                          </a:prstGeom>
                        </pic:spPr>
                      </pic:pic>
                    </a:graphicData>
                  </a:graphic>
                </wp:inline>
              </w:drawing>
            </w:r>
            <w:r>
              <w:rPr>
                <w:sz w:val="18"/>
                <w:szCs w:val="18"/>
                <w:spacing w:val="11"/>
              </w:rPr>
              <w:t xml:space="preserve">   </w:t>
            </w:r>
            <w:r>
              <w:rPr>
                <w:sz w:val="18"/>
                <w:szCs w:val="18"/>
              </w:rPr>
              <w:t>深化电力体制改革，加快构建全国统一电力市</w:t>
            </w:r>
            <w:r>
              <w:rPr>
                <w:sz w:val="18"/>
                <w:szCs w:val="18"/>
                <w:spacing w:val="-1"/>
              </w:rPr>
              <w:t>场体系。</w:t>
            </w:r>
          </w:p>
        </w:tc>
      </w:tr>
      <w:tr>
        <w:trPr>
          <w:trHeight w:val="1076" w:hRule="atLeast"/>
        </w:trPr>
        <w:tc>
          <w:tcPr>
            <w:tcW w:w="1605" w:type="dxa"/>
            <w:vAlign w:val="top"/>
            <w:tcBorders>
              <w:right w:val="single" w:color="BFBFBF" w:sz="2" w:space="0"/>
              <w:bottom w:val="single" w:color="00B8F5" w:sz="12" w:space="0"/>
            </w:tcBorders>
          </w:tcPr>
          <w:p>
            <w:pPr>
              <w:spacing w:line="277" w:lineRule="auto"/>
              <w:rPr>
                <w:rFonts w:ascii="Arial"/>
                <w:sz w:val="21"/>
              </w:rPr>
            </w:pPr>
            <w:r/>
          </w:p>
          <w:p>
            <w:pPr>
              <w:pStyle w:val="TableText"/>
              <w:ind w:left="124" w:right="46"/>
              <w:spacing w:before="77" w:line="172" w:lineRule="auto"/>
              <w:rPr>
                <w:sz w:val="18"/>
                <w:szCs w:val="18"/>
              </w:rPr>
            </w:pPr>
            <w:r>
              <w:rPr>
                <w:sz w:val="18"/>
                <w:szCs w:val="18"/>
                <w:b/>
                <w:bCs/>
                <w:color w:val="00B8F5"/>
                <w:spacing w:val="-2"/>
              </w:rPr>
              <w:t>国家发展改革委、</w:t>
            </w:r>
            <w:r>
              <w:rPr>
                <w:sz w:val="18"/>
                <w:szCs w:val="18"/>
                <w:b/>
                <w:bCs/>
                <w:color w:val="00B8F5"/>
                <w:spacing w:val="6"/>
              </w:rPr>
              <w:t xml:space="preserve"> </w:t>
            </w:r>
            <w:r>
              <w:rPr>
                <w:sz w:val="18"/>
                <w:szCs w:val="18"/>
                <w:b/>
                <w:bCs/>
                <w:color w:val="00B8F5"/>
                <w:spacing w:val="2"/>
              </w:rPr>
              <w:t>国家能源局</w:t>
            </w:r>
          </w:p>
        </w:tc>
        <w:tc>
          <w:tcPr>
            <w:tcW w:w="1134" w:type="dxa"/>
            <w:vAlign w:val="top"/>
            <w:tcBorders>
              <w:left w:val="single" w:color="BFBFBF" w:sz="2" w:space="0"/>
              <w:right w:val="single" w:color="BFBFBF" w:sz="2" w:space="0"/>
              <w:bottom w:val="single" w:color="00B8F5" w:sz="12" w:space="0"/>
            </w:tcBorders>
          </w:tcPr>
          <w:p>
            <w:pPr>
              <w:spacing w:line="400" w:lineRule="auto"/>
              <w:rPr>
                <w:rFonts w:ascii="Arial"/>
                <w:sz w:val="21"/>
              </w:rPr>
            </w:pPr>
            <w:r/>
          </w:p>
          <w:p>
            <w:pPr>
              <w:pStyle w:val="TableText"/>
              <w:ind w:left="113"/>
              <w:spacing w:before="77" w:line="172" w:lineRule="auto"/>
              <w:rPr>
                <w:sz w:val="18"/>
                <w:szCs w:val="18"/>
              </w:rPr>
            </w:pPr>
            <w:r>
              <w:rPr>
                <w:sz w:val="18"/>
                <w:szCs w:val="18"/>
                <w:spacing w:val="-4"/>
              </w:rPr>
              <w:t>2021.07</w:t>
            </w:r>
          </w:p>
        </w:tc>
        <w:tc>
          <w:tcPr>
            <w:tcW w:w="1513" w:type="dxa"/>
            <w:vAlign w:val="top"/>
            <w:tcBorders>
              <w:left w:val="single" w:color="BFBFBF" w:sz="2" w:space="0"/>
              <w:right w:val="single" w:color="BFBFBF" w:sz="2" w:space="0"/>
              <w:bottom w:val="single" w:color="00B8F5" w:sz="12" w:space="0"/>
            </w:tcBorders>
          </w:tcPr>
          <w:p>
            <w:pPr>
              <w:pStyle w:val="TableText"/>
              <w:ind w:left="112" w:right="125"/>
              <w:spacing w:before="244" w:line="172" w:lineRule="auto"/>
              <w:jc w:val="both"/>
              <w:rPr>
                <w:sz w:val="18"/>
                <w:szCs w:val="18"/>
              </w:rPr>
            </w:pPr>
            <w:r>
              <w:rPr>
                <w:sz w:val="18"/>
                <w:szCs w:val="18"/>
                <w:spacing w:val="-1"/>
              </w:rPr>
              <w:t>《关于加快推动</w:t>
            </w:r>
            <w:r>
              <w:rPr>
                <w:sz w:val="18"/>
                <w:szCs w:val="18"/>
                <w:spacing w:val="5"/>
              </w:rPr>
              <w:t xml:space="preserve"> </w:t>
            </w:r>
            <w:r>
              <w:rPr>
                <w:sz w:val="18"/>
                <w:szCs w:val="18"/>
                <w:spacing w:val="1"/>
              </w:rPr>
              <w:t>新型储能发展的</w:t>
            </w:r>
            <w:r>
              <w:rPr>
                <w:sz w:val="18"/>
                <w:szCs w:val="18"/>
                <w:spacing w:val="2"/>
              </w:rPr>
              <w:t xml:space="preserve"> </w:t>
            </w:r>
            <w:r>
              <w:rPr>
                <w:sz w:val="18"/>
                <w:szCs w:val="18"/>
                <w:spacing w:val="-1"/>
              </w:rPr>
              <w:t>指导意见》</w:t>
            </w:r>
          </w:p>
        </w:tc>
        <w:tc>
          <w:tcPr>
            <w:tcW w:w="5386" w:type="dxa"/>
            <w:vAlign w:val="top"/>
            <w:tcBorders>
              <w:left w:val="single" w:color="BFBFBF" w:sz="2" w:space="0"/>
              <w:bottom w:val="single" w:color="00B8F5" w:sz="12" w:space="0"/>
            </w:tcBorders>
          </w:tcPr>
          <w:p>
            <w:pPr>
              <w:pStyle w:val="TableText"/>
              <w:ind w:left="381" w:right="302" w:hanging="260"/>
              <w:spacing w:before="130" w:line="168" w:lineRule="auto"/>
              <w:rPr>
                <w:sz w:val="18"/>
                <w:szCs w:val="18"/>
              </w:rPr>
            </w:pPr>
            <w:r>
              <w:rPr>
                <w:sz w:val="18"/>
                <w:szCs w:val="18"/>
                <w:position w:val="-3"/>
              </w:rPr>
              <w:drawing>
                <wp:inline distT="0" distB="0" distL="0" distR="0">
                  <wp:extent cx="43318" cy="128564"/>
                  <wp:effectExtent l="0" t="0" r="0" b="0"/>
                  <wp:docPr id="334" name="IM 334"/>
                  <wp:cNvGraphicFramePr/>
                  <a:graphic>
                    <a:graphicData uri="http://schemas.openxmlformats.org/drawingml/2006/picture">
                      <pic:pic>
                        <pic:nvPicPr>
                          <pic:cNvPr id="334" name="IM 334"/>
                          <pic:cNvPicPr/>
                        </pic:nvPicPr>
                        <pic:blipFill>
                          <a:blip r:embed="rId159"/>
                          <a:stretch>
                            <a:fillRect/>
                          </a:stretch>
                        </pic:blipFill>
                        <pic:spPr>
                          <a:xfrm rot="0">
                            <a:off x="0" y="0"/>
                            <a:ext cx="43318" cy="128564"/>
                          </a:xfrm>
                          <a:prstGeom prst="rect">
                            <a:avLst/>
                          </a:prstGeom>
                        </pic:spPr>
                      </pic:pic>
                    </a:graphicData>
                  </a:graphic>
                </wp:inline>
              </w:drawing>
            </w:r>
            <w:r>
              <w:rPr>
                <w:sz w:val="18"/>
                <w:szCs w:val="18"/>
                <w:spacing w:val="14"/>
                <w:w w:val="101"/>
              </w:rPr>
              <w:t xml:space="preserve">   </w:t>
            </w:r>
            <w:r>
              <w:rPr>
                <w:sz w:val="18"/>
                <w:szCs w:val="18"/>
                <w:spacing w:val="-2"/>
              </w:rPr>
              <w:t>到2025年，实现新型储能从商业化初期向规模化发展转变，</w:t>
            </w:r>
            <w:r>
              <w:rPr>
                <w:sz w:val="18"/>
                <w:szCs w:val="18"/>
              </w:rPr>
              <w:t xml:space="preserve"> </w:t>
            </w:r>
            <w:r>
              <w:rPr>
                <w:sz w:val="18"/>
                <w:szCs w:val="18"/>
                <w:spacing w:val="-5"/>
              </w:rPr>
              <w:t>装机规模达30GW以上。</w:t>
            </w:r>
          </w:p>
          <w:p>
            <w:pPr>
              <w:pStyle w:val="TableText"/>
              <w:ind w:left="121"/>
              <w:spacing w:before="1" w:line="167" w:lineRule="auto"/>
              <w:rPr>
                <w:sz w:val="18"/>
                <w:szCs w:val="18"/>
              </w:rPr>
            </w:pPr>
            <w:r>
              <w:rPr>
                <w:sz w:val="18"/>
                <w:szCs w:val="18"/>
                <w:position w:val="-3"/>
              </w:rPr>
              <w:drawing>
                <wp:inline distT="0" distB="0" distL="0" distR="0">
                  <wp:extent cx="43318" cy="128564"/>
                  <wp:effectExtent l="0" t="0" r="0" b="0"/>
                  <wp:docPr id="336" name="IM 336"/>
                  <wp:cNvGraphicFramePr/>
                  <a:graphic>
                    <a:graphicData uri="http://schemas.openxmlformats.org/drawingml/2006/picture">
                      <pic:pic>
                        <pic:nvPicPr>
                          <pic:cNvPr id="336" name="IM 336"/>
                          <pic:cNvPicPr/>
                        </pic:nvPicPr>
                        <pic:blipFill>
                          <a:blip r:embed="rId160"/>
                          <a:stretch>
                            <a:fillRect/>
                          </a:stretch>
                        </pic:blipFill>
                        <pic:spPr>
                          <a:xfrm rot="0">
                            <a:off x="0" y="0"/>
                            <a:ext cx="43318" cy="128564"/>
                          </a:xfrm>
                          <a:prstGeom prst="rect">
                            <a:avLst/>
                          </a:prstGeom>
                        </pic:spPr>
                      </pic:pic>
                    </a:graphicData>
                  </a:graphic>
                </wp:inline>
              </w:drawing>
            </w:r>
            <w:r>
              <w:rPr>
                <w:sz w:val="18"/>
                <w:szCs w:val="18"/>
                <w:spacing w:val="13"/>
                <w:w w:val="101"/>
              </w:rPr>
              <w:t xml:space="preserve">   </w:t>
            </w:r>
            <w:r>
              <w:rPr>
                <w:sz w:val="18"/>
                <w:szCs w:val="18"/>
                <w:spacing w:val="-1"/>
              </w:rPr>
              <w:t>到2030年，实现新型储能全面市场化发展。</w:t>
            </w:r>
          </w:p>
          <w:p>
            <w:pPr>
              <w:pStyle w:val="TableText"/>
              <w:ind w:left="121"/>
              <w:spacing w:line="198" w:lineRule="auto"/>
              <w:rPr>
                <w:sz w:val="18"/>
                <w:szCs w:val="18"/>
              </w:rPr>
            </w:pPr>
            <w:r>
              <w:rPr>
                <w:sz w:val="18"/>
                <w:szCs w:val="18"/>
                <w:position w:val="-3"/>
              </w:rPr>
              <w:drawing>
                <wp:inline distT="0" distB="0" distL="0" distR="0">
                  <wp:extent cx="43318" cy="128564"/>
                  <wp:effectExtent l="0" t="0" r="0" b="0"/>
                  <wp:docPr id="338" name="IM 338"/>
                  <wp:cNvGraphicFramePr/>
                  <a:graphic>
                    <a:graphicData uri="http://schemas.openxmlformats.org/drawingml/2006/picture">
                      <pic:pic>
                        <pic:nvPicPr>
                          <pic:cNvPr id="338" name="IM 338"/>
                          <pic:cNvPicPr/>
                        </pic:nvPicPr>
                        <pic:blipFill>
                          <a:blip r:embed="rId161"/>
                          <a:stretch>
                            <a:fillRect/>
                          </a:stretch>
                        </pic:blipFill>
                        <pic:spPr>
                          <a:xfrm rot="0">
                            <a:off x="0" y="0"/>
                            <a:ext cx="43318" cy="128564"/>
                          </a:xfrm>
                          <a:prstGeom prst="rect">
                            <a:avLst/>
                          </a:prstGeom>
                        </pic:spPr>
                      </pic:pic>
                    </a:graphicData>
                  </a:graphic>
                </wp:inline>
              </w:drawing>
            </w:r>
            <w:r>
              <w:rPr>
                <w:sz w:val="18"/>
                <w:szCs w:val="18"/>
                <w:spacing w:val="14"/>
                <w:w w:val="101"/>
              </w:rPr>
              <w:t xml:space="preserve">   </w:t>
            </w:r>
            <w:r>
              <w:rPr>
                <w:sz w:val="18"/>
                <w:szCs w:val="18"/>
              </w:rPr>
              <w:t>强化规划引导，鼓励储能多元发展等。</w:t>
            </w:r>
          </w:p>
        </w:tc>
      </w:tr>
    </w:tbl>
    <w:p>
      <w:pPr>
        <w:ind w:left="345"/>
        <w:spacing w:before="208" w:line="186"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7"/>
        </w:rPr>
        <w:t>资料来源：公开资料，毕马威分析</w:t>
      </w:r>
    </w:p>
    <w:p>
      <w:pPr>
        <w:pStyle w:val="BodyText"/>
        <w:spacing w:line="295" w:lineRule="auto"/>
        <w:rPr/>
      </w:pPr>
      <w:r/>
    </w:p>
    <w:p>
      <w:pPr>
        <w:pStyle w:val="BodyText"/>
        <w:spacing w:line="295" w:lineRule="auto"/>
        <w:rPr/>
      </w:pPr>
      <w:r/>
    </w:p>
    <w:p>
      <w:pPr>
        <w:pStyle w:val="BodyText"/>
        <w:spacing w:line="295" w:lineRule="auto"/>
        <w:rPr/>
      </w:pPr>
      <w:r>
        <w:pict>
          <v:shape id="_x0000_s556" style="position:absolute;margin-left:17.0187pt;margin-top:6.77997pt;mso-position-vertical-relative:text;mso-position-horizontal-relative:text;width:81.3pt;height:0.5pt;z-index:252038144;" filled="false" strokecolor="#000000" strokeweight="0.50pt" coordsize="1626,10" coordorigin="0,0" path="m0,5l1625,5e">
            <v:stroke joinstyle="miter"/>
          </v:shape>
        </w:pict>
      </w:r>
      <w:r/>
    </w:p>
    <w:p>
      <w:pPr>
        <w:ind w:left="345"/>
        <w:spacing w:before="57" w:line="185"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7"/>
          <w:position w:val="4"/>
        </w:rPr>
        <w:t>17</w:t>
      </w:r>
      <w:r>
        <w:rPr>
          <w:rFonts w:ascii="Microsoft YaHei" w:hAnsi="Microsoft YaHei" w:eastAsia="Microsoft YaHei" w:cs="Microsoft YaHei"/>
          <w:sz w:val="9"/>
          <w:szCs w:val="9"/>
          <w:spacing w:val="25"/>
          <w:w w:val="102"/>
          <w:position w:val="4"/>
        </w:rPr>
        <w:t xml:space="preserve"> </w:t>
      </w:r>
      <w:r>
        <w:rPr>
          <w:rFonts w:ascii="Microsoft YaHei" w:hAnsi="Microsoft YaHei" w:eastAsia="Microsoft YaHei" w:cs="Microsoft YaHei"/>
          <w:sz w:val="13"/>
          <w:szCs w:val="13"/>
          <w:spacing w:val="7"/>
        </w:rPr>
        <w:t>装机容量目标在之后政策文件中较少被提及</w:t>
      </w:r>
    </w:p>
    <w:p>
      <w:pPr>
        <w:ind w:left="840" w:right="1241" w:hanging="411"/>
        <w:spacing w:before="222"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965" w:header="0" w:footer="0" w:gutter="0"/>
        </w:sectPr>
        <w:rPr>
          <w:rFonts w:ascii="Microsoft YaHei" w:hAnsi="Microsoft YaHei" w:eastAsia="Microsoft YaHei" w:cs="Microsoft YaHei"/>
          <w:sz w:val="11"/>
          <w:szCs w:val="11"/>
        </w:rPr>
      </w:pPr>
    </w:p>
    <w:p>
      <w:pPr>
        <w:ind w:left="8975"/>
        <w:spacing w:before="314" w:line="193" w:lineRule="auto"/>
        <w:rPr>
          <w:rFonts w:ascii="Microsoft YaHei" w:hAnsi="Microsoft YaHei" w:eastAsia="Microsoft YaHei" w:cs="Microsoft YaHei"/>
          <w:sz w:val="18"/>
          <w:szCs w:val="18"/>
        </w:rPr>
      </w:pPr>
      <w:r>
        <mc:AlternateContent xmlns:mc="http://schemas.openxmlformats.org/markup-compatibility/2006">
          <mc:Choice Requires="wps">
            <w:drawing>
              <wp:anchor distT="0" distB="0" distL="0" distR="0" simplePos="0" relativeHeight="252075008" behindDoc="1" locked="0" layoutInCell="0" allowOverlap="1">
                <wp:simplePos x="0" y="0"/>
                <wp:positionH relativeFrom="page">
                  <wp:posOffset>7772272</wp:posOffset>
                </wp:positionH>
                <wp:positionV relativeFrom="page">
                  <wp:posOffset>0</wp:posOffset>
                </wp:positionV>
                <wp:extent cx="3175" cy="10909300"/>
                <wp:effectExtent l="0" t="0" r="0" b="0"/>
                <wp:wrapNone/>
                <wp:docPr id="340" name="Rect 340"/>
                <wp:cNvGraphicFramePr/>
                <a:graphic>
                  <a:graphicData uri="http://schemas.microsoft.com/office/word/2010/wordprocessingShape">
                    <wps:wsp>
                      <wps:cNvPr id="340" name="Rect 340"/>
                      <wps:cNvSpPr/>
                      <wps:spPr>
                        <a:xfrm>
                          <a:off x="7772272" y="0"/>
                          <a:ext cx="3175" cy="109093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558" style="position:absolute;margin-left:611.99pt;margin-top:0pt;mso-position-vertical-relative:page;mso-position-horizontal-relative:page;width:0.25pt;height:859pt;z-index:-251241472;" o:allowincell="f" fillcolor="#000000" filled="true" stroked="false"/>
            </w:pict>
          </mc:Fallback>
        </mc:AlternateContent>
      </w:r>
      <w:r>
        <w:pict>
          <v:shape id="_x0000_s560" style="position:absolute;margin-left:447.783pt;margin-top:14.7293pt;mso-position-vertical-relative:text;mso-position-horizontal-relative:text;width:100.45pt;height:14.4pt;z-index:-251239424;" filled="false" stroked="false" type="#_x0000_t202">
            <v:fill on="false"/>
            <v:stroke on="false"/>
            <v:path/>
            <v:imagedata o:title=""/>
            <o:lock v:ext="edit" aspectratio="false"/>
            <v:textbox inset="0mm,0mm,0mm,0mm">
              <w:txbxContent>
                <w:p>
                  <w:pPr>
                    <w:ind w:left="20"/>
                    <w:spacing w:before="19" w:line="193" w:lineRule="auto"/>
                    <w:outlineLvl w:val="0"/>
                    <w:rPr>
                      <w:sz w:val="18"/>
                      <w:szCs w:val="18"/>
                    </w:rPr>
                  </w:pPr>
                  <w:r>
                    <w:rPr>
                      <w:rFonts w:ascii="Microsoft YaHei" w:hAnsi="Microsoft YaHei" w:eastAsia="Microsoft YaHei" w:cs="Microsoft YaHei"/>
                      <w:sz w:val="18"/>
                      <w:szCs w:val="18"/>
                      <w:color w:val="A8A8A8"/>
                      <w:spacing w:val="1"/>
                    </w:rPr>
                    <w:t>新型储能助力能源转型</w:t>
                  </w:r>
                  <w:r>
                    <w:rPr>
                      <w:rFonts w:ascii="Microsoft YaHei" w:hAnsi="Microsoft YaHei" w:eastAsia="Microsoft YaHei" w:cs="Microsoft YaHei"/>
                      <w:sz w:val="18"/>
                      <w:szCs w:val="18"/>
                      <w:color w:val="A8A8A8"/>
                      <w:spacing w:val="20"/>
                    </w:rPr>
                    <w:t xml:space="preserve">  </w:t>
                  </w:r>
                  <w:r>
                    <w:rPr>
                      <w:sz w:val="18"/>
                      <w:szCs w:val="18"/>
                      <w:position w:val="-4"/>
                    </w:rPr>
                    <w:drawing>
                      <wp:inline distT="0" distB="0" distL="0" distR="0">
                        <wp:extent cx="6350" cy="130175"/>
                        <wp:effectExtent l="0" t="0" r="0" b="0"/>
                        <wp:docPr id="342" name="IM 342"/>
                        <wp:cNvGraphicFramePr/>
                        <a:graphic>
                          <a:graphicData uri="http://schemas.openxmlformats.org/drawingml/2006/picture">
                            <pic:pic>
                              <pic:nvPicPr>
                                <pic:cNvPr id="342" name="IM 342"/>
                                <pic:cNvPicPr/>
                              </pic:nvPicPr>
                              <pic:blipFill>
                                <a:blip r:embed="rId162"/>
                                <a:stretch>
                                  <a:fillRect/>
                                </a:stretch>
                              </pic:blipFill>
                              <pic:spPr>
                                <a:xfrm rot="0">
                                  <a:off x="0" y="0"/>
                                  <a:ext cx="6350" cy="130175"/>
                                </a:xfrm>
                                <a:prstGeom prst="rect">
                                  <a:avLst/>
                                </a:prstGeom>
                              </pic:spPr>
                            </pic:pic>
                          </a:graphicData>
                        </a:graphic>
                      </wp:inline>
                    </w:drawing>
                  </w:r>
                </w:p>
              </w:txbxContent>
            </v:textbox>
          </v:shape>
        </w:pict>
      </w:r>
      <w:r>
        <w:drawing>
          <wp:anchor distT="0" distB="0" distL="0" distR="0" simplePos="0" relativeHeight="252078080" behindDoc="1" locked="0" layoutInCell="1" allowOverlap="1">
            <wp:simplePos x="0" y="0"/>
            <wp:positionH relativeFrom="column">
              <wp:posOffset>0</wp:posOffset>
            </wp:positionH>
            <wp:positionV relativeFrom="paragraph">
              <wp:posOffset>-254388</wp:posOffset>
            </wp:positionV>
            <wp:extent cx="7775447" cy="10908791"/>
            <wp:effectExtent l="0" t="0" r="0" b="0"/>
            <wp:wrapNone/>
            <wp:docPr id="344" name="IM 344"/>
            <wp:cNvGraphicFramePr/>
            <a:graphic>
              <a:graphicData uri="http://schemas.openxmlformats.org/drawingml/2006/picture">
                <pic:pic>
                  <pic:nvPicPr>
                    <pic:cNvPr id="344" name="IM 344"/>
                    <pic:cNvPicPr/>
                  </pic:nvPicPr>
                  <pic:blipFill>
                    <a:blip r:embed="rId163"/>
                    <a:stretch>
                      <a:fillRect/>
                    </a:stretch>
                  </pic:blipFill>
                  <pic:spPr>
                    <a:xfrm rot="0">
                      <a:off x="0" y="0"/>
                      <a:ext cx="7775447" cy="10908791"/>
                    </a:xfrm>
                    <a:prstGeom prst="rect">
                      <a:avLst/>
                    </a:prstGeom>
                  </pic:spPr>
                </pic:pic>
              </a:graphicData>
            </a:graphic>
          </wp:anchor>
        </w:drawing>
      </w:r>
      <w:r>
        <w:rPr>
          <w:rFonts w:ascii="Microsoft YaHei" w:hAnsi="Microsoft YaHei" w:eastAsia="Microsoft YaHei" w:cs="Microsoft YaHei"/>
          <w:sz w:val="18"/>
          <w:szCs w:val="18"/>
          <w:color w:val="575757"/>
          <w:spacing w:val="-1"/>
        </w:rPr>
        <w:t>新型储能助力能源转型</w:t>
      </w:r>
      <w:r>
        <w:rPr>
          <w:rFonts w:ascii="Microsoft YaHei" w:hAnsi="Microsoft YaHei" w:eastAsia="Microsoft YaHei" w:cs="Microsoft YaHei"/>
          <w:sz w:val="18"/>
          <w:szCs w:val="18"/>
          <w:color w:val="575757"/>
          <w:spacing w:val="25"/>
          <w:w w:val="101"/>
        </w:rPr>
        <w:t xml:space="preserve">  </w:t>
      </w:r>
      <w:r>
        <w:rPr>
          <w:sz w:val="18"/>
          <w:szCs w:val="18"/>
          <w:position w:val="-4"/>
        </w:rPr>
        <w:drawing>
          <wp:inline distT="0" distB="0" distL="0" distR="0">
            <wp:extent cx="6350" cy="130175"/>
            <wp:effectExtent l="0" t="0" r="0" b="0"/>
            <wp:docPr id="346" name="IM 346"/>
            <wp:cNvGraphicFramePr/>
            <a:graphic>
              <a:graphicData uri="http://schemas.openxmlformats.org/drawingml/2006/picture">
                <pic:pic>
                  <pic:nvPicPr>
                    <pic:cNvPr id="346" name="IM 346"/>
                    <pic:cNvPicPr/>
                  </pic:nvPicPr>
                  <pic:blipFill>
                    <a:blip r:embed="rId164"/>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575757"/>
          <w:spacing w:val="16"/>
          <w:w w:val="101"/>
        </w:rPr>
        <w:t xml:space="preserve">  </w:t>
      </w:r>
      <w:r>
        <w:rPr>
          <w:rFonts w:ascii="Microsoft YaHei" w:hAnsi="Microsoft YaHei" w:eastAsia="Microsoft YaHei" w:cs="Microsoft YaHei"/>
          <w:sz w:val="18"/>
          <w:szCs w:val="18"/>
          <w:b/>
          <w:bCs/>
          <w:color w:val="575757"/>
          <w:spacing w:val="-1"/>
        </w:rPr>
        <w:t>28</w:t>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1805" w:right="1241" w:hanging="411"/>
        <w:spacing w:before="47" w:line="172" w:lineRule="auto"/>
        <w:rPr>
          <w:rFonts w:ascii="Microsoft YaHei" w:hAnsi="Microsoft YaHei" w:eastAsia="Microsoft YaHei" w:cs="Microsoft YaHei"/>
          <w:sz w:val="11"/>
          <w:szCs w:val="11"/>
        </w:rPr>
      </w:pPr>
      <w:r>
        <w:pict>
          <v:shape id="_x0000_s562" style="position:absolute;margin-left:68.7411pt;margin-top:1.38751pt;mso-position-vertical-relative:text;mso-position-horizontal-relative:text;width:482.45pt;height:15.6pt;z-index:-251240448;" filled="false" stroked="false" type="#_x0000_t202">
            <v:fill on="false"/>
            <v:stroke on="false"/>
            <v:path/>
            <v:imagedata o:title=""/>
            <o:lock v:ext="edit" aspectratio="false"/>
            <v:textbox inset="0mm,0mm,0mm,0mm">
              <w:txbxContent>
                <w:p>
                  <w:pPr>
                    <w:ind w:left="430" w:right="20" w:hanging="411"/>
                    <w:spacing w:before="20"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毕马威华振会计师事务所(特殊普通合伙)    中国合伙制会计师事务所</w:t>
                  </w:r>
                  <w:r>
                    <w:rPr>
                      <w:rFonts w:ascii="Microsoft YaHei" w:hAnsi="Microsoft YaHei" w:eastAsia="Microsoft YaHei" w:cs="Microsoft YaHei"/>
                      <w:sz w:val="11"/>
                      <w:szCs w:val="11"/>
                      <w:color w:val="BFBFBF"/>
                      <w:spacing w:val="-1"/>
                    </w:rPr>
                    <w:t>，毕马威企业咨询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9"/>
                    </w:rPr>
                    <w:t xml:space="preserve"> </w:t>
                  </w:r>
                  <w:r>
                    <w:rPr>
                      <w:rFonts w:ascii="Microsoft YaHei" w:hAnsi="Microsoft YaHei" w:eastAsia="Microsoft YaHei" w:cs="Microsoft YaHei"/>
                      <w:sz w:val="11"/>
                      <w:szCs w:val="11"/>
                      <w:color w:val="BFBFBF"/>
                      <w:spacing w:val="-1"/>
                    </w:rPr>
                    <w:t>— 澳门特别行政区合伙制事务所，及毕马威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txbxContent>
            </v:textbox>
          </v:shape>
        </w:pict>
      </w:r>
      <w:r>
        <w:rPr>
          <w:rFonts w:ascii="Microsoft YaHei" w:hAnsi="Microsoft YaHei" w:eastAsia="Microsoft YaHei" w:cs="Microsoft YaHei"/>
          <w:sz w:val="11"/>
          <w:szCs w:val="11"/>
          <w:color w:val="575757"/>
          <w:spacing w:val="-1"/>
        </w:rPr>
        <w:t>© 2023</w:t>
      </w:r>
      <w:r>
        <w:rPr>
          <w:rFonts w:ascii="Microsoft YaHei" w:hAnsi="Microsoft YaHei" w:eastAsia="Microsoft YaHei" w:cs="Microsoft YaHei"/>
          <w:sz w:val="11"/>
          <w:szCs w:val="11"/>
          <w:color w:val="575757"/>
          <w:spacing w:val="-6"/>
        </w:rPr>
        <w:t xml:space="preserve"> </w:t>
      </w:r>
      <w:r>
        <w:rPr>
          <w:rFonts w:ascii="Microsoft YaHei" w:hAnsi="Microsoft YaHei" w:eastAsia="Microsoft YaHei" w:cs="Microsoft YaHei"/>
          <w:sz w:val="11"/>
          <w:szCs w:val="11"/>
          <w:color w:val="575757"/>
          <w:spacing w:val="-1"/>
        </w:rPr>
        <w:t>毕马威华振会计师事务所(特殊普通合伙)</w:t>
      </w:r>
      <w:r>
        <w:rPr>
          <w:rFonts w:ascii="Microsoft YaHei" w:hAnsi="Microsoft YaHei" w:eastAsia="Microsoft YaHei" w:cs="Microsoft YaHei"/>
          <w:sz w:val="11"/>
          <w:szCs w:val="11"/>
          <w:color w:val="575757"/>
          <w:spacing w:val="-12"/>
        </w:rPr>
        <w:t xml:space="preserve"> </w:t>
      </w:r>
      <w:r>
        <w:rPr>
          <w:rFonts w:ascii="Microsoft YaHei" w:hAnsi="Microsoft YaHei" w:eastAsia="Microsoft YaHei" w:cs="Microsoft YaHei"/>
          <w:sz w:val="11"/>
          <w:szCs w:val="11"/>
          <w:color w:val="575757"/>
          <w:spacing w:val="-1"/>
        </w:rPr>
        <w:t>— 中国合伙制会计师事务所，毕马威企业咨询</w:t>
      </w:r>
      <w:r>
        <w:rPr>
          <w:rFonts w:ascii="Microsoft YaHei" w:hAnsi="Microsoft YaHei" w:eastAsia="Microsoft YaHei" w:cs="Microsoft YaHei"/>
          <w:sz w:val="11"/>
          <w:szCs w:val="11"/>
          <w:color w:val="575757"/>
          <w:spacing w:val="-8"/>
        </w:rPr>
        <w:t xml:space="preserve"> </w:t>
      </w:r>
      <w:r>
        <w:rPr>
          <w:rFonts w:ascii="Microsoft YaHei" w:hAnsi="Microsoft YaHei" w:eastAsia="Microsoft YaHei" w:cs="Microsoft YaHei"/>
          <w:sz w:val="11"/>
          <w:szCs w:val="11"/>
          <w:color w:val="575757"/>
          <w:spacing w:val="-1"/>
        </w:rPr>
        <w:t>(中国)有限公司 — 中国有限责任公司，毕马威会计师事务所</w:t>
      </w:r>
      <w:r>
        <w:rPr>
          <w:rFonts w:ascii="Microsoft YaHei" w:hAnsi="Microsoft YaHei" w:eastAsia="Microsoft YaHei" w:cs="Microsoft YaHei"/>
          <w:sz w:val="11"/>
          <w:szCs w:val="11"/>
          <w:color w:val="575757"/>
          <w:spacing w:val="-8"/>
        </w:rPr>
        <w:t xml:space="preserve"> </w:t>
      </w:r>
      <w:r>
        <w:rPr>
          <w:rFonts w:ascii="Microsoft YaHei" w:hAnsi="Microsoft YaHei" w:eastAsia="Microsoft YaHei" w:cs="Microsoft YaHei"/>
          <w:sz w:val="11"/>
          <w:szCs w:val="11"/>
          <w:color w:val="575757"/>
          <w:spacing w:val="-1"/>
        </w:rPr>
        <w:t>— 澳门特别行政区合伙制事务所，</w:t>
      </w:r>
      <w:r>
        <w:rPr>
          <w:rFonts w:ascii="Microsoft YaHei" w:hAnsi="Microsoft YaHei" w:eastAsia="Microsoft YaHei" w:cs="Microsoft YaHei"/>
          <w:sz w:val="11"/>
          <w:szCs w:val="11"/>
          <w:color w:val="575757"/>
          <w:spacing w:val="-2"/>
        </w:rPr>
        <w:t>及毕马威</w:t>
      </w:r>
      <w:r>
        <w:rPr>
          <w:rFonts w:ascii="Microsoft YaHei" w:hAnsi="Microsoft YaHei" w:eastAsia="Microsoft YaHei" w:cs="Microsoft YaHei"/>
          <w:sz w:val="11"/>
          <w:szCs w:val="11"/>
          <w:color w:val="575757"/>
        </w:rPr>
        <w:t xml:space="preserve"> </w:t>
      </w:r>
      <w:r>
        <w:rPr>
          <w:rFonts w:ascii="Microsoft YaHei" w:hAnsi="Microsoft YaHei" w:eastAsia="Microsoft YaHei" w:cs="Microsoft YaHei"/>
          <w:sz w:val="11"/>
          <w:szCs w:val="11"/>
          <w:color w:val="575757"/>
        </w:rPr>
        <w:t>会计师事务所 —</w:t>
      </w:r>
      <w:r>
        <w:rPr>
          <w:rFonts w:ascii="Microsoft YaHei" w:hAnsi="Microsoft YaHei" w:eastAsia="Microsoft YaHei" w:cs="Microsoft YaHei"/>
          <w:sz w:val="11"/>
          <w:szCs w:val="11"/>
          <w:color w:val="575757"/>
          <w:spacing w:val="-6"/>
        </w:rPr>
        <w:t xml:space="preserve"> </w:t>
      </w:r>
      <w:r>
        <w:rPr>
          <w:rFonts w:ascii="Microsoft YaHei" w:hAnsi="Microsoft YaHei" w:eastAsia="Microsoft YaHei" w:cs="Microsoft YaHei"/>
          <w:sz w:val="11"/>
          <w:szCs w:val="11"/>
          <w:color w:val="575757"/>
        </w:rPr>
        <w:t>香港特别行政区合伙制事务所，</w:t>
      </w:r>
      <w:r>
        <w:rPr>
          <w:rFonts w:ascii="Microsoft YaHei" w:hAnsi="Microsoft YaHei" w:eastAsia="Microsoft YaHei" w:cs="Microsoft YaHei"/>
          <w:sz w:val="11"/>
          <w:szCs w:val="11"/>
          <w:color w:val="575757"/>
          <w:spacing w:val="-1"/>
        </w:rPr>
        <w:t>均是与英国私营担保有限公司</w:t>
      </w:r>
      <w:r>
        <w:rPr>
          <w:rFonts w:ascii="Microsoft YaHei" w:hAnsi="Microsoft YaHei" w:eastAsia="Microsoft YaHei" w:cs="Microsoft YaHei"/>
          <w:sz w:val="11"/>
          <w:szCs w:val="11"/>
          <w:color w:val="575757"/>
          <w:spacing w:val="-13"/>
        </w:rPr>
        <w:t xml:space="preserve"> </w:t>
      </w:r>
      <w:r>
        <w:rPr>
          <w:rFonts w:ascii="Microsoft YaHei" w:hAnsi="Microsoft YaHei" w:eastAsia="Microsoft YaHei" w:cs="Microsoft YaHei"/>
          <w:sz w:val="11"/>
          <w:szCs w:val="11"/>
          <w:color w:val="575757"/>
          <w:spacing w:val="-1"/>
        </w:rPr>
        <w:t>— 毕马威国际有限公司相关联的独立成员所全球性组织中的成员。版权所有，不得转载。在中国印刷。</w:t>
      </w:r>
    </w:p>
    <w:p>
      <w:pPr>
        <w:spacing w:line="172" w:lineRule="auto"/>
        <w:sectPr>
          <w:pgSz w:w="12245" w:h="17180"/>
          <w:pgMar w:top="400" w:right="0" w:bottom="0" w:left="0" w:header="0" w:footer="0" w:gutter="0"/>
        </w:sectPr>
        <w:rPr>
          <w:rFonts w:ascii="Microsoft YaHei" w:hAnsi="Microsoft YaHei" w:eastAsia="Microsoft YaHei" w:cs="Microsoft YaHei"/>
          <w:sz w:val="11"/>
          <w:szCs w:val="11"/>
        </w:rPr>
      </w:pPr>
    </w:p>
    <w:p>
      <w:pPr>
        <w:spacing w:before="314" w:line="193" w:lineRule="auto"/>
        <w:outlineLvl w:val="0"/>
        <w:rPr>
          <w:rFonts w:ascii="Microsoft YaHei" w:hAnsi="Microsoft YaHei" w:eastAsia="Microsoft YaHei" w:cs="Microsoft YaHei"/>
          <w:sz w:val="18"/>
          <w:szCs w:val="18"/>
        </w:rPr>
      </w:pPr>
      <w:r>
        <w:pict>
          <v:rect id="_x0000_s564" style="position:absolute;margin-left:611.99pt;margin-top:0pt;mso-position-vertical-relative:page;mso-position-horizontal-relative:page;width:0.25pt;height:859pt;z-index:252116992;" o:allowincell="f" fillcolor="#000000" filled="true" stroked="false"/>
        </w:pict>
      </w:r>
      <w:r>
        <w:rPr>
          <w:rFonts w:ascii="Microsoft YaHei" w:hAnsi="Microsoft YaHei" w:eastAsia="Microsoft YaHei" w:cs="Microsoft YaHei"/>
          <w:sz w:val="18"/>
          <w:szCs w:val="18"/>
          <w:b/>
          <w:bCs/>
          <w:color w:val="A8A8A8"/>
          <w:spacing w:val="-1"/>
        </w:rPr>
        <w:t>29</w:t>
      </w:r>
      <w:r>
        <w:rPr>
          <w:rFonts w:ascii="Microsoft YaHei" w:hAnsi="Microsoft YaHei" w:eastAsia="Microsoft YaHei" w:cs="Microsoft YaHei"/>
          <w:sz w:val="18"/>
          <w:szCs w:val="18"/>
          <w:b/>
          <w:bCs/>
          <w:color w:val="A8A8A8"/>
          <w:spacing w:val="14"/>
        </w:rPr>
        <w:t xml:space="preserve">  </w:t>
      </w:r>
      <w:r>
        <w:rPr>
          <w:sz w:val="18"/>
          <w:szCs w:val="18"/>
          <w:position w:val="-4"/>
        </w:rPr>
        <w:drawing>
          <wp:inline distT="0" distB="0" distL="0" distR="0">
            <wp:extent cx="6350" cy="130175"/>
            <wp:effectExtent l="0" t="0" r="0" b="0"/>
            <wp:docPr id="348" name="IM 348"/>
            <wp:cNvGraphicFramePr/>
            <a:graphic>
              <a:graphicData uri="http://schemas.openxmlformats.org/drawingml/2006/picture">
                <pic:pic>
                  <pic:nvPicPr>
                    <pic:cNvPr id="348" name="IM 348"/>
                    <pic:cNvPicPr/>
                  </pic:nvPicPr>
                  <pic:blipFill>
                    <a:blip r:embed="rId165"/>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A8A8A8"/>
          <w:spacing w:val="26"/>
        </w:rPr>
        <w:t xml:space="preserve">  </w:t>
      </w:r>
      <w:r>
        <w:rPr>
          <w:rFonts w:ascii="Microsoft YaHei" w:hAnsi="Microsoft YaHei" w:eastAsia="Microsoft YaHei" w:cs="Microsoft YaHei"/>
          <w:sz w:val="18"/>
          <w:szCs w:val="18"/>
          <w:color w:val="A8A8A8"/>
          <w:spacing w:val="-1"/>
        </w:rPr>
        <w:t>新型储能助力能源转型</w:t>
      </w:r>
    </w:p>
    <w:p>
      <w:pPr>
        <w:pStyle w:val="BodyText"/>
        <w:spacing w:line="259" w:lineRule="auto"/>
        <w:rPr/>
      </w:pPr>
      <w:r/>
    </w:p>
    <w:p>
      <w:pPr>
        <w:pStyle w:val="BodyText"/>
        <w:spacing w:line="259" w:lineRule="auto"/>
        <w:rPr/>
      </w:pPr>
      <w:r/>
    </w:p>
    <w:p>
      <w:pPr>
        <w:pStyle w:val="BodyText"/>
        <w:spacing w:line="260" w:lineRule="auto"/>
        <w:rPr/>
      </w:pPr>
      <w:r/>
    </w:p>
    <w:p>
      <w:pPr>
        <w:pStyle w:val="BodyText"/>
        <w:spacing w:line="260" w:lineRule="auto"/>
        <w:rPr/>
      </w:pPr>
      <w:r/>
    </w:p>
    <w:p>
      <w:pPr>
        <w:ind w:left="344" w:right="2997" w:firstLine="2"/>
        <w:spacing w:before="90" w:line="21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现阶段</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，美、欧、澳等拥有更成熟的储能市场机制</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，共性特征在</w:t>
      </w:r>
      <w:r>
        <w:rPr>
          <w:rFonts w:ascii="Microsoft YaHei" w:hAnsi="Microsoft YaHei" w:eastAsia="Microsoft YaHei" w:cs="Microsoft YaHei"/>
          <w:sz w:val="21"/>
          <w:szCs w:val="21"/>
          <w:spacing w:val="2"/>
        </w:rPr>
        <w:t>于放开电价管制并建</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立某种竞价机制</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，让储能主体从电价波动（即充电和放电的价</w:t>
      </w:r>
      <w:r>
        <w:rPr>
          <w:rFonts w:ascii="Microsoft YaHei" w:hAnsi="Microsoft YaHei" w:eastAsia="Microsoft YaHei" w:cs="Microsoft YaHei"/>
          <w:sz w:val="21"/>
          <w:szCs w:val="21"/>
          <w:spacing w:val="1"/>
        </w:rPr>
        <w:t>差）</w:t>
      </w:r>
      <w:r>
        <w:rPr>
          <w:rFonts w:ascii="Microsoft YaHei" w:hAnsi="Microsoft YaHei" w:eastAsia="Microsoft YaHei" w:cs="Microsoft YaHei"/>
          <w:sz w:val="21"/>
          <w:szCs w:val="21"/>
          <w:spacing w:val="-27"/>
        </w:rPr>
        <w:t xml:space="preserve"> </w:t>
      </w:r>
      <w:r>
        <w:rPr>
          <w:rFonts w:ascii="Microsoft YaHei" w:hAnsi="Microsoft YaHei" w:eastAsia="Microsoft YaHei" w:cs="Microsoft YaHei"/>
          <w:sz w:val="21"/>
          <w:szCs w:val="21"/>
          <w:spacing w:val="1"/>
        </w:rPr>
        <w:t>中获得商业收益</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相比之下，中国的电力市场化和新型储能参与市场方式还有优化空间（表</w:t>
      </w:r>
      <w:r>
        <w:rPr>
          <w:rFonts w:ascii="Microsoft YaHei" w:hAnsi="Microsoft YaHei" w:eastAsia="Microsoft YaHei" w:cs="Microsoft YaHei"/>
          <w:sz w:val="21"/>
          <w:szCs w:val="21"/>
          <w:spacing w:val="-12"/>
        </w:rPr>
        <w:t xml:space="preserve"> </w:t>
      </w:r>
      <w:r>
        <w:rPr>
          <w:rFonts w:ascii="Microsoft YaHei" w:hAnsi="Microsoft YaHei" w:eastAsia="Microsoft YaHei" w:cs="Microsoft YaHei"/>
          <w:sz w:val="21"/>
          <w:szCs w:val="21"/>
          <w:spacing w:val="-1"/>
        </w:rPr>
        <w:t>6） 。</w:t>
      </w:r>
    </w:p>
    <w:p>
      <w:pPr>
        <w:ind w:left="343" w:right="2827" w:firstLine="21"/>
        <w:spacing w:before="262" w:line="218" w:lineRule="auto"/>
        <w:tabs>
          <w:tab w:val="left" w:pos="8450"/>
        </w:tabs>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电力市场化方面</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33"/>
        </w:rPr>
        <w:t xml:space="preserve"> </w:t>
      </w:r>
      <w:r>
        <w:rPr>
          <w:rFonts w:ascii="Microsoft YaHei" w:hAnsi="Microsoft YaHei" w:eastAsia="Microsoft YaHei" w:cs="Microsoft YaHei"/>
          <w:sz w:val="21"/>
          <w:szCs w:val="21"/>
          <w:spacing w:val="2"/>
        </w:rPr>
        <w:t>目前国内抽水蓄能已有适</w:t>
      </w:r>
      <w:r>
        <w:rPr>
          <w:rFonts w:ascii="Microsoft YaHei" w:hAnsi="Microsoft YaHei" w:eastAsia="Microsoft YaHei" w:cs="Microsoft YaHei"/>
          <w:sz w:val="21"/>
          <w:szCs w:val="21"/>
          <w:spacing w:val="1"/>
        </w:rPr>
        <w:t>用的容量电价机制</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1"/>
        </w:rPr>
        <w:t>，但容量电价是否覆盖</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新型储能尚在讨论中</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，容量电价是一种经济激励机制</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，使机</w:t>
      </w:r>
      <w:r>
        <w:rPr>
          <w:rFonts w:ascii="Microsoft YaHei" w:hAnsi="Microsoft YaHei" w:eastAsia="Microsoft YaHei" w:cs="Microsoft YaHei"/>
          <w:sz w:val="21"/>
          <w:szCs w:val="21"/>
          <w:spacing w:val="2"/>
        </w:rPr>
        <w:t>组能够获得电力能量市场</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和辅助服务市场以外的稳定收入</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4"/>
        </w:rPr>
        <w:t>，有利于提高储</w:t>
      </w:r>
      <w:r>
        <w:rPr>
          <w:rFonts w:ascii="Microsoft YaHei" w:hAnsi="Microsoft YaHei" w:eastAsia="Microsoft YaHei" w:cs="Microsoft YaHei"/>
          <w:sz w:val="21"/>
          <w:szCs w:val="21"/>
          <w:spacing w:val="3"/>
        </w:rPr>
        <w:t>能投资回报确定性。2021年4月《国</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家发展改革委关于进一步完善抽水蓄能价格形成机制的意见》</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4"/>
        </w:rPr>
        <w:t>明确</w:t>
      </w:r>
      <w:r>
        <w:rPr>
          <w:rFonts w:ascii="Microsoft YaHei" w:hAnsi="Microsoft YaHei" w:eastAsia="Microsoft YaHei" w:cs="Microsoft YaHei"/>
          <w:sz w:val="21"/>
          <w:szCs w:val="21"/>
          <w:spacing w:val="3"/>
        </w:rPr>
        <w:t>抽水蓄能电站执行</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两部制电价</w:t>
      </w:r>
      <w:r>
        <w:rPr>
          <w:rFonts w:ascii="Microsoft YaHei" w:hAnsi="Microsoft YaHei" w:eastAsia="Microsoft YaHei" w:cs="Microsoft YaHei"/>
          <w:sz w:val="21"/>
          <w:szCs w:val="21"/>
          <w:spacing w:val="-33"/>
        </w:rPr>
        <w:t xml:space="preserve"> </w:t>
      </w:r>
      <w:r>
        <w:rPr>
          <w:rFonts w:ascii="Microsoft YaHei" w:hAnsi="Microsoft YaHei" w:eastAsia="Microsoft YaHei" w:cs="Microsoft YaHei"/>
          <w:sz w:val="21"/>
          <w:szCs w:val="21"/>
          <w:spacing w:val="2"/>
        </w:rPr>
        <w:t>，提出以竞争性方式形成电量电价</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，将容量电价纳入输配电价回收</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，浙江</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天荒坪、</w:t>
      </w:r>
      <w:r>
        <w:rPr>
          <w:rFonts w:ascii="Microsoft YaHei" w:hAnsi="Microsoft YaHei" w:eastAsia="Microsoft YaHei" w:cs="Microsoft YaHei"/>
          <w:sz w:val="21"/>
          <w:szCs w:val="21"/>
          <w:spacing w:val="-40"/>
        </w:rPr>
        <w:t xml:space="preserve"> </w:t>
      </w:r>
      <w:r>
        <w:rPr>
          <w:rFonts w:ascii="Microsoft YaHei" w:hAnsi="Microsoft YaHei" w:eastAsia="Microsoft YaHei" w:cs="Microsoft YaHei"/>
          <w:sz w:val="21"/>
          <w:szCs w:val="21"/>
          <w:spacing w:val="2"/>
        </w:rPr>
        <w:t>湖北天堂、江苏沙河抽水蓄能电站均采用了两部制电价</w:t>
      </w:r>
      <w:r>
        <w:rPr>
          <w:rFonts w:ascii="Microsoft YaHei" w:hAnsi="Microsoft YaHei" w:eastAsia="Microsoft YaHei" w:cs="Microsoft YaHei"/>
          <w:sz w:val="13"/>
          <w:szCs w:val="13"/>
          <w:spacing w:val="2"/>
          <w:position w:val="6"/>
        </w:rPr>
        <w:t>18</w:t>
      </w:r>
      <w:r>
        <w:rPr>
          <w:rFonts w:ascii="Microsoft YaHei" w:hAnsi="Microsoft YaHei" w:eastAsia="Microsoft YaHei" w:cs="Microsoft YaHei"/>
          <w:sz w:val="21"/>
          <w:szCs w:val="21"/>
          <w:spacing w:val="2"/>
        </w:rPr>
        <w:t>。尽管同</w:t>
      </w:r>
      <w:r>
        <w:rPr>
          <w:rFonts w:ascii="Microsoft YaHei" w:hAnsi="Microsoft YaHei" w:eastAsia="Microsoft YaHei" w:cs="Microsoft YaHei"/>
          <w:sz w:val="21"/>
          <w:szCs w:val="21"/>
          <w:spacing w:val="1"/>
        </w:rPr>
        <w:t>年7月《关</w:t>
      </w:r>
      <w:r>
        <w:rPr>
          <w:rFonts w:ascii="Microsoft YaHei" w:hAnsi="Microsoft YaHei" w:eastAsia="Microsoft YaHei" w:cs="Microsoft YaHei"/>
          <w:sz w:val="21"/>
          <w:szCs w:val="21"/>
        </w:rPr>
        <w:tab/>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于加快推动新型储能发展的指导意见》指出</w:t>
      </w:r>
      <w:r>
        <w:rPr>
          <w:rFonts w:ascii="Microsoft YaHei" w:hAnsi="Microsoft YaHei" w:eastAsia="Microsoft YaHei" w:cs="Microsoft YaHei"/>
          <w:sz w:val="21"/>
          <w:szCs w:val="21"/>
          <w:spacing w:val="-11"/>
        </w:rPr>
        <w:t xml:space="preserve"> </w:t>
      </w:r>
      <w:r>
        <w:rPr>
          <w:rFonts w:ascii="Microsoft YaHei" w:hAnsi="Microsoft YaHei" w:eastAsia="Microsoft YaHei" w:cs="Microsoft YaHei"/>
          <w:sz w:val="21"/>
          <w:szCs w:val="21"/>
          <w:spacing w:val="2"/>
        </w:rPr>
        <w:t>，建立电网侧独立储能电站容量电价机制，</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逐步推动储能电站参与电力市场</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4"/>
        </w:rPr>
        <w:t>，研究探索将电网</w:t>
      </w:r>
      <w:r>
        <w:rPr>
          <w:rFonts w:ascii="Microsoft YaHei" w:hAnsi="Microsoft YaHei" w:eastAsia="Microsoft YaHei" w:cs="Microsoft YaHei"/>
          <w:sz w:val="21"/>
          <w:szCs w:val="21"/>
          <w:spacing w:val="3"/>
        </w:rPr>
        <w:t>替代性储能设施成本、收益纳入输</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配电价回收。不过在2022年全国两会提案中</w:t>
      </w:r>
      <w:r>
        <w:rPr>
          <w:rFonts w:ascii="Microsoft YaHei" w:hAnsi="Microsoft YaHei" w:eastAsia="Microsoft YaHei" w:cs="Microsoft YaHei"/>
          <w:sz w:val="21"/>
          <w:szCs w:val="21"/>
          <w:spacing w:val="-33"/>
        </w:rPr>
        <w:t xml:space="preserve"> </w:t>
      </w:r>
      <w:r>
        <w:rPr>
          <w:rFonts w:ascii="Microsoft YaHei" w:hAnsi="Microsoft YaHei" w:eastAsia="Microsoft YaHei" w:cs="Microsoft YaHei"/>
          <w:sz w:val="21"/>
          <w:szCs w:val="21"/>
          <w:spacing w:val="1"/>
        </w:rPr>
        <w:t>，宁德时代董事长提到“目前新型储能无</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法（与抽水蓄能）</w:t>
      </w:r>
      <w:r>
        <w:rPr>
          <w:rFonts w:ascii="Microsoft YaHei" w:hAnsi="Microsoft YaHei" w:eastAsia="Microsoft YaHei" w:cs="Microsoft YaHei"/>
          <w:sz w:val="21"/>
          <w:szCs w:val="21"/>
          <w:spacing w:val="-30"/>
        </w:rPr>
        <w:t xml:space="preserve"> </w:t>
      </w:r>
      <w:r>
        <w:rPr>
          <w:rFonts w:ascii="Microsoft YaHei" w:hAnsi="Microsoft YaHei" w:eastAsia="Microsoft YaHei" w:cs="Microsoft YaHei"/>
          <w:sz w:val="21"/>
          <w:szCs w:val="21"/>
          <w:spacing w:val="2"/>
        </w:rPr>
        <w:t>同等享受容量电价政策</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2"/>
        </w:rPr>
        <w:t>，面临不公平竞争</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，发展速度和质量严重受</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限”</w:t>
      </w:r>
      <w:r>
        <w:rPr>
          <w:rFonts w:ascii="Microsoft YaHei" w:hAnsi="Microsoft YaHei" w:eastAsia="Microsoft YaHei" w:cs="Microsoft YaHei"/>
          <w:sz w:val="13"/>
          <w:szCs w:val="13"/>
          <w:spacing w:val="-1"/>
          <w:position w:val="6"/>
        </w:rPr>
        <w:t>19</w:t>
      </w:r>
      <w:r>
        <w:rPr>
          <w:rFonts w:ascii="Microsoft YaHei" w:hAnsi="Microsoft YaHei" w:eastAsia="Microsoft YaHei" w:cs="Microsoft YaHei"/>
          <w:sz w:val="21"/>
          <w:szCs w:val="21"/>
          <w:spacing w:val="-1"/>
        </w:rPr>
        <w:t>。此外，在中长期电力市场、</w:t>
      </w:r>
      <w:r>
        <w:rPr>
          <w:rFonts w:ascii="Microsoft YaHei" w:hAnsi="Microsoft YaHei" w:eastAsia="Microsoft YaHei" w:cs="Microsoft YaHei"/>
          <w:sz w:val="21"/>
          <w:szCs w:val="21"/>
          <w:spacing w:val="-14"/>
        </w:rPr>
        <w:t xml:space="preserve"> </w:t>
      </w:r>
      <w:r>
        <w:rPr>
          <w:rFonts w:ascii="Microsoft YaHei" w:hAnsi="Microsoft YaHei" w:eastAsia="Microsoft YaHei" w:cs="Microsoft YaHei"/>
          <w:sz w:val="21"/>
          <w:szCs w:val="21"/>
          <w:spacing w:val="-1"/>
        </w:rPr>
        <w:t>电力现货市场与辅助服务市场上，新型储能目前可</w:t>
      </w:r>
      <w:r>
        <w:rPr>
          <w:rFonts w:ascii="Microsoft YaHei" w:hAnsi="Microsoft YaHei" w:eastAsia="Microsoft YaHei" w:cs="Microsoft YaHei"/>
          <w:sz w:val="21"/>
          <w:szCs w:val="21"/>
        </w:rPr>
        <w:tab/>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参与的竞争范围和深度同样比较有限</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，新型储能只有广泛深度参与电力</w:t>
      </w:r>
      <w:r>
        <w:rPr>
          <w:rFonts w:ascii="Microsoft YaHei" w:hAnsi="Microsoft YaHei" w:eastAsia="Microsoft YaHei" w:cs="Microsoft YaHei"/>
          <w:sz w:val="21"/>
          <w:szCs w:val="21"/>
          <w:spacing w:val="2"/>
        </w:rPr>
        <w:t>市场</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2"/>
        </w:rPr>
        <w:t>，才会充</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9"/>
        </w:rPr>
        <w:t>分发挥多元化价值</w:t>
      </w:r>
      <w:r>
        <w:rPr>
          <w:rFonts w:ascii="Microsoft YaHei" w:hAnsi="Microsoft YaHei" w:eastAsia="Microsoft YaHei" w:cs="Microsoft YaHei"/>
          <w:sz w:val="21"/>
          <w:szCs w:val="21"/>
          <w:spacing w:val="-24"/>
        </w:rPr>
        <w:t xml:space="preserve"> </w:t>
      </w:r>
      <w:r>
        <w:rPr>
          <w:rFonts w:ascii="Microsoft YaHei" w:hAnsi="Microsoft YaHei" w:eastAsia="Microsoft YaHei" w:cs="Microsoft YaHei"/>
          <w:sz w:val="21"/>
          <w:szCs w:val="21"/>
          <w:spacing w:val="9"/>
        </w:rPr>
        <w:t>，</w:t>
      </w:r>
      <w:r>
        <w:rPr>
          <w:rFonts w:ascii="Microsoft YaHei" w:hAnsi="Microsoft YaHei" w:eastAsia="Microsoft YaHei" w:cs="Microsoft YaHei"/>
          <w:sz w:val="21"/>
          <w:szCs w:val="21"/>
          <w:spacing w:val="-39"/>
        </w:rPr>
        <w:t xml:space="preserve"> </w:t>
      </w:r>
      <w:r>
        <w:rPr>
          <w:rFonts w:ascii="Microsoft YaHei" w:hAnsi="Microsoft YaHei" w:eastAsia="Microsoft YaHei" w:cs="Microsoft YaHei"/>
          <w:sz w:val="21"/>
          <w:szCs w:val="21"/>
          <w:spacing w:val="9"/>
        </w:rPr>
        <w:t>因此各地还在积极探索新型储</w:t>
      </w:r>
      <w:r>
        <w:rPr>
          <w:rFonts w:ascii="Microsoft YaHei" w:hAnsi="Microsoft YaHei" w:eastAsia="Microsoft YaHei" w:cs="Microsoft YaHei"/>
          <w:sz w:val="21"/>
          <w:szCs w:val="21"/>
          <w:spacing w:val="8"/>
        </w:rPr>
        <w:t>能可参与的电力市场交易品种与</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8"/>
        </w:rPr>
        <w:t>机制。</w:t>
      </w:r>
    </w:p>
    <w:p>
      <w:pPr>
        <w:ind w:left="342" w:right="2996" w:firstLine="4"/>
        <w:spacing w:before="270" w:line="218"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新型储能参与市场方式方面</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4"/>
        </w:rPr>
        <w:t>，储能既可以提供削峰填谷、</w:t>
      </w:r>
      <w:r>
        <w:rPr>
          <w:rFonts w:ascii="Microsoft YaHei" w:hAnsi="Microsoft YaHei" w:eastAsia="Microsoft YaHei" w:cs="Microsoft YaHei"/>
          <w:sz w:val="21"/>
          <w:szCs w:val="21"/>
          <w:spacing w:val="3"/>
        </w:rPr>
        <w:t>容量资源、调频备用等市场</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化程度较高的服务</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，又可以提供延缓输电投资、增进电网稳定等尚被管制</w:t>
      </w:r>
      <w:r>
        <w:rPr>
          <w:rFonts w:ascii="Microsoft YaHei" w:hAnsi="Microsoft YaHei" w:eastAsia="Microsoft YaHei" w:cs="Microsoft YaHei"/>
          <w:sz w:val="21"/>
          <w:szCs w:val="21"/>
          <w:spacing w:val="2"/>
        </w:rPr>
        <w:t>的服务</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，收</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益体现在多个环节</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，成本却往往由单一环节（主要是发电侧）承担</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，使得其</w:t>
      </w:r>
      <w:r>
        <w:rPr>
          <w:rFonts w:ascii="Microsoft YaHei" w:hAnsi="Microsoft YaHei" w:eastAsia="Microsoft YaHei" w:cs="Microsoft YaHei"/>
          <w:sz w:val="21"/>
          <w:szCs w:val="21"/>
          <w:spacing w:val="2"/>
        </w:rPr>
        <w:t>市场定位</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模糊</w:t>
      </w:r>
      <w:r>
        <w:rPr>
          <w:rFonts w:ascii="Microsoft YaHei" w:hAnsi="Microsoft YaHei" w:eastAsia="Microsoft YaHei" w:cs="Microsoft YaHei"/>
          <w:sz w:val="21"/>
          <w:szCs w:val="21"/>
          <w:spacing w:val="-21"/>
        </w:rPr>
        <w:t xml:space="preserve"> </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spacing w:val="-38"/>
        </w:rPr>
        <w:t xml:space="preserve"> </w:t>
      </w:r>
      <w:r>
        <w:rPr>
          <w:rFonts w:ascii="Microsoft YaHei" w:hAnsi="Microsoft YaHei" w:eastAsia="Microsoft YaHei" w:cs="Microsoft YaHei"/>
          <w:sz w:val="21"/>
          <w:szCs w:val="21"/>
          <w:spacing w:val="1"/>
        </w:rPr>
        <w:t>由此造成了成本疏导不畅、社会投资意愿不强等问题</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，因此</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，明确新型储能的</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市场定位对于其市场化发展至关重要。</w:t>
      </w:r>
      <w:r>
        <w:rPr>
          <w:rFonts w:ascii="Microsoft YaHei" w:hAnsi="Microsoft YaHei" w:eastAsia="Microsoft YaHei" w:cs="Microsoft YaHei"/>
          <w:sz w:val="21"/>
          <w:szCs w:val="21"/>
          <w:spacing w:val="-1"/>
        </w:rPr>
        <w:t xml:space="preserve"> </w:t>
      </w:r>
      <w:r>
        <w:rPr>
          <w:rFonts w:ascii="Microsoft YaHei" w:hAnsi="Microsoft YaHei" w:eastAsia="Microsoft YaHei" w:cs="Microsoft YaHei"/>
          <w:sz w:val="21"/>
          <w:szCs w:val="21"/>
          <w:spacing w:val="3"/>
        </w:rPr>
        <w:t>自2021年7月《关于加快推动新型储能发展的</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指导意见》提出要明确新型储能独立市场主体地位</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，到2022年6月《关于进一步推动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新型储能参与电力市场和调度运用的通知》</w:t>
      </w:r>
      <w:r>
        <w:rPr>
          <w:rFonts w:ascii="Microsoft YaHei" w:hAnsi="Microsoft YaHei" w:eastAsia="Microsoft YaHei" w:cs="Microsoft YaHei"/>
          <w:sz w:val="21"/>
          <w:szCs w:val="21"/>
          <w:spacing w:val="-21"/>
        </w:rPr>
        <w:t xml:space="preserve"> </w:t>
      </w:r>
      <w:r>
        <w:rPr>
          <w:rFonts w:ascii="Microsoft YaHei" w:hAnsi="Microsoft YaHei" w:eastAsia="Microsoft YaHei" w:cs="Microsoft YaHei"/>
          <w:sz w:val="21"/>
          <w:szCs w:val="21"/>
          <w:spacing w:val="2"/>
        </w:rPr>
        <w:t>明确定义独立储能身份</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42"/>
        </w:rPr>
        <w:t xml:space="preserve"> </w:t>
      </w:r>
      <w:r>
        <w:rPr>
          <w:rFonts w:ascii="Microsoft YaHei" w:hAnsi="Microsoft YaHei" w:eastAsia="Microsoft YaHei" w:cs="Microsoft YaHei"/>
          <w:sz w:val="21"/>
          <w:szCs w:val="21"/>
          <w:spacing w:val="2"/>
        </w:rPr>
        <w:t>当前符合条件的</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新型储能项目在公平参与电力市场竞争方面已基本无政策障碍。后</w:t>
      </w:r>
      <w:r>
        <w:rPr>
          <w:rFonts w:ascii="Microsoft YaHei" w:hAnsi="Microsoft YaHei" w:eastAsia="Microsoft YaHei" w:cs="Microsoft YaHei"/>
          <w:sz w:val="21"/>
          <w:szCs w:val="21"/>
          <w:spacing w:val="3"/>
        </w:rPr>
        <w:t>续</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，储能这一新独</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立市场主体的加入</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4"/>
        </w:rPr>
        <w:t>，也将刺激各类电力市场在准入条件、交易机制</w:t>
      </w:r>
      <w:r>
        <w:rPr>
          <w:rFonts w:ascii="Microsoft YaHei" w:hAnsi="Microsoft YaHei" w:eastAsia="Microsoft YaHei" w:cs="Microsoft YaHei"/>
          <w:sz w:val="21"/>
          <w:szCs w:val="21"/>
          <w:spacing w:val="3"/>
        </w:rPr>
        <w:t>、技术标准等方面</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做出相应调整，调整的大方向在于“市场主导，有序发展”</w:t>
      </w:r>
      <w:r>
        <w:rPr>
          <w:rFonts w:ascii="Microsoft YaHei" w:hAnsi="Microsoft YaHei" w:eastAsia="Microsoft YaHei" w:cs="Microsoft YaHei"/>
          <w:sz w:val="13"/>
          <w:szCs w:val="13"/>
          <w:position w:val="6"/>
        </w:rPr>
        <w:t>20</w:t>
      </w:r>
      <w:r>
        <w:rPr>
          <w:rFonts w:ascii="Microsoft YaHei" w:hAnsi="Microsoft YaHei" w:eastAsia="Microsoft YaHei" w:cs="Microsoft YaHei"/>
          <w:sz w:val="21"/>
          <w:szCs w:val="21"/>
        </w:rPr>
        <w:t>，充分发挥市场在资源配</w:t>
      </w:r>
      <w:r>
        <w:rPr>
          <w:rFonts w:ascii="Microsoft YaHei" w:hAnsi="Microsoft YaHei" w:eastAsia="Microsoft YaHei" w:cs="Microsoft YaHei"/>
          <w:sz w:val="21"/>
          <w:szCs w:val="21"/>
          <w:spacing w:val="10"/>
        </w:rPr>
        <w:t xml:space="preserve"> </w:t>
      </w:r>
      <w:r>
        <w:rPr>
          <w:rFonts w:ascii="Microsoft YaHei" w:hAnsi="Microsoft YaHei" w:eastAsia="Microsoft YaHei" w:cs="Microsoft YaHei"/>
          <w:sz w:val="21"/>
          <w:szCs w:val="21"/>
        </w:rPr>
        <w:t>置中的决定性作用，推动新型储能有序发展。</w:t>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ict>
          <v:shape id="_x0000_s566" style="position:absolute;margin-left:17.0187pt;margin-top:4.11602pt;mso-position-vertical-relative:text;mso-position-horizontal-relative:text;width:81.3pt;height:0.5pt;z-index:252118016;" filled="false" strokecolor="#000000" strokeweight="0.50pt" coordsize="1626,10" coordorigin="0,0" path="m0,5l1625,5e">
            <v:stroke joinstyle="miter"/>
          </v:shape>
        </w:pict>
      </w:r>
      <w:r/>
    </w:p>
    <w:p>
      <w:pPr>
        <w:ind w:left="345"/>
        <w:spacing w:before="55" w:line="188"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4"/>
          <w:position w:val="4"/>
        </w:rPr>
        <w:t>18</w:t>
      </w:r>
      <w:r>
        <w:rPr>
          <w:rFonts w:ascii="Microsoft YaHei" w:hAnsi="Microsoft YaHei" w:eastAsia="Microsoft YaHei" w:cs="Microsoft YaHei"/>
          <w:sz w:val="9"/>
          <w:szCs w:val="9"/>
          <w:spacing w:val="13"/>
          <w:w w:val="102"/>
          <w:position w:val="4"/>
        </w:rPr>
        <w:t xml:space="preserve"> </w:t>
      </w:r>
      <w:r>
        <w:rPr>
          <w:rFonts w:ascii="Microsoft YaHei" w:hAnsi="Microsoft YaHei" w:eastAsia="Microsoft YaHei" w:cs="Microsoft YaHei"/>
          <w:sz w:val="13"/>
          <w:szCs w:val="13"/>
          <w:spacing w:val="4"/>
        </w:rPr>
        <w:t>抽水蓄能电价机制、建设动态与前景，</w:t>
      </w:r>
      <w:r>
        <w:rPr>
          <w:rFonts w:ascii="Microsoft YaHei" w:hAnsi="Microsoft YaHei" w:eastAsia="Microsoft YaHei" w:cs="Microsoft YaHei"/>
          <w:sz w:val="13"/>
          <w:szCs w:val="13"/>
          <w:spacing w:val="3"/>
        </w:rPr>
        <w:t>能源头条，  2022年7月9日，</w:t>
      </w:r>
    </w:p>
    <w:p>
      <w:pPr>
        <w:ind w:left="350"/>
        <w:spacing w:line="187" w:lineRule="auto"/>
        <w:rPr>
          <w:rFonts w:ascii="Microsoft YaHei" w:hAnsi="Microsoft YaHei" w:eastAsia="Microsoft YaHei" w:cs="Microsoft YaHei"/>
          <w:sz w:val="13"/>
          <w:szCs w:val="13"/>
        </w:rPr>
      </w:pPr>
      <w:hyperlink w:history="true" r:id="rId166">
        <w:r>
          <w:rPr>
            <w:rFonts w:ascii="Microsoft YaHei" w:hAnsi="Microsoft YaHei" w:eastAsia="Microsoft YaHei" w:cs="Microsoft YaHei"/>
            <w:sz w:val="13"/>
            <w:szCs w:val="13"/>
          </w:rPr>
          <w:t>http</w:t>
        </w:r>
        <w:r>
          <w:rPr>
            <w:rFonts w:ascii="Microsoft YaHei" w:hAnsi="Microsoft YaHei" w:eastAsia="Microsoft YaHei" w:cs="Microsoft YaHei"/>
            <w:sz w:val="13"/>
            <w:szCs w:val="13"/>
            <w:spacing w:val="7"/>
          </w:rPr>
          <w:t>://</w:t>
        </w:r>
        <w:r>
          <w:rPr>
            <w:rFonts w:ascii="Microsoft YaHei" w:hAnsi="Microsoft YaHei" w:eastAsia="Microsoft YaHei" w:cs="Microsoft YaHei"/>
            <w:sz w:val="13"/>
            <w:szCs w:val="13"/>
          </w:rPr>
          <w:t>www</w:t>
        </w:r>
        <w:r>
          <w:rPr>
            <w:rFonts w:ascii="Microsoft YaHei" w:hAnsi="Microsoft YaHei" w:eastAsia="Microsoft YaHei" w:cs="Microsoft YaHei"/>
            <w:sz w:val="13"/>
            <w:szCs w:val="13"/>
            <w:spacing w:val="7"/>
          </w:rPr>
          <w:t>.</w:t>
        </w:r>
        <w:r>
          <w:rPr>
            <w:rFonts w:ascii="Microsoft YaHei" w:hAnsi="Microsoft YaHei" w:eastAsia="Microsoft YaHei" w:cs="Microsoft YaHei"/>
            <w:sz w:val="13"/>
            <w:szCs w:val="13"/>
          </w:rPr>
          <w:t>nengyuantoutiao</w:t>
        </w:r>
        <w:r>
          <w:rPr>
            <w:rFonts w:ascii="Microsoft YaHei" w:hAnsi="Microsoft YaHei" w:eastAsia="Microsoft YaHei" w:cs="Microsoft YaHei"/>
            <w:sz w:val="13"/>
            <w:szCs w:val="13"/>
            <w:spacing w:val="7"/>
          </w:rPr>
          <w:t>.</w:t>
        </w:r>
        <w:r>
          <w:rPr>
            <w:rFonts w:ascii="Microsoft YaHei" w:hAnsi="Microsoft YaHei" w:eastAsia="Microsoft YaHei" w:cs="Microsoft YaHei"/>
            <w:sz w:val="13"/>
            <w:szCs w:val="13"/>
          </w:rPr>
          <w:t>com</w:t>
        </w:r>
        <w:r>
          <w:rPr>
            <w:rFonts w:ascii="Microsoft YaHei" w:hAnsi="Microsoft YaHei" w:eastAsia="Microsoft YaHei" w:cs="Microsoft YaHei"/>
            <w:sz w:val="13"/>
            <w:szCs w:val="13"/>
            <w:spacing w:val="7"/>
          </w:rPr>
          <w:t>/</w:t>
        </w:r>
        <w:r>
          <w:rPr>
            <w:rFonts w:ascii="Microsoft YaHei" w:hAnsi="Microsoft YaHei" w:eastAsia="Microsoft YaHei" w:cs="Microsoft YaHei"/>
            <w:sz w:val="13"/>
            <w:szCs w:val="13"/>
          </w:rPr>
          <w:t>chunen</w:t>
        </w:r>
        <w:r>
          <w:rPr>
            <w:rFonts w:ascii="Microsoft YaHei" w:hAnsi="Microsoft YaHei" w:eastAsia="Microsoft YaHei" w:cs="Microsoft YaHei"/>
            <w:sz w:val="13"/>
            <w:szCs w:val="13"/>
            <w:spacing w:val="7"/>
          </w:rPr>
          <w:t>/2022/0709/110701.</w:t>
        </w:r>
        <w:r>
          <w:rPr>
            <w:rFonts w:ascii="Microsoft YaHei" w:hAnsi="Microsoft YaHei" w:eastAsia="Microsoft YaHei" w:cs="Microsoft YaHei"/>
            <w:sz w:val="13"/>
            <w:szCs w:val="13"/>
          </w:rPr>
          <w:t>html</w:t>
        </w:r>
      </w:hyperlink>
    </w:p>
    <w:p>
      <w:pPr>
        <w:ind w:left="345"/>
        <w:spacing w:before="50" w:line="186"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3"/>
          <w:position w:val="4"/>
        </w:rPr>
        <w:t>19</w:t>
      </w:r>
      <w:r>
        <w:rPr>
          <w:rFonts w:ascii="Microsoft YaHei" w:hAnsi="Microsoft YaHei" w:eastAsia="Microsoft YaHei" w:cs="Microsoft YaHei"/>
          <w:sz w:val="9"/>
          <w:szCs w:val="9"/>
          <w:spacing w:val="20"/>
          <w:position w:val="4"/>
        </w:rPr>
        <w:t xml:space="preserve"> </w:t>
      </w:r>
      <w:r>
        <w:rPr>
          <w:rFonts w:ascii="Microsoft YaHei" w:hAnsi="Microsoft YaHei" w:eastAsia="Microsoft YaHei" w:cs="Microsoft YaHei"/>
          <w:sz w:val="13"/>
          <w:szCs w:val="13"/>
          <w:spacing w:val="3"/>
        </w:rPr>
        <w:t>新型储能实施容量电价可行吗？中国能源报，  2022年4月6日，</w:t>
      </w:r>
    </w:p>
    <w:p>
      <w:pPr>
        <w:ind w:left="350"/>
        <w:spacing w:before="1" w:line="187" w:lineRule="auto"/>
        <w:rPr>
          <w:rFonts w:ascii="Microsoft YaHei" w:hAnsi="Microsoft YaHei" w:eastAsia="Microsoft YaHei" w:cs="Microsoft YaHei"/>
          <w:sz w:val="13"/>
          <w:szCs w:val="13"/>
        </w:rPr>
      </w:pPr>
      <w:hyperlink w:history="true" r:id="rId167">
        <w:r>
          <w:rPr>
            <w:rFonts w:ascii="Microsoft YaHei" w:hAnsi="Microsoft YaHei" w:eastAsia="Microsoft YaHei" w:cs="Microsoft YaHei"/>
            <w:sz w:val="13"/>
            <w:szCs w:val="13"/>
          </w:rPr>
          <w:t>https</w:t>
        </w:r>
        <w:r>
          <w:rPr>
            <w:rFonts w:ascii="Microsoft YaHei" w:hAnsi="Microsoft YaHei" w:eastAsia="Microsoft YaHei" w:cs="Microsoft YaHei"/>
            <w:sz w:val="13"/>
            <w:szCs w:val="13"/>
            <w:spacing w:val="3"/>
          </w:rPr>
          <w:t>://</w:t>
        </w:r>
        <w:r>
          <w:rPr>
            <w:rFonts w:ascii="Microsoft YaHei" w:hAnsi="Microsoft YaHei" w:eastAsia="Microsoft YaHei" w:cs="Microsoft YaHei"/>
            <w:sz w:val="13"/>
            <w:szCs w:val="13"/>
          </w:rPr>
          <w:t>baijiahao</w:t>
        </w:r>
        <w:r>
          <w:rPr>
            <w:rFonts w:ascii="Microsoft YaHei" w:hAnsi="Microsoft YaHei" w:eastAsia="Microsoft YaHei" w:cs="Microsoft YaHei"/>
            <w:sz w:val="13"/>
            <w:szCs w:val="13"/>
            <w:spacing w:val="3"/>
          </w:rPr>
          <w:t>.</w:t>
        </w:r>
        <w:r>
          <w:rPr>
            <w:rFonts w:ascii="Microsoft YaHei" w:hAnsi="Microsoft YaHei" w:eastAsia="Microsoft YaHei" w:cs="Microsoft YaHei"/>
            <w:sz w:val="13"/>
            <w:szCs w:val="13"/>
          </w:rPr>
          <w:t>baidu</w:t>
        </w:r>
        <w:r>
          <w:rPr>
            <w:rFonts w:ascii="Microsoft YaHei" w:hAnsi="Microsoft YaHei" w:eastAsia="Microsoft YaHei" w:cs="Microsoft YaHei"/>
            <w:sz w:val="13"/>
            <w:szCs w:val="13"/>
            <w:spacing w:val="3"/>
          </w:rPr>
          <w:t>.</w:t>
        </w:r>
        <w:r>
          <w:rPr>
            <w:rFonts w:ascii="Microsoft YaHei" w:hAnsi="Microsoft YaHei" w:eastAsia="Microsoft YaHei" w:cs="Microsoft YaHei"/>
            <w:sz w:val="13"/>
            <w:szCs w:val="13"/>
          </w:rPr>
          <w:t>com</w:t>
        </w:r>
        <w:r>
          <w:rPr>
            <w:rFonts w:ascii="Microsoft YaHei" w:hAnsi="Microsoft YaHei" w:eastAsia="Microsoft YaHei" w:cs="Microsoft YaHei"/>
            <w:sz w:val="13"/>
            <w:szCs w:val="13"/>
            <w:spacing w:val="3"/>
          </w:rPr>
          <w:t>/s?</w:t>
        </w:r>
        <w:r>
          <w:rPr>
            <w:rFonts w:ascii="Microsoft YaHei" w:hAnsi="Microsoft YaHei" w:eastAsia="Microsoft YaHei" w:cs="Microsoft YaHei"/>
            <w:sz w:val="13"/>
            <w:szCs w:val="13"/>
          </w:rPr>
          <w:t>id</w:t>
        </w:r>
        <w:r>
          <w:rPr>
            <w:rFonts w:ascii="Microsoft YaHei" w:hAnsi="Microsoft YaHei" w:eastAsia="Microsoft YaHei" w:cs="Microsoft YaHei"/>
            <w:sz w:val="13"/>
            <w:szCs w:val="13"/>
            <w:spacing w:val="3"/>
          </w:rPr>
          <w:t>=172934039143360</w:t>
        </w:r>
        <w:r>
          <w:rPr>
            <w:rFonts w:ascii="Microsoft YaHei" w:hAnsi="Microsoft YaHei" w:eastAsia="Microsoft YaHei" w:cs="Microsoft YaHei"/>
            <w:sz w:val="13"/>
            <w:szCs w:val="13"/>
            <w:spacing w:val="2"/>
          </w:rPr>
          <w:t>5946&amp;</w:t>
        </w:r>
        <w:r>
          <w:rPr>
            <w:rFonts w:ascii="Microsoft YaHei" w:hAnsi="Microsoft YaHei" w:eastAsia="Microsoft YaHei" w:cs="Microsoft YaHei"/>
            <w:sz w:val="13"/>
            <w:szCs w:val="13"/>
          </w:rPr>
          <w:t>wfr</w:t>
        </w:r>
        <w:r>
          <w:rPr>
            <w:rFonts w:ascii="Microsoft YaHei" w:hAnsi="Microsoft YaHei" w:eastAsia="Microsoft YaHei" w:cs="Microsoft YaHei"/>
            <w:sz w:val="13"/>
            <w:szCs w:val="13"/>
            <w:spacing w:val="2"/>
          </w:rPr>
          <w:t>=</w:t>
        </w:r>
        <w:r>
          <w:rPr>
            <w:rFonts w:ascii="Microsoft YaHei" w:hAnsi="Microsoft YaHei" w:eastAsia="Microsoft YaHei" w:cs="Microsoft YaHei"/>
            <w:sz w:val="13"/>
            <w:szCs w:val="13"/>
          </w:rPr>
          <w:t>spider</w:t>
        </w:r>
        <w:r>
          <w:rPr>
            <w:rFonts w:ascii="Microsoft YaHei" w:hAnsi="Microsoft YaHei" w:eastAsia="Microsoft YaHei" w:cs="Microsoft YaHei"/>
            <w:sz w:val="13"/>
            <w:szCs w:val="13"/>
            <w:spacing w:val="2"/>
          </w:rPr>
          <w:t>&amp;</w:t>
        </w:r>
        <w:r>
          <w:rPr>
            <w:rFonts w:ascii="Microsoft YaHei" w:hAnsi="Microsoft YaHei" w:eastAsia="Microsoft YaHei" w:cs="Microsoft YaHei"/>
            <w:sz w:val="13"/>
            <w:szCs w:val="13"/>
          </w:rPr>
          <w:t>for</w:t>
        </w:r>
        <w:r>
          <w:rPr>
            <w:rFonts w:ascii="Microsoft YaHei" w:hAnsi="Microsoft YaHei" w:eastAsia="Microsoft YaHei" w:cs="Microsoft YaHei"/>
            <w:sz w:val="13"/>
            <w:szCs w:val="13"/>
            <w:spacing w:val="2"/>
          </w:rPr>
          <w:t>=</w:t>
        </w:r>
        <w:r>
          <w:rPr>
            <w:rFonts w:ascii="Microsoft YaHei" w:hAnsi="Microsoft YaHei" w:eastAsia="Microsoft YaHei" w:cs="Microsoft YaHei"/>
            <w:sz w:val="13"/>
            <w:szCs w:val="13"/>
          </w:rPr>
          <w:t>pc</w:t>
        </w:r>
      </w:hyperlink>
    </w:p>
    <w:p>
      <w:pPr>
        <w:ind w:left="340"/>
        <w:spacing w:before="45" w:line="189"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3"/>
          <w:position w:val="4"/>
        </w:rPr>
        <w:t>20   </w:t>
      </w:r>
      <w:r>
        <w:rPr>
          <w:rFonts w:ascii="Microsoft YaHei" w:hAnsi="Microsoft YaHei" w:eastAsia="Microsoft YaHei" w:cs="Microsoft YaHei"/>
          <w:sz w:val="13"/>
          <w:szCs w:val="13"/>
          <w:spacing w:val="3"/>
        </w:rPr>
        <w:t>“十四五”新型储能发展实施方案，国家发展改革委、国家能源局，  2022年3月21日</w:t>
      </w:r>
    </w:p>
    <w:p>
      <w:pPr>
        <w:ind w:left="840" w:right="1241" w:hanging="411"/>
        <w:spacing w:before="204"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965" w:header="0" w:footer="0" w:gutter="0"/>
        </w:sectPr>
        <w:rPr>
          <w:rFonts w:ascii="Microsoft YaHei" w:hAnsi="Microsoft YaHei" w:eastAsia="Microsoft YaHei" w:cs="Microsoft YaHei"/>
          <w:sz w:val="11"/>
          <w:szCs w:val="11"/>
        </w:rPr>
      </w:pPr>
    </w:p>
    <w:p>
      <w:pPr>
        <w:ind w:left="7673"/>
        <w:spacing w:before="314" w:line="193" w:lineRule="auto"/>
        <w:rPr>
          <w:rFonts w:ascii="Microsoft YaHei" w:hAnsi="Microsoft YaHei" w:eastAsia="Microsoft YaHei" w:cs="Microsoft YaHei"/>
          <w:sz w:val="18"/>
          <w:szCs w:val="18"/>
        </w:rPr>
      </w:pPr>
      <w:r>
        <w:pict>
          <v:rect id="_x0000_s568" style="position:absolute;margin-left:611.99pt;margin-top:0pt;mso-position-vertical-relative:page;mso-position-horizontal-relative:page;width:0.25pt;height:859pt;z-index:252154880;" o:allowincell="f" fillcolor="#000000" filled="true" stroked="false"/>
        </w:pict>
      </w:r>
      <w:r>
        <w:rPr>
          <w:rFonts w:ascii="Microsoft YaHei" w:hAnsi="Microsoft YaHei" w:eastAsia="Microsoft YaHei" w:cs="Microsoft YaHei"/>
          <w:sz w:val="18"/>
          <w:szCs w:val="18"/>
          <w:color w:val="A8A8A8"/>
        </w:rPr>
        <w:t>新型储能助力能源转型</w:t>
      </w:r>
      <w:r>
        <w:rPr>
          <w:rFonts w:ascii="Microsoft YaHei" w:hAnsi="Microsoft YaHei" w:eastAsia="Microsoft YaHei" w:cs="Microsoft YaHei"/>
          <w:sz w:val="18"/>
          <w:szCs w:val="18"/>
          <w:color w:val="A8A8A8"/>
          <w:spacing w:val="20"/>
        </w:rPr>
        <w:t xml:space="preserve">  </w:t>
      </w:r>
      <w:r>
        <w:rPr>
          <w:sz w:val="18"/>
          <w:szCs w:val="18"/>
          <w:position w:val="-4"/>
        </w:rPr>
        <w:drawing>
          <wp:inline distT="0" distB="0" distL="0" distR="0">
            <wp:extent cx="6350" cy="130175"/>
            <wp:effectExtent l="0" t="0" r="0" b="0"/>
            <wp:docPr id="350" name="IM 350"/>
            <wp:cNvGraphicFramePr/>
            <a:graphic>
              <a:graphicData uri="http://schemas.openxmlformats.org/drawingml/2006/picture">
                <pic:pic>
                  <pic:nvPicPr>
                    <pic:cNvPr id="350" name="IM 350"/>
                    <pic:cNvPicPr/>
                  </pic:nvPicPr>
                  <pic:blipFill>
                    <a:blip r:embed="rId168"/>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spacing w:val="15"/>
          <w:w w:val="101"/>
        </w:rPr>
        <w:t xml:space="preserve">  </w:t>
      </w:r>
      <w:r>
        <w:rPr>
          <w:rFonts w:ascii="Microsoft YaHei" w:hAnsi="Microsoft YaHei" w:eastAsia="Microsoft YaHei" w:cs="Microsoft YaHei"/>
          <w:sz w:val="18"/>
          <w:szCs w:val="18"/>
          <w:b/>
          <w:bCs/>
          <w:color w:val="A8A8A8"/>
        </w:rPr>
        <w:t>30</w:t>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27"/>
        <w:spacing w:before="90" w:line="191" w:lineRule="auto"/>
        <w:outlineLvl w:val="0"/>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B8F5"/>
          <w:spacing w:val="-2"/>
        </w:rPr>
        <w:t>表 6 | 中国、美国、欧洲、澳洲储能产业市场机制对比</w:t>
      </w:r>
    </w:p>
    <w:p>
      <w:pPr>
        <w:spacing w:line="164" w:lineRule="exact"/>
        <w:rPr/>
      </w:pPr>
      <w:r/>
    </w:p>
    <w:tbl>
      <w:tblPr>
        <w:tblStyle w:val="TableNormal"/>
        <w:tblW w:w="9640" w:type="dxa"/>
        <w:tblInd w:w="0" w:type="dxa"/>
        <w:tblLayout w:type="fixed"/>
        <w:tblBorders>
          <w:top w:val="single" w:color="BFBFBF" w:sz="2" w:space="0"/>
          <w:left w:val="single" w:color="BFBFBF" w:sz="2" w:space="0"/>
          <w:bottom w:val="single" w:color="BFBFBF" w:sz="2" w:space="0"/>
          <w:right w:val="single" w:color="BFBFBF" w:sz="2" w:space="0"/>
          <w:insideH w:val="single" w:color="BFBFBF" w:sz="2" w:space="0"/>
          <w:insideV w:val="single" w:color="BFBFBF" w:sz="2" w:space="0"/>
        </w:tblBorders>
      </w:tblPr>
      <w:tblGrid>
        <w:gridCol w:w="1147"/>
        <w:gridCol w:w="4114"/>
        <w:gridCol w:w="4379"/>
      </w:tblGrid>
      <w:tr>
        <w:trPr>
          <w:trHeight w:val="533" w:hRule="atLeast"/>
        </w:trPr>
        <w:tc>
          <w:tcPr>
            <w:shd w:val="clear" w:fill="00B8F5"/>
            <w:tcW w:w="1147" w:type="dxa"/>
            <w:vAlign w:val="top"/>
            <w:tcBorders>
              <w:left w:val="nil"/>
              <w:bottom w:val="nil"/>
              <w:top w:val="nil"/>
              <w:right w:val="single" w:color="FFFFFF" w:sz="12" w:space="0"/>
            </w:tcBorders>
          </w:tcPr>
          <w:p>
            <w:pPr>
              <w:pStyle w:val="TableText"/>
              <w:ind w:left="367"/>
              <w:spacing w:before="155" w:line="180" w:lineRule="auto"/>
              <w:rPr>
                <w:sz w:val="21"/>
                <w:szCs w:val="21"/>
              </w:rPr>
            </w:pPr>
            <w:r>
              <w:rPr>
                <w:sz w:val="21"/>
                <w:szCs w:val="21"/>
                <w:b/>
                <w:bCs/>
                <w:color w:val="FFFFFF"/>
                <w:spacing w:val="-1"/>
              </w:rPr>
              <w:t>地区</w:t>
            </w:r>
          </w:p>
        </w:tc>
        <w:tc>
          <w:tcPr>
            <w:shd w:val="clear" w:fill="00B8F5"/>
            <w:tcW w:w="4114" w:type="dxa"/>
            <w:vAlign w:val="top"/>
            <w:tcBorders>
              <w:bottom w:val="nil"/>
              <w:top w:val="nil"/>
              <w:left w:val="single" w:color="FFFFFF" w:sz="12" w:space="0"/>
              <w:right w:val="single" w:color="FFFFFF" w:sz="12" w:space="0"/>
            </w:tcBorders>
          </w:tcPr>
          <w:p>
            <w:pPr>
              <w:pStyle w:val="TableText"/>
              <w:ind w:left="1326"/>
              <w:spacing w:before="154" w:line="180" w:lineRule="auto"/>
              <w:rPr>
                <w:sz w:val="21"/>
                <w:szCs w:val="21"/>
              </w:rPr>
            </w:pPr>
            <w:r>
              <w:rPr>
                <w:sz w:val="21"/>
                <w:szCs w:val="21"/>
                <w:b/>
                <w:bCs/>
                <w:color w:val="FFFFFF"/>
                <w:spacing w:val="-2"/>
              </w:rPr>
              <w:t>电力市场化现状</w:t>
            </w:r>
          </w:p>
        </w:tc>
        <w:tc>
          <w:tcPr>
            <w:shd w:val="clear" w:fill="00B8F5"/>
            <w:tcW w:w="4379" w:type="dxa"/>
            <w:vAlign w:val="top"/>
            <w:tcBorders>
              <w:bottom w:val="nil"/>
              <w:right w:val="nil"/>
              <w:top w:val="nil"/>
              <w:left w:val="single" w:color="FFFFFF" w:sz="12" w:space="0"/>
            </w:tcBorders>
          </w:tcPr>
          <w:p>
            <w:pPr>
              <w:pStyle w:val="TableText"/>
              <w:ind w:left="1330"/>
              <w:spacing w:before="154" w:line="180" w:lineRule="auto"/>
              <w:rPr>
                <w:sz w:val="21"/>
                <w:szCs w:val="21"/>
              </w:rPr>
            </w:pPr>
            <w:r>
              <w:rPr>
                <w:sz w:val="21"/>
                <w:szCs w:val="21"/>
                <w:b/>
                <w:bCs/>
                <w:color w:val="FFFFFF"/>
              </w:rPr>
              <w:t>储能参与市场方式</w:t>
            </w:r>
          </w:p>
        </w:tc>
      </w:tr>
      <w:tr>
        <w:trPr>
          <w:trHeight w:val="2379" w:hRule="atLeast"/>
        </w:trPr>
        <w:tc>
          <w:tcPr>
            <w:tcW w:w="1147" w:type="dxa"/>
            <w:vAlign w:val="top"/>
            <w:tcBorders>
              <w:left w:val="nil"/>
              <w:top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pStyle w:val="TableText"/>
              <w:ind w:left="380"/>
              <w:spacing w:before="91" w:line="179" w:lineRule="auto"/>
              <w:rPr>
                <w:sz w:val="21"/>
                <w:szCs w:val="21"/>
              </w:rPr>
            </w:pPr>
            <w:r>
              <w:rPr>
                <w:sz w:val="21"/>
                <w:szCs w:val="21"/>
                <w:b/>
                <w:bCs/>
                <w:color w:val="00B8F5"/>
                <w:spacing w:val="-5"/>
              </w:rPr>
              <w:t>中国</w:t>
            </w:r>
          </w:p>
        </w:tc>
        <w:tc>
          <w:tcPr>
            <w:tcW w:w="4114" w:type="dxa"/>
            <w:vAlign w:val="top"/>
            <w:tcBorders>
              <w:top w:val="nil"/>
            </w:tcBorders>
          </w:tcPr>
          <w:p>
            <w:pPr>
              <w:pStyle w:val="TableText"/>
              <w:ind w:left="376" w:right="87" w:hanging="271"/>
              <w:spacing w:before="67" w:line="193" w:lineRule="auto"/>
              <w:rPr>
                <w:sz w:val="18"/>
                <w:szCs w:val="18"/>
              </w:rPr>
            </w:pPr>
            <w:r>
              <w:rPr>
                <w:sz w:val="18"/>
                <w:szCs w:val="18"/>
                <w:position w:val="-3"/>
              </w:rPr>
              <w:drawing>
                <wp:inline distT="0" distB="0" distL="0" distR="0">
                  <wp:extent cx="43318" cy="128564"/>
                  <wp:effectExtent l="0" t="0" r="0" b="0"/>
                  <wp:docPr id="352" name="IM 352"/>
                  <wp:cNvGraphicFramePr/>
                  <a:graphic>
                    <a:graphicData uri="http://schemas.openxmlformats.org/drawingml/2006/picture">
                      <pic:pic>
                        <pic:nvPicPr>
                          <pic:cNvPr id="352" name="IM 352"/>
                          <pic:cNvPicPr/>
                        </pic:nvPicPr>
                        <pic:blipFill>
                          <a:blip r:embed="rId169"/>
                          <a:stretch>
                            <a:fillRect/>
                          </a:stretch>
                        </pic:blipFill>
                        <pic:spPr>
                          <a:xfrm rot="0">
                            <a:off x="0" y="0"/>
                            <a:ext cx="43318" cy="128564"/>
                          </a:xfrm>
                          <a:prstGeom prst="rect">
                            <a:avLst/>
                          </a:prstGeom>
                        </pic:spPr>
                      </pic:pic>
                    </a:graphicData>
                  </a:graphic>
                </wp:inline>
              </w:drawing>
            </w:r>
            <w:r>
              <w:rPr>
                <w:sz w:val="18"/>
                <w:szCs w:val="18"/>
                <w:spacing w:val="21"/>
              </w:rPr>
              <w:t xml:space="preserve">   </w:t>
            </w:r>
            <w:r>
              <w:rPr>
                <w:sz w:val="18"/>
                <w:szCs w:val="18"/>
                <w:spacing w:val="2"/>
              </w:rPr>
              <w:t>电价制度“基准价+上下浮动”</w:t>
            </w:r>
            <w:r>
              <w:rPr>
                <w:sz w:val="18"/>
                <w:szCs w:val="18"/>
                <w:spacing w:val="-23"/>
              </w:rPr>
              <w:t xml:space="preserve"> </w:t>
            </w:r>
            <w:r>
              <w:rPr>
                <w:sz w:val="18"/>
                <w:szCs w:val="18"/>
                <w:spacing w:val="2"/>
              </w:rPr>
              <w:t>，价格较长时</w:t>
            </w:r>
            <w:r>
              <w:rPr>
                <w:sz w:val="18"/>
                <w:szCs w:val="18"/>
              </w:rPr>
              <w:t xml:space="preserve"> </w:t>
            </w:r>
            <w:r>
              <w:rPr>
                <w:sz w:val="18"/>
                <w:szCs w:val="18"/>
                <w:spacing w:val="-1"/>
              </w:rPr>
              <w:t>间保持不变</w:t>
            </w:r>
            <w:r>
              <w:rPr>
                <w:sz w:val="18"/>
                <w:szCs w:val="18"/>
                <w:spacing w:val="-29"/>
              </w:rPr>
              <w:t xml:space="preserve"> </w:t>
            </w:r>
            <w:r>
              <w:rPr>
                <w:sz w:val="18"/>
                <w:szCs w:val="18"/>
                <w:spacing w:val="-1"/>
              </w:rPr>
              <w:t>。</w:t>
            </w:r>
          </w:p>
          <w:p>
            <w:pPr>
              <w:pStyle w:val="TableText"/>
              <w:ind w:left="367" w:right="87" w:hanging="262"/>
              <w:spacing w:before="22" w:line="197" w:lineRule="auto"/>
              <w:rPr>
                <w:sz w:val="18"/>
                <w:szCs w:val="18"/>
              </w:rPr>
            </w:pPr>
            <w:r>
              <w:rPr>
                <w:sz w:val="18"/>
                <w:szCs w:val="18"/>
                <w:position w:val="-3"/>
              </w:rPr>
              <w:drawing>
                <wp:inline distT="0" distB="0" distL="0" distR="0">
                  <wp:extent cx="43318" cy="128564"/>
                  <wp:effectExtent l="0" t="0" r="0" b="0"/>
                  <wp:docPr id="354" name="IM 354"/>
                  <wp:cNvGraphicFramePr/>
                  <a:graphic>
                    <a:graphicData uri="http://schemas.openxmlformats.org/drawingml/2006/picture">
                      <pic:pic>
                        <pic:nvPicPr>
                          <pic:cNvPr id="354" name="IM 354"/>
                          <pic:cNvPicPr/>
                        </pic:nvPicPr>
                        <pic:blipFill>
                          <a:blip r:embed="rId170"/>
                          <a:stretch>
                            <a:fillRect/>
                          </a:stretch>
                        </pic:blipFill>
                        <pic:spPr>
                          <a:xfrm rot="0">
                            <a:off x="0" y="0"/>
                            <a:ext cx="43318" cy="128564"/>
                          </a:xfrm>
                          <a:prstGeom prst="rect">
                            <a:avLst/>
                          </a:prstGeom>
                        </pic:spPr>
                      </pic:pic>
                    </a:graphicData>
                  </a:graphic>
                </wp:inline>
              </w:drawing>
            </w:r>
            <w:r>
              <w:rPr>
                <w:sz w:val="18"/>
                <w:szCs w:val="18"/>
                <w:spacing w:val="15"/>
                <w:w w:val="101"/>
              </w:rPr>
              <w:t xml:space="preserve">   </w:t>
            </w:r>
            <w:r>
              <w:rPr>
                <w:sz w:val="18"/>
                <w:szCs w:val="18"/>
                <w:spacing w:val="2"/>
              </w:rPr>
              <w:t>已建成由区域电力交易中心和省级电力交易中</w:t>
            </w:r>
            <w:r>
              <w:rPr>
                <w:sz w:val="18"/>
                <w:szCs w:val="18"/>
              </w:rPr>
              <w:t xml:space="preserve"> </w:t>
            </w:r>
            <w:r>
              <w:rPr>
                <w:sz w:val="18"/>
                <w:szCs w:val="18"/>
              </w:rPr>
              <w:t>心构成的电力市场体系，</w:t>
            </w:r>
            <w:r>
              <w:rPr>
                <w:sz w:val="18"/>
                <w:szCs w:val="18"/>
                <w:spacing w:val="-1"/>
              </w:rPr>
              <w:t xml:space="preserve"> </w:t>
            </w:r>
            <w:r>
              <w:rPr>
                <w:sz w:val="18"/>
                <w:szCs w:val="18"/>
              </w:rPr>
              <w:t>主要交易类型包括电 </w:t>
            </w:r>
            <w:r>
              <w:rPr>
                <w:sz w:val="18"/>
                <w:szCs w:val="18"/>
                <w:spacing w:val="2"/>
              </w:rPr>
              <w:t>能交易、输电权交易、发电权交易和辅助服务</w:t>
            </w:r>
            <w:r>
              <w:rPr>
                <w:sz w:val="18"/>
                <w:szCs w:val="18"/>
                <w:spacing w:val="12"/>
              </w:rPr>
              <w:t xml:space="preserve"> </w:t>
            </w:r>
            <w:r>
              <w:rPr>
                <w:sz w:val="18"/>
                <w:szCs w:val="18"/>
                <w:spacing w:val="-6"/>
              </w:rPr>
              <w:t>交易等。</w:t>
            </w:r>
          </w:p>
          <w:p>
            <w:pPr>
              <w:pStyle w:val="TableText"/>
              <w:ind w:left="366" w:right="87" w:hanging="261"/>
              <w:spacing w:before="22" w:line="193" w:lineRule="auto"/>
              <w:rPr>
                <w:sz w:val="18"/>
                <w:szCs w:val="18"/>
              </w:rPr>
            </w:pPr>
            <w:r>
              <w:rPr>
                <w:sz w:val="18"/>
                <w:szCs w:val="18"/>
                <w:position w:val="-3"/>
              </w:rPr>
              <w:drawing>
                <wp:inline distT="0" distB="0" distL="0" distR="0">
                  <wp:extent cx="43318" cy="128564"/>
                  <wp:effectExtent l="0" t="0" r="0" b="0"/>
                  <wp:docPr id="356" name="IM 356"/>
                  <wp:cNvGraphicFramePr/>
                  <a:graphic>
                    <a:graphicData uri="http://schemas.openxmlformats.org/drawingml/2006/picture">
                      <pic:pic>
                        <pic:nvPicPr>
                          <pic:cNvPr id="356" name="IM 356"/>
                          <pic:cNvPicPr/>
                        </pic:nvPicPr>
                        <pic:blipFill>
                          <a:blip r:embed="rId171"/>
                          <a:stretch>
                            <a:fillRect/>
                          </a:stretch>
                        </pic:blipFill>
                        <pic:spPr>
                          <a:xfrm rot="0">
                            <a:off x="0" y="0"/>
                            <a:ext cx="43318" cy="128564"/>
                          </a:xfrm>
                          <a:prstGeom prst="rect">
                            <a:avLst/>
                          </a:prstGeom>
                        </pic:spPr>
                      </pic:pic>
                    </a:graphicData>
                  </a:graphic>
                </wp:inline>
              </w:drawing>
            </w:r>
            <w:r>
              <w:rPr>
                <w:sz w:val="18"/>
                <w:szCs w:val="18"/>
                <w:spacing w:val="16"/>
              </w:rPr>
              <w:t xml:space="preserve">   </w:t>
            </w:r>
            <w:r>
              <w:rPr>
                <w:sz w:val="18"/>
                <w:szCs w:val="18"/>
              </w:rPr>
              <w:t>电力市场还存在体系不完整、功能不完善、</w:t>
            </w:r>
            <w:r>
              <w:rPr>
                <w:sz w:val="18"/>
                <w:szCs w:val="18"/>
                <w:spacing w:val="-15"/>
              </w:rPr>
              <w:t xml:space="preserve"> </w:t>
            </w:r>
            <w:r>
              <w:rPr>
                <w:sz w:val="18"/>
                <w:szCs w:val="18"/>
              </w:rPr>
              <w:t>交 </w:t>
            </w:r>
            <w:r>
              <w:rPr>
                <w:sz w:val="18"/>
                <w:szCs w:val="18"/>
                <w:spacing w:val="2"/>
              </w:rPr>
              <w:t>易规则不统一、跨省跨区交易存在市场壁垒等</w:t>
            </w:r>
            <w:r>
              <w:rPr>
                <w:sz w:val="18"/>
                <w:szCs w:val="18"/>
                <w:spacing w:val="13"/>
                <w:w w:val="101"/>
              </w:rPr>
              <w:t xml:space="preserve"> </w:t>
            </w:r>
            <w:r>
              <w:rPr>
                <w:sz w:val="18"/>
                <w:szCs w:val="18"/>
                <w:spacing w:val="-7"/>
              </w:rPr>
              <w:t>问题。</w:t>
            </w:r>
          </w:p>
        </w:tc>
        <w:tc>
          <w:tcPr>
            <w:tcW w:w="4379" w:type="dxa"/>
            <w:vAlign w:val="top"/>
            <w:tcBorders>
              <w:right w:val="nil"/>
              <w:top w:val="nil"/>
            </w:tcBorders>
          </w:tcPr>
          <w:p>
            <w:pPr>
              <w:spacing w:line="379" w:lineRule="auto"/>
              <w:rPr>
                <w:rFonts w:ascii="Arial"/>
                <w:sz w:val="21"/>
              </w:rPr>
            </w:pPr>
            <w:r/>
          </w:p>
          <w:p>
            <w:pPr>
              <w:pStyle w:val="TableText"/>
              <w:ind w:left="369" w:right="90" w:hanging="263"/>
              <w:spacing w:before="77" w:line="192" w:lineRule="auto"/>
              <w:rPr>
                <w:sz w:val="18"/>
                <w:szCs w:val="18"/>
              </w:rPr>
            </w:pPr>
            <w:r>
              <w:rPr>
                <w:sz w:val="18"/>
                <w:szCs w:val="18"/>
                <w:position w:val="-3"/>
              </w:rPr>
              <w:drawing>
                <wp:inline distT="0" distB="0" distL="0" distR="0">
                  <wp:extent cx="43318" cy="128564"/>
                  <wp:effectExtent l="0" t="0" r="0" b="0"/>
                  <wp:docPr id="358" name="IM 358"/>
                  <wp:cNvGraphicFramePr/>
                  <a:graphic>
                    <a:graphicData uri="http://schemas.openxmlformats.org/drawingml/2006/picture">
                      <pic:pic>
                        <pic:nvPicPr>
                          <pic:cNvPr id="358" name="IM 358"/>
                          <pic:cNvPicPr/>
                        </pic:nvPicPr>
                        <pic:blipFill>
                          <a:blip r:embed="rId172"/>
                          <a:stretch>
                            <a:fillRect/>
                          </a:stretch>
                        </pic:blipFill>
                        <pic:spPr>
                          <a:xfrm rot="0">
                            <a:off x="0" y="0"/>
                            <a:ext cx="43318" cy="128564"/>
                          </a:xfrm>
                          <a:prstGeom prst="rect">
                            <a:avLst/>
                          </a:prstGeom>
                        </pic:spPr>
                      </pic:pic>
                    </a:graphicData>
                  </a:graphic>
                </wp:inline>
              </w:drawing>
            </w:r>
            <w:r>
              <w:rPr>
                <w:sz w:val="18"/>
                <w:szCs w:val="18"/>
                <w:spacing w:val="10"/>
              </w:rPr>
              <w:t xml:space="preserve">   </w:t>
            </w:r>
            <w:r>
              <w:rPr>
                <w:sz w:val="18"/>
                <w:szCs w:val="18"/>
                <w:spacing w:val="2"/>
              </w:rPr>
              <w:t>2021年以来</w:t>
            </w:r>
            <w:r>
              <w:rPr>
                <w:sz w:val="18"/>
                <w:szCs w:val="18"/>
                <w:spacing w:val="-21"/>
              </w:rPr>
              <w:t xml:space="preserve"> </w:t>
            </w:r>
            <w:r>
              <w:rPr>
                <w:sz w:val="18"/>
                <w:szCs w:val="18"/>
                <w:spacing w:val="2"/>
              </w:rPr>
              <w:t>，新型储能可作为独立储能参与电力</w:t>
            </w:r>
            <w:r>
              <w:rPr>
                <w:sz w:val="18"/>
                <w:szCs w:val="18"/>
              </w:rPr>
              <w:t xml:space="preserve"> </w:t>
            </w:r>
            <w:r>
              <w:rPr>
                <w:sz w:val="18"/>
                <w:szCs w:val="18"/>
              </w:rPr>
              <w:t>市场在政策上得到确认。</w:t>
            </w:r>
          </w:p>
          <w:p>
            <w:pPr>
              <w:pStyle w:val="TableText"/>
              <w:ind w:left="363" w:hanging="257"/>
              <w:spacing w:before="21" w:line="197" w:lineRule="auto"/>
              <w:rPr>
                <w:sz w:val="18"/>
                <w:szCs w:val="18"/>
              </w:rPr>
            </w:pPr>
            <w:r>
              <w:rPr>
                <w:sz w:val="18"/>
                <w:szCs w:val="18"/>
                <w:position w:val="-3"/>
              </w:rPr>
              <w:drawing>
                <wp:inline distT="0" distB="0" distL="0" distR="0">
                  <wp:extent cx="42720" cy="128564"/>
                  <wp:effectExtent l="0" t="0" r="0" b="0"/>
                  <wp:docPr id="360" name="IM 360"/>
                  <wp:cNvGraphicFramePr/>
                  <a:graphic>
                    <a:graphicData uri="http://schemas.openxmlformats.org/drawingml/2006/picture">
                      <pic:pic>
                        <pic:nvPicPr>
                          <pic:cNvPr id="360" name="IM 360"/>
                          <pic:cNvPicPr/>
                        </pic:nvPicPr>
                        <pic:blipFill>
                          <a:blip r:embed="rId173"/>
                          <a:stretch>
                            <a:fillRect/>
                          </a:stretch>
                        </pic:blipFill>
                        <pic:spPr>
                          <a:xfrm rot="0">
                            <a:off x="0" y="0"/>
                            <a:ext cx="42720" cy="128564"/>
                          </a:xfrm>
                          <a:prstGeom prst="rect">
                            <a:avLst/>
                          </a:prstGeom>
                        </pic:spPr>
                      </pic:pic>
                    </a:graphicData>
                  </a:graphic>
                </wp:inline>
              </w:drawing>
            </w:r>
            <w:r>
              <w:rPr>
                <w:sz w:val="18"/>
                <w:szCs w:val="18"/>
                <w:spacing w:val="14"/>
              </w:rPr>
              <w:t xml:space="preserve">   </w:t>
            </w:r>
            <w:r>
              <w:rPr>
                <w:sz w:val="18"/>
                <w:szCs w:val="18"/>
                <w:spacing w:val="3"/>
              </w:rPr>
              <w:t>独立储能指具备独立计量、控制等技术条件，接</w:t>
            </w:r>
            <w:r>
              <w:rPr>
                <w:sz w:val="18"/>
                <w:szCs w:val="18"/>
              </w:rPr>
              <w:t xml:space="preserve">    </w:t>
            </w:r>
            <w:r>
              <w:rPr>
                <w:sz w:val="18"/>
                <w:szCs w:val="18"/>
                <w:spacing w:val="2"/>
              </w:rPr>
              <w:t>入调度自动化系统可被电网监控和调度</w:t>
            </w:r>
            <w:r>
              <w:rPr>
                <w:sz w:val="18"/>
                <w:szCs w:val="18"/>
                <w:spacing w:val="-12"/>
              </w:rPr>
              <w:t xml:space="preserve"> </w:t>
            </w:r>
            <w:r>
              <w:rPr>
                <w:sz w:val="18"/>
                <w:szCs w:val="18"/>
                <w:spacing w:val="2"/>
              </w:rPr>
              <w:t>，符合相</w:t>
            </w:r>
            <w:r>
              <w:rPr>
                <w:sz w:val="18"/>
                <w:szCs w:val="18"/>
              </w:rPr>
              <w:t xml:space="preserve">    </w:t>
            </w:r>
            <w:r>
              <w:rPr>
                <w:sz w:val="18"/>
                <w:szCs w:val="18"/>
                <w:spacing w:val="2"/>
              </w:rPr>
              <w:t>关标准规范和电力市场运营机构等有关方面要求，</w:t>
            </w:r>
            <w:r>
              <w:rPr>
                <w:sz w:val="18"/>
                <w:szCs w:val="18"/>
                <w:spacing w:val="7"/>
              </w:rPr>
              <w:t xml:space="preserve"> </w:t>
            </w:r>
            <w:r>
              <w:rPr>
                <w:sz w:val="18"/>
                <w:szCs w:val="18"/>
                <w:spacing w:val="-3"/>
              </w:rPr>
              <w:t>具有法人资格的新型储能项目。</w:t>
            </w:r>
          </w:p>
        </w:tc>
      </w:tr>
      <w:tr>
        <w:trPr>
          <w:trHeight w:val="3431" w:hRule="atLeast"/>
        </w:trPr>
        <w:tc>
          <w:tcPr>
            <w:shd w:val="clear" w:fill="F1F1F1"/>
            <w:tcW w:w="1147" w:type="dxa"/>
            <w:vAlign w:val="top"/>
            <w:tcBorders>
              <w:left w:val="nil"/>
            </w:tcBorders>
          </w:tcPr>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368"/>
              <w:spacing w:before="90" w:line="180" w:lineRule="auto"/>
              <w:rPr>
                <w:sz w:val="21"/>
                <w:szCs w:val="21"/>
              </w:rPr>
            </w:pPr>
            <w:r>
              <w:rPr>
                <w:sz w:val="21"/>
                <w:szCs w:val="21"/>
                <w:b/>
                <w:bCs/>
                <w:color w:val="00B8F5"/>
                <w:spacing w:val="-2"/>
              </w:rPr>
              <w:t>美国</w:t>
            </w:r>
          </w:p>
        </w:tc>
        <w:tc>
          <w:tcPr>
            <w:shd w:val="clear" w:fill="F1F1F1"/>
            <w:tcW w:w="4114" w:type="dxa"/>
            <w:vAlign w:val="top"/>
          </w:tcPr>
          <w:p>
            <w:pPr>
              <w:spacing w:line="324" w:lineRule="auto"/>
              <w:rPr>
                <w:rFonts w:ascii="Arial"/>
                <w:sz w:val="21"/>
              </w:rPr>
            </w:pPr>
            <w:r/>
          </w:p>
          <w:p>
            <w:pPr>
              <w:spacing w:line="324" w:lineRule="auto"/>
              <w:rPr>
                <w:rFonts w:ascii="Arial"/>
                <w:sz w:val="21"/>
              </w:rPr>
            </w:pPr>
            <w:r/>
          </w:p>
          <w:p>
            <w:pPr>
              <w:pStyle w:val="TableText"/>
              <w:ind w:left="105"/>
              <w:spacing w:before="77" w:line="198" w:lineRule="auto"/>
              <w:rPr>
                <w:sz w:val="18"/>
                <w:szCs w:val="18"/>
              </w:rPr>
            </w:pPr>
            <w:r>
              <w:rPr>
                <w:sz w:val="18"/>
                <w:szCs w:val="18"/>
                <w:position w:val="-3"/>
              </w:rPr>
              <w:drawing>
                <wp:inline distT="0" distB="0" distL="0" distR="0">
                  <wp:extent cx="43318" cy="128564"/>
                  <wp:effectExtent l="0" t="0" r="0" b="0"/>
                  <wp:docPr id="362" name="IM 362"/>
                  <wp:cNvGraphicFramePr/>
                  <a:graphic>
                    <a:graphicData uri="http://schemas.openxmlformats.org/drawingml/2006/picture">
                      <pic:pic>
                        <pic:nvPicPr>
                          <pic:cNvPr id="362" name="IM 362"/>
                          <pic:cNvPicPr/>
                        </pic:nvPicPr>
                        <pic:blipFill>
                          <a:blip r:embed="rId174"/>
                          <a:stretch>
                            <a:fillRect/>
                          </a:stretch>
                        </pic:blipFill>
                        <pic:spPr>
                          <a:xfrm rot="0">
                            <a:off x="0" y="0"/>
                            <a:ext cx="43318" cy="128564"/>
                          </a:xfrm>
                          <a:prstGeom prst="rect">
                            <a:avLst/>
                          </a:prstGeom>
                        </pic:spPr>
                      </pic:pic>
                    </a:graphicData>
                  </a:graphic>
                </wp:inline>
              </w:drawing>
            </w:r>
            <w:r>
              <w:rPr>
                <w:sz w:val="18"/>
                <w:szCs w:val="18"/>
                <w:spacing w:val="17"/>
                <w:w w:val="101"/>
              </w:rPr>
              <w:t xml:space="preserve">   </w:t>
            </w:r>
            <w:r>
              <w:rPr>
                <w:sz w:val="18"/>
                <w:szCs w:val="18"/>
                <w:spacing w:val="-2"/>
              </w:rPr>
              <w:t>电价完全由市场供需决定。</w:t>
            </w:r>
          </w:p>
          <w:p>
            <w:pPr>
              <w:pStyle w:val="TableText"/>
              <w:ind w:left="360" w:hanging="255"/>
              <w:spacing w:before="3" w:line="197" w:lineRule="auto"/>
              <w:rPr>
                <w:sz w:val="18"/>
                <w:szCs w:val="18"/>
              </w:rPr>
            </w:pPr>
            <w:r>
              <w:rPr>
                <w:sz w:val="18"/>
                <w:szCs w:val="18"/>
                <w:position w:val="-3"/>
              </w:rPr>
              <w:drawing>
                <wp:inline distT="0" distB="0" distL="0" distR="0">
                  <wp:extent cx="42679" cy="128564"/>
                  <wp:effectExtent l="0" t="0" r="0" b="0"/>
                  <wp:docPr id="364" name="IM 364"/>
                  <wp:cNvGraphicFramePr/>
                  <a:graphic>
                    <a:graphicData uri="http://schemas.openxmlformats.org/drawingml/2006/picture">
                      <pic:pic>
                        <pic:nvPicPr>
                          <pic:cNvPr id="364" name="IM 364"/>
                          <pic:cNvPicPr/>
                        </pic:nvPicPr>
                        <pic:blipFill>
                          <a:blip r:embed="rId175"/>
                          <a:stretch>
                            <a:fillRect/>
                          </a:stretch>
                        </pic:blipFill>
                        <pic:spPr>
                          <a:xfrm rot="0">
                            <a:off x="0" y="0"/>
                            <a:ext cx="42679" cy="128564"/>
                          </a:xfrm>
                          <a:prstGeom prst="rect">
                            <a:avLst/>
                          </a:prstGeom>
                        </pic:spPr>
                      </pic:pic>
                    </a:graphicData>
                  </a:graphic>
                </wp:inline>
              </w:drawing>
            </w:r>
            <w:r>
              <w:rPr>
                <w:sz w:val="18"/>
                <w:szCs w:val="18"/>
                <w:spacing w:val="15"/>
              </w:rPr>
              <w:t xml:space="preserve">   </w:t>
            </w:r>
            <w:r>
              <w:rPr>
                <w:sz w:val="18"/>
                <w:szCs w:val="18"/>
                <w:spacing w:val="-2"/>
              </w:rPr>
              <w:t>美国最大区域电力市场PJM：覆盖13个州和哥</w:t>
            </w:r>
            <w:r>
              <w:rPr>
                <w:sz w:val="18"/>
                <w:szCs w:val="18"/>
              </w:rPr>
              <w:t xml:space="preserve">    </w:t>
            </w:r>
            <w:r>
              <w:rPr>
                <w:sz w:val="18"/>
                <w:szCs w:val="18"/>
                <w:spacing w:val="-2"/>
              </w:rPr>
              <w:t>伦比亚特区，交易标的物分为电能、辅助服务、</w:t>
            </w:r>
            <w:r>
              <w:rPr>
                <w:sz w:val="18"/>
                <w:szCs w:val="18"/>
                <w:spacing w:val="8"/>
              </w:rPr>
              <w:t xml:space="preserve"> </w:t>
            </w:r>
            <w:r>
              <w:rPr>
                <w:sz w:val="18"/>
                <w:szCs w:val="18"/>
              </w:rPr>
              <w:t>输电权和容量，其中辅助服务又细分为调频服    </w:t>
            </w:r>
            <w:r>
              <w:rPr>
                <w:sz w:val="18"/>
                <w:szCs w:val="18"/>
                <w:spacing w:val="-2"/>
              </w:rPr>
              <w:t>务、备用服务、无功电压服务和黑启动服务。</w:t>
            </w:r>
          </w:p>
          <w:p>
            <w:pPr>
              <w:pStyle w:val="TableText"/>
              <w:ind w:left="374" w:right="87" w:hanging="269"/>
              <w:spacing w:before="24" w:line="195" w:lineRule="auto"/>
              <w:rPr>
                <w:sz w:val="18"/>
                <w:szCs w:val="18"/>
              </w:rPr>
            </w:pPr>
            <w:r>
              <w:rPr>
                <w:sz w:val="18"/>
                <w:szCs w:val="18"/>
                <w:position w:val="-3"/>
              </w:rPr>
              <w:drawing>
                <wp:inline distT="0" distB="0" distL="0" distR="0">
                  <wp:extent cx="43318" cy="128564"/>
                  <wp:effectExtent l="0" t="0" r="0" b="0"/>
                  <wp:docPr id="366" name="IM 366"/>
                  <wp:cNvGraphicFramePr/>
                  <a:graphic>
                    <a:graphicData uri="http://schemas.openxmlformats.org/drawingml/2006/picture">
                      <pic:pic>
                        <pic:nvPicPr>
                          <pic:cNvPr id="366" name="IM 366"/>
                          <pic:cNvPicPr/>
                        </pic:nvPicPr>
                        <pic:blipFill>
                          <a:blip r:embed="rId176"/>
                          <a:stretch>
                            <a:fillRect/>
                          </a:stretch>
                        </pic:blipFill>
                        <pic:spPr>
                          <a:xfrm rot="0">
                            <a:off x="0" y="0"/>
                            <a:ext cx="43318" cy="128564"/>
                          </a:xfrm>
                          <a:prstGeom prst="rect">
                            <a:avLst/>
                          </a:prstGeom>
                        </pic:spPr>
                      </pic:pic>
                    </a:graphicData>
                  </a:graphic>
                </wp:inline>
              </w:drawing>
            </w:r>
            <w:r>
              <w:rPr>
                <w:sz w:val="18"/>
                <w:szCs w:val="18"/>
                <w:spacing w:val="11"/>
              </w:rPr>
              <w:t xml:space="preserve">   </w:t>
            </w:r>
            <w:r>
              <w:rPr>
                <w:sz w:val="18"/>
                <w:szCs w:val="18"/>
              </w:rPr>
              <w:t>加州EIM市场：</w:t>
            </w:r>
            <w:r>
              <w:rPr>
                <w:sz w:val="18"/>
                <w:szCs w:val="18"/>
                <w:spacing w:val="-18"/>
              </w:rPr>
              <w:t xml:space="preserve"> </w:t>
            </w:r>
            <w:r>
              <w:rPr>
                <w:sz w:val="18"/>
                <w:szCs w:val="18"/>
              </w:rPr>
              <w:t>即美国西部平衡市场</w:t>
            </w:r>
            <w:r>
              <w:rPr>
                <w:sz w:val="18"/>
                <w:szCs w:val="18"/>
                <w:spacing w:val="-24"/>
              </w:rPr>
              <w:t xml:space="preserve"> </w:t>
            </w:r>
            <w:r>
              <w:rPr>
                <w:sz w:val="18"/>
                <w:szCs w:val="18"/>
              </w:rPr>
              <w:t>，</w:t>
            </w:r>
            <w:r>
              <w:rPr>
                <w:sz w:val="18"/>
                <w:szCs w:val="18"/>
                <w:spacing w:val="-30"/>
              </w:rPr>
              <w:t xml:space="preserve"> </w:t>
            </w:r>
            <w:r>
              <w:rPr>
                <w:sz w:val="18"/>
                <w:szCs w:val="18"/>
              </w:rPr>
              <w:t>由</w:t>
            </w:r>
            <w:r>
              <w:rPr>
                <w:sz w:val="18"/>
                <w:szCs w:val="18"/>
                <w:spacing w:val="-1"/>
              </w:rPr>
              <w:t>加州</w:t>
            </w:r>
            <w:r>
              <w:rPr>
                <w:sz w:val="18"/>
                <w:szCs w:val="18"/>
              </w:rPr>
              <w:t xml:space="preserve"> </w:t>
            </w:r>
            <w:r>
              <w:rPr>
                <w:sz w:val="18"/>
                <w:szCs w:val="18"/>
                <w:spacing w:val="-1"/>
              </w:rPr>
              <w:t>ISO建立，先后将西部8个州及加拿大部分地区</w:t>
            </w:r>
            <w:r>
              <w:rPr>
                <w:sz w:val="18"/>
                <w:szCs w:val="18"/>
                <w:spacing w:val="18"/>
              </w:rPr>
              <w:t xml:space="preserve"> </w:t>
            </w:r>
            <w:r>
              <w:rPr>
                <w:sz w:val="18"/>
                <w:szCs w:val="18"/>
                <w:spacing w:val="-2"/>
              </w:rPr>
              <w:t>的平衡资源纳入市场。</w:t>
            </w:r>
          </w:p>
        </w:tc>
        <w:tc>
          <w:tcPr>
            <w:shd w:val="clear" w:fill="F1F1F1"/>
            <w:tcW w:w="4379" w:type="dxa"/>
            <w:vAlign w:val="top"/>
            <w:tcBorders>
              <w:right w:val="nil"/>
            </w:tcBorders>
          </w:tcPr>
          <w:p>
            <w:pPr>
              <w:pStyle w:val="TableText"/>
              <w:ind w:left="371" w:right="90" w:hanging="265"/>
              <w:spacing w:before="209" w:line="195" w:lineRule="auto"/>
              <w:rPr>
                <w:sz w:val="18"/>
                <w:szCs w:val="18"/>
              </w:rPr>
            </w:pPr>
            <w:r>
              <w:rPr>
                <w:sz w:val="18"/>
                <w:szCs w:val="18"/>
                <w:position w:val="-3"/>
              </w:rPr>
              <w:drawing>
                <wp:inline distT="0" distB="0" distL="0" distR="0">
                  <wp:extent cx="43318" cy="128564"/>
                  <wp:effectExtent l="0" t="0" r="0" b="0"/>
                  <wp:docPr id="368" name="IM 368"/>
                  <wp:cNvGraphicFramePr/>
                  <a:graphic>
                    <a:graphicData uri="http://schemas.openxmlformats.org/drawingml/2006/picture">
                      <pic:pic>
                        <pic:nvPicPr>
                          <pic:cNvPr id="368" name="IM 368"/>
                          <pic:cNvPicPr/>
                        </pic:nvPicPr>
                        <pic:blipFill>
                          <a:blip r:embed="rId177"/>
                          <a:stretch>
                            <a:fillRect/>
                          </a:stretch>
                        </pic:blipFill>
                        <pic:spPr>
                          <a:xfrm rot="0">
                            <a:off x="0" y="0"/>
                            <a:ext cx="43318" cy="128564"/>
                          </a:xfrm>
                          <a:prstGeom prst="rect">
                            <a:avLst/>
                          </a:prstGeom>
                        </pic:spPr>
                      </pic:pic>
                    </a:graphicData>
                  </a:graphic>
                </wp:inline>
              </w:drawing>
            </w:r>
            <w:r>
              <w:rPr>
                <w:sz w:val="18"/>
                <w:szCs w:val="18"/>
                <w:spacing w:val="12"/>
              </w:rPr>
              <w:t xml:space="preserve">   </w:t>
            </w:r>
            <w:r>
              <w:rPr>
                <w:sz w:val="18"/>
                <w:szCs w:val="18"/>
                <w:spacing w:val="6"/>
              </w:rPr>
              <w:t>2018</w:t>
            </w:r>
            <w:r>
              <w:rPr>
                <w:sz w:val="18"/>
                <w:szCs w:val="18"/>
                <w:spacing w:val="-25"/>
              </w:rPr>
              <w:t xml:space="preserve"> </w:t>
            </w:r>
            <w:r>
              <w:rPr>
                <w:sz w:val="18"/>
                <w:szCs w:val="18"/>
                <w:spacing w:val="6"/>
              </w:rPr>
              <w:t>年美国</w:t>
            </w:r>
            <w:r>
              <w:rPr>
                <w:sz w:val="18"/>
                <w:szCs w:val="18"/>
                <w:spacing w:val="-26"/>
              </w:rPr>
              <w:t xml:space="preserve"> </w:t>
            </w:r>
            <w:r>
              <w:rPr>
                <w:sz w:val="18"/>
                <w:szCs w:val="18"/>
                <w:spacing w:val="6"/>
              </w:rPr>
              <w:t>841</w:t>
            </w:r>
            <w:r>
              <w:rPr>
                <w:sz w:val="18"/>
                <w:szCs w:val="18"/>
                <w:spacing w:val="-26"/>
              </w:rPr>
              <w:t xml:space="preserve"> </w:t>
            </w:r>
            <w:r>
              <w:rPr>
                <w:sz w:val="18"/>
                <w:szCs w:val="18"/>
                <w:spacing w:val="6"/>
              </w:rPr>
              <w:t>法令出台</w:t>
            </w:r>
            <w:r>
              <w:rPr>
                <w:sz w:val="18"/>
                <w:szCs w:val="18"/>
                <w:spacing w:val="-10"/>
              </w:rPr>
              <w:t xml:space="preserve"> </w:t>
            </w:r>
            <w:r>
              <w:rPr>
                <w:sz w:val="18"/>
                <w:szCs w:val="18"/>
                <w:spacing w:val="6"/>
              </w:rPr>
              <w:t>，</w:t>
            </w:r>
            <w:r>
              <w:rPr>
                <w:sz w:val="18"/>
                <w:szCs w:val="18"/>
                <w:spacing w:val="-22"/>
              </w:rPr>
              <w:t xml:space="preserve"> </w:t>
            </w:r>
            <w:r>
              <w:rPr>
                <w:sz w:val="18"/>
                <w:szCs w:val="18"/>
                <w:spacing w:val="6"/>
              </w:rPr>
              <w:t>明确储能可以参与</w:t>
            </w:r>
            <w:r>
              <w:rPr>
                <w:sz w:val="18"/>
                <w:szCs w:val="18"/>
              </w:rPr>
              <w:t xml:space="preserve"> </w:t>
            </w:r>
            <w:r>
              <w:rPr>
                <w:sz w:val="18"/>
                <w:szCs w:val="18"/>
                <w:spacing w:val="-1"/>
              </w:rPr>
              <w:t>RTO（区域输电组织）</w:t>
            </w:r>
            <w:r>
              <w:rPr>
                <w:sz w:val="18"/>
                <w:szCs w:val="18"/>
                <w:spacing w:val="-27"/>
              </w:rPr>
              <w:t xml:space="preserve"> </w:t>
            </w:r>
            <w:r>
              <w:rPr>
                <w:sz w:val="18"/>
                <w:szCs w:val="18"/>
                <w:spacing w:val="-1"/>
              </w:rPr>
              <w:t>与ISO（区域独立系统运营</w:t>
            </w:r>
            <w:r>
              <w:rPr>
                <w:sz w:val="18"/>
                <w:szCs w:val="18"/>
              </w:rPr>
              <w:t xml:space="preserve"> </w:t>
            </w:r>
            <w:r>
              <w:rPr>
                <w:sz w:val="18"/>
                <w:szCs w:val="18"/>
                <w:spacing w:val="-1"/>
              </w:rPr>
              <w:t>商）运营的所有电力市场。</w:t>
            </w:r>
          </w:p>
          <w:p>
            <w:pPr>
              <w:pStyle w:val="TableText"/>
              <w:ind w:left="360" w:hanging="254"/>
              <w:spacing w:before="31" w:line="199" w:lineRule="auto"/>
              <w:rPr>
                <w:sz w:val="18"/>
                <w:szCs w:val="18"/>
              </w:rPr>
            </w:pPr>
            <w:r>
              <w:rPr>
                <w:sz w:val="18"/>
                <w:szCs w:val="18"/>
                <w:position w:val="-3"/>
              </w:rPr>
              <w:drawing>
                <wp:inline distT="0" distB="0" distL="0" distR="0">
                  <wp:extent cx="42720" cy="128564"/>
                  <wp:effectExtent l="0" t="0" r="0" b="0"/>
                  <wp:docPr id="370" name="IM 370"/>
                  <wp:cNvGraphicFramePr/>
                  <a:graphic>
                    <a:graphicData uri="http://schemas.openxmlformats.org/drawingml/2006/picture">
                      <pic:pic>
                        <pic:nvPicPr>
                          <pic:cNvPr id="370" name="IM 370"/>
                          <pic:cNvPicPr/>
                        </pic:nvPicPr>
                        <pic:blipFill>
                          <a:blip r:embed="rId178"/>
                          <a:stretch>
                            <a:fillRect/>
                          </a:stretch>
                        </pic:blipFill>
                        <pic:spPr>
                          <a:xfrm rot="0">
                            <a:off x="0" y="0"/>
                            <a:ext cx="42720" cy="128564"/>
                          </a:xfrm>
                          <a:prstGeom prst="rect">
                            <a:avLst/>
                          </a:prstGeom>
                        </pic:spPr>
                      </pic:pic>
                    </a:graphicData>
                  </a:graphic>
                </wp:inline>
              </w:drawing>
            </w:r>
            <w:r>
              <w:rPr>
                <w:sz w:val="18"/>
                <w:szCs w:val="18"/>
                <w:spacing w:val="16"/>
                <w:w w:val="101"/>
              </w:rPr>
              <w:t xml:space="preserve">   </w:t>
            </w:r>
            <w:r>
              <w:rPr>
                <w:sz w:val="18"/>
                <w:szCs w:val="18"/>
                <w:spacing w:val="-1"/>
              </w:rPr>
              <w:t>841法令两大核心变革：</w:t>
            </w:r>
            <w:r>
              <w:rPr>
                <w:sz w:val="18"/>
                <w:szCs w:val="18"/>
                <w:spacing w:val="-28"/>
              </w:rPr>
              <w:t xml:space="preserve"> </w:t>
            </w:r>
            <w:r>
              <w:rPr>
                <w:sz w:val="18"/>
                <w:szCs w:val="18"/>
                <w:spacing w:val="-1"/>
              </w:rPr>
              <w:t>1）赋予储能和其他主体</w:t>
            </w:r>
            <w:r>
              <w:rPr>
                <w:sz w:val="18"/>
                <w:szCs w:val="18"/>
              </w:rPr>
              <w:t xml:space="preserve">    </w:t>
            </w:r>
            <w:r>
              <w:rPr>
                <w:sz w:val="18"/>
                <w:szCs w:val="18"/>
                <w:spacing w:val="3"/>
              </w:rPr>
              <w:t>一样的市场地位：允许储能参与能量、容量、辅    </w:t>
            </w:r>
            <w:r>
              <w:rPr>
                <w:sz w:val="18"/>
                <w:szCs w:val="18"/>
                <w:spacing w:val="2"/>
              </w:rPr>
              <w:t>助服务等全体系市场</w:t>
            </w:r>
            <w:r>
              <w:rPr>
                <w:sz w:val="18"/>
                <w:szCs w:val="18"/>
                <w:spacing w:val="-10"/>
              </w:rPr>
              <w:t xml:space="preserve"> </w:t>
            </w:r>
            <w:r>
              <w:rPr>
                <w:sz w:val="18"/>
                <w:szCs w:val="18"/>
                <w:spacing w:val="2"/>
              </w:rPr>
              <w:t>，并允许储能在市场上申报</w:t>
            </w:r>
            <w:r>
              <w:rPr>
                <w:sz w:val="18"/>
                <w:szCs w:val="18"/>
              </w:rPr>
              <w:t xml:space="preserve">    </w:t>
            </w:r>
            <w:r>
              <w:rPr>
                <w:sz w:val="18"/>
                <w:szCs w:val="18"/>
                <w:spacing w:val="2"/>
              </w:rPr>
              <w:t>投标购电或售电</w:t>
            </w:r>
            <w:r>
              <w:rPr>
                <w:sz w:val="18"/>
                <w:szCs w:val="18"/>
                <w:spacing w:val="-10"/>
              </w:rPr>
              <w:t xml:space="preserve"> </w:t>
            </w:r>
            <w:r>
              <w:rPr>
                <w:sz w:val="18"/>
                <w:szCs w:val="18"/>
                <w:spacing w:val="2"/>
              </w:rPr>
              <w:t>，且其充放电能按照节点电价结</w:t>
            </w:r>
            <w:r>
              <w:rPr>
                <w:sz w:val="18"/>
                <w:szCs w:val="18"/>
              </w:rPr>
              <w:t xml:space="preserve">    </w:t>
            </w:r>
            <w:r>
              <w:rPr>
                <w:sz w:val="18"/>
                <w:szCs w:val="18"/>
                <w:spacing w:val="-7"/>
              </w:rPr>
              <w:t>算。2）</w:t>
            </w:r>
            <w:r>
              <w:rPr>
                <w:sz w:val="18"/>
                <w:szCs w:val="18"/>
                <w:spacing w:val="-15"/>
              </w:rPr>
              <w:t xml:space="preserve"> </w:t>
            </w:r>
            <w:r>
              <w:rPr>
                <w:sz w:val="18"/>
                <w:szCs w:val="18"/>
                <w:spacing w:val="-7"/>
              </w:rPr>
              <w:t>降低准入门槛：将储能的准入门槛从1MW</w:t>
            </w:r>
            <w:r>
              <w:rPr>
                <w:sz w:val="18"/>
                <w:szCs w:val="18"/>
              </w:rPr>
              <w:t xml:space="preserve">    </w:t>
            </w:r>
            <w:r>
              <w:rPr>
                <w:sz w:val="18"/>
                <w:szCs w:val="18"/>
                <w:spacing w:val="-2"/>
              </w:rPr>
              <w:t>降低至100KW</w:t>
            </w:r>
            <w:r>
              <w:rPr>
                <w:sz w:val="18"/>
                <w:szCs w:val="18"/>
                <w:spacing w:val="-24"/>
              </w:rPr>
              <w:t xml:space="preserve"> </w:t>
            </w:r>
            <w:r>
              <w:rPr>
                <w:sz w:val="18"/>
                <w:szCs w:val="18"/>
                <w:spacing w:val="-2"/>
              </w:rPr>
              <w:t>，增加市场主体数量</w:t>
            </w:r>
            <w:r>
              <w:rPr>
                <w:sz w:val="18"/>
                <w:szCs w:val="18"/>
                <w:spacing w:val="-25"/>
              </w:rPr>
              <w:t xml:space="preserve"> </w:t>
            </w:r>
            <w:r>
              <w:rPr>
                <w:sz w:val="18"/>
                <w:szCs w:val="18"/>
                <w:spacing w:val="-2"/>
              </w:rPr>
              <w:t>，实现更大范</w:t>
            </w:r>
            <w:r>
              <w:rPr>
                <w:sz w:val="18"/>
                <w:szCs w:val="18"/>
              </w:rPr>
              <w:t xml:space="preserve">    </w:t>
            </w:r>
            <w:r>
              <w:rPr>
                <w:sz w:val="18"/>
                <w:szCs w:val="18"/>
                <w:spacing w:val="2"/>
              </w:rPr>
              <w:t>围内更优的资源配臵；明确储能的荷电约束状态，</w:t>
            </w:r>
            <w:r>
              <w:rPr>
                <w:sz w:val="18"/>
                <w:szCs w:val="18"/>
                <w:spacing w:val="10"/>
              </w:rPr>
              <w:t xml:space="preserve"> </w:t>
            </w:r>
            <w:r>
              <w:rPr>
                <w:sz w:val="18"/>
                <w:szCs w:val="18"/>
                <w:spacing w:val="2"/>
              </w:rPr>
              <w:t>保证储能不同时充放电</w:t>
            </w:r>
            <w:r>
              <w:rPr>
                <w:sz w:val="18"/>
                <w:szCs w:val="18"/>
                <w:spacing w:val="-10"/>
              </w:rPr>
              <w:t xml:space="preserve"> </w:t>
            </w:r>
            <w:r>
              <w:rPr>
                <w:sz w:val="18"/>
                <w:szCs w:val="18"/>
                <w:spacing w:val="2"/>
              </w:rPr>
              <w:t>，并考虑储能的能量优先</w:t>
            </w:r>
            <w:r>
              <w:rPr>
                <w:sz w:val="18"/>
                <w:szCs w:val="18"/>
              </w:rPr>
              <w:t xml:space="preserve">    </w:t>
            </w:r>
            <w:r>
              <w:rPr>
                <w:sz w:val="18"/>
                <w:szCs w:val="18"/>
                <w:spacing w:val="-1"/>
              </w:rPr>
              <w:t>性核定其容量价值。</w:t>
            </w:r>
          </w:p>
        </w:tc>
      </w:tr>
      <w:tr>
        <w:trPr>
          <w:trHeight w:val="2110" w:hRule="atLeast"/>
        </w:trPr>
        <w:tc>
          <w:tcPr>
            <w:tcW w:w="1147" w:type="dxa"/>
            <w:vAlign w:val="top"/>
            <w:tcBorders>
              <w:left w:val="nil"/>
            </w:tcBorders>
          </w:tcPr>
          <w:p>
            <w:pPr>
              <w:spacing w:line="287" w:lineRule="auto"/>
              <w:rPr>
                <w:rFonts w:ascii="Arial"/>
                <w:sz w:val="21"/>
              </w:rPr>
            </w:pPr>
            <w:r/>
          </w:p>
          <w:p>
            <w:pPr>
              <w:spacing w:line="287" w:lineRule="auto"/>
              <w:rPr>
                <w:rFonts w:ascii="Arial"/>
                <w:sz w:val="21"/>
              </w:rPr>
            </w:pPr>
            <w:r/>
          </w:p>
          <w:p>
            <w:pPr>
              <w:spacing w:line="288" w:lineRule="auto"/>
              <w:rPr>
                <w:rFonts w:ascii="Arial"/>
                <w:sz w:val="21"/>
              </w:rPr>
            </w:pPr>
            <w:r/>
          </w:p>
          <w:p>
            <w:pPr>
              <w:pStyle w:val="TableText"/>
              <w:ind w:left="376"/>
              <w:spacing w:before="91" w:line="180" w:lineRule="auto"/>
              <w:rPr>
                <w:sz w:val="21"/>
                <w:szCs w:val="21"/>
              </w:rPr>
            </w:pPr>
            <w:r>
              <w:rPr>
                <w:sz w:val="21"/>
                <w:szCs w:val="21"/>
                <w:b/>
                <w:bCs/>
                <w:color w:val="00B8F5"/>
                <w:spacing w:val="-3"/>
              </w:rPr>
              <w:t>欧洲</w:t>
            </w:r>
          </w:p>
        </w:tc>
        <w:tc>
          <w:tcPr>
            <w:tcW w:w="4114" w:type="dxa"/>
            <w:vAlign w:val="top"/>
          </w:tcPr>
          <w:p>
            <w:pPr>
              <w:spacing w:line="383" w:lineRule="auto"/>
              <w:rPr>
                <w:rFonts w:ascii="Arial"/>
                <w:sz w:val="21"/>
              </w:rPr>
            </w:pPr>
            <w:r/>
          </w:p>
          <w:p>
            <w:pPr>
              <w:pStyle w:val="TableText"/>
              <w:ind w:left="361" w:hanging="256"/>
              <w:spacing w:before="77" w:line="193" w:lineRule="auto"/>
              <w:rPr>
                <w:sz w:val="18"/>
                <w:szCs w:val="18"/>
              </w:rPr>
            </w:pPr>
            <w:r>
              <w:rPr>
                <w:sz w:val="18"/>
                <w:szCs w:val="18"/>
                <w:position w:val="-3"/>
              </w:rPr>
              <w:drawing>
                <wp:inline distT="0" distB="0" distL="0" distR="0">
                  <wp:extent cx="42700" cy="128564"/>
                  <wp:effectExtent l="0" t="0" r="0" b="0"/>
                  <wp:docPr id="372" name="IM 372"/>
                  <wp:cNvGraphicFramePr/>
                  <a:graphic>
                    <a:graphicData uri="http://schemas.openxmlformats.org/drawingml/2006/picture">
                      <pic:pic>
                        <pic:nvPicPr>
                          <pic:cNvPr id="372" name="IM 372"/>
                          <pic:cNvPicPr/>
                        </pic:nvPicPr>
                        <pic:blipFill>
                          <a:blip r:embed="rId179"/>
                          <a:stretch>
                            <a:fillRect/>
                          </a:stretch>
                        </pic:blipFill>
                        <pic:spPr>
                          <a:xfrm rot="0">
                            <a:off x="0" y="0"/>
                            <a:ext cx="42700" cy="128564"/>
                          </a:xfrm>
                          <a:prstGeom prst="rect">
                            <a:avLst/>
                          </a:prstGeom>
                        </pic:spPr>
                      </pic:pic>
                    </a:graphicData>
                  </a:graphic>
                </wp:inline>
              </w:drawing>
            </w:r>
            <w:r>
              <w:rPr>
                <w:sz w:val="18"/>
                <w:szCs w:val="18"/>
                <w:spacing w:val="12"/>
              </w:rPr>
              <w:t xml:space="preserve">   </w:t>
            </w:r>
            <w:r>
              <w:rPr>
                <w:sz w:val="18"/>
                <w:szCs w:val="18"/>
                <w:spacing w:val="-2"/>
              </w:rPr>
              <w:t>大部分国家电力交易推行峰谷电价和季节电价，</w:t>
            </w:r>
            <w:r>
              <w:rPr>
                <w:sz w:val="18"/>
                <w:szCs w:val="18"/>
                <w:spacing w:val="1"/>
              </w:rPr>
              <w:t xml:space="preserve"> </w:t>
            </w:r>
            <w:r>
              <w:rPr>
                <w:sz w:val="18"/>
                <w:szCs w:val="18"/>
                <w:spacing w:val="-3"/>
              </w:rPr>
              <w:t>存在较大的套利空间。</w:t>
            </w:r>
          </w:p>
          <w:p>
            <w:pPr>
              <w:pStyle w:val="TableText"/>
              <w:ind w:left="365" w:right="87" w:hanging="260"/>
              <w:spacing w:before="21" w:line="195" w:lineRule="auto"/>
              <w:rPr>
                <w:sz w:val="18"/>
                <w:szCs w:val="18"/>
              </w:rPr>
            </w:pPr>
            <w:r>
              <w:rPr>
                <w:sz w:val="18"/>
                <w:szCs w:val="18"/>
                <w:position w:val="-3"/>
              </w:rPr>
              <w:drawing>
                <wp:inline distT="0" distB="0" distL="0" distR="0">
                  <wp:extent cx="43318" cy="128564"/>
                  <wp:effectExtent l="0" t="0" r="0" b="0"/>
                  <wp:docPr id="374" name="IM 374"/>
                  <wp:cNvGraphicFramePr/>
                  <a:graphic>
                    <a:graphicData uri="http://schemas.openxmlformats.org/drawingml/2006/picture">
                      <pic:pic>
                        <pic:nvPicPr>
                          <pic:cNvPr id="374" name="IM 374"/>
                          <pic:cNvPicPr/>
                        </pic:nvPicPr>
                        <pic:blipFill>
                          <a:blip r:embed="rId180"/>
                          <a:stretch>
                            <a:fillRect/>
                          </a:stretch>
                        </pic:blipFill>
                        <pic:spPr>
                          <a:xfrm rot="0">
                            <a:off x="0" y="0"/>
                            <a:ext cx="43318" cy="128564"/>
                          </a:xfrm>
                          <a:prstGeom prst="rect">
                            <a:avLst/>
                          </a:prstGeom>
                        </pic:spPr>
                      </pic:pic>
                    </a:graphicData>
                  </a:graphic>
                </wp:inline>
              </w:drawing>
            </w:r>
            <w:r>
              <w:rPr>
                <w:sz w:val="18"/>
                <w:szCs w:val="18"/>
                <w:spacing w:val="15"/>
                <w:w w:val="101"/>
              </w:rPr>
              <w:t xml:space="preserve">   </w:t>
            </w:r>
            <w:r>
              <w:rPr>
                <w:sz w:val="18"/>
                <w:szCs w:val="18"/>
                <w:spacing w:val="2"/>
              </w:rPr>
              <w:t>大部分国家采用了电能量市场、容量市场和辅</w:t>
            </w:r>
            <w:r>
              <w:rPr>
                <w:sz w:val="18"/>
                <w:szCs w:val="18"/>
              </w:rPr>
              <w:t xml:space="preserve"> </w:t>
            </w:r>
            <w:r>
              <w:rPr>
                <w:sz w:val="18"/>
                <w:szCs w:val="18"/>
                <w:spacing w:val="2"/>
              </w:rPr>
              <w:t>助服务市场等多市场协调配合的机制（德国无</w:t>
            </w:r>
            <w:r>
              <w:rPr>
                <w:sz w:val="18"/>
                <w:szCs w:val="18"/>
                <w:spacing w:val="14"/>
              </w:rPr>
              <w:t xml:space="preserve"> </w:t>
            </w:r>
            <w:r>
              <w:rPr>
                <w:sz w:val="18"/>
                <w:szCs w:val="18"/>
                <w:spacing w:val="-4"/>
              </w:rPr>
              <w:t>容量市场）。</w:t>
            </w:r>
          </w:p>
        </w:tc>
        <w:tc>
          <w:tcPr>
            <w:tcW w:w="4379" w:type="dxa"/>
            <w:vAlign w:val="top"/>
            <w:tcBorders>
              <w:right w:val="nil"/>
            </w:tcBorders>
          </w:tcPr>
          <w:p>
            <w:pPr>
              <w:pStyle w:val="TableText"/>
              <w:ind w:left="370" w:right="90" w:hanging="264"/>
              <w:spacing w:before="74" w:line="193" w:lineRule="auto"/>
              <w:rPr>
                <w:sz w:val="18"/>
                <w:szCs w:val="18"/>
              </w:rPr>
            </w:pPr>
            <w:r>
              <w:rPr>
                <w:sz w:val="18"/>
                <w:szCs w:val="18"/>
                <w:position w:val="-3"/>
              </w:rPr>
              <w:drawing>
                <wp:inline distT="0" distB="0" distL="0" distR="0">
                  <wp:extent cx="43318" cy="128564"/>
                  <wp:effectExtent l="0" t="0" r="0" b="0"/>
                  <wp:docPr id="376" name="IM 376"/>
                  <wp:cNvGraphicFramePr/>
                  <a:graphic>
                    <a:graphicData uri="http://schemas.openxmlformats.org/drawingml/2006/picture">
                      <pic:pic>
                        <pic:nvPicPr>
                          <pic:cNvPr id="376" name="IM 376"/>
                          <pic:cNvPicPr/>
                        </pic:nvPicPr>
                        <pic:blipFill>
                          <a:blip r:embed="rId181"/>
                          <a:stretch>
                            <a:fillRect/>
                          </a:stretch>
                        </pic:blipFill>
                        <pic:spPr>
                          <a:xfrm rot="0">
                            <a:off x="0" y="0"/>
                            <a:ext cx="43318" cy="128564"/>
                          </a:xfrm>
                          <a:prstGeom prst="rect">
                            <a:avLst/>
                          </a:prstGeom>
                        </pic:spPr>
                      </pic:pic>
                    </a:graphicData>
                  </a:graphic>
                </wp:inline>
              </w:drawing>
            </w:r>
            <w:r>
              <w:rPr>
                <w:sz w:val="18"/>
                <w:szCs w:val="18"/>
                <w:spacing w:val="14"/>
                <w:w w:val="101"/>
              </w:rPr>
              <w:t xml:space="preserve">   </w:t>
            </w:r>
            <w:r>
              <w:rPr>
                <w:sz w:val="18"/>
                <w:szCs w:val="18"/>
                <w:spacing w:val="6"/>
              </w:rPr>
              <w:t>原则上不允许电力系统运营商直接投资、控制储</w:t>
            </w:r>
            <w:r>
              <w:rPr>
                <w:sz w:val="18"/>
                <w:szCs w:val="18"/>
                <w:spacing w:val="1"/>
              </w:rPr>
              <w:t xml:space="preserve"> </w:t>
            </w:r>
            <w:r>
              <w:rPr>
                <w:sz w:val="18"/>
                <w:szCs w:val="18"/>
                <w:spacing w:val="-6"/>
              </w:rPr>
              <w:t>能资源。</w:t>
            </w:r>
          </w:p>
          <w:p>
            <w:pPr>
              <w:pStyle w:val="TableText"/>
              <w:ind w:left="360" w:hanging="254"/>
              <w:spacing w:before="23" w:line="195" w:lineRule="auto"/>
              <w:rPr>
                <w:sz w:val="18"/>
                <w:szCs w:val="18"/>
              </w:rPr>
            </w:pPr>
            <w:r>
              <w:rPr>
                <w:sz w:val="18"/>
                <w:szCs w:val="18"/>
                <w:position w:val="-3"/>
              </w:rPr>
              <w:drawing>
                <wp:inline distT="0" distB="0" distL="0" distR="0">
                  <wp:extent cx="42720" cy="128564"/>
                  <wp:effectExtent l="0" t="0" r="0" b="0"/>
                  <wp:docPr id="378" name="IM 378"/>
                  <wp:cNvGraphicFramePr/>
                  <a:graphic>
                    <a:graphicData uri="http://schemas.openxmlformats.org/drawingml/2006/picture">
                      <pic:pic>
                        <pic:nvPicPr>
                          <pic:cNvPr id="378" name="IM 378"/>
                          <pic:cNvPicPr/>
                        </pic:nvPicPr>
                        <pic:blipFill>
                          <a:blip r:embed="rId182"/>
                          <a:stretch>
                            <a:fillRect/>
                          </a:stretch>
                        </pic:blipFill>
                        <pic:spPr>
                          <a:xfrm rot="0">
                            <a:off x="0" y="0"/>
                            <a:ext cx="42720" cy="128564"/>
                          </a:xfrm>
                          <a:prstGeom prst="rect">
                            <a:avLst/>
                          </a:prstGeom>
                        </pic:spPr>
                      </pic:pic>
                    </a:graphicData>
                  </a:graphic>
                </wp:inline>
              </w:drawing>
            </w:r>
            <w:r>
              <w:rPr>
                <w:sz w:val="18"/>
                <w:szCs w:val="18"/>
                <w:spacing w:val="15"/>
              </w:rPr>
              <w:t xml:space="preserve">   </w:t>
            </w:r>
            <w:r>
              <w:rPr>
                <w:sz w:val="18"/>
                <w:szCs w:val="18"/>
                <w:spacing w:val="-7"/>
              </w:rPr>
              <w:t>允许储能参与电力市场通常要求最低容量为  1MW，</w:t>
            </w:r>
            <w:r>
              <w:rPr>
                <w:sz w:val="18"/>
                <w:szCs w:val="18"/>
                <w:spacing w:val="1"/>
              </w:rPr>
              <w:t xml:space="preserve"> </w:t>
            </w:r>
            <w:r>
              <w:rPr>
                <w:sz w:val="18"/>
                <w:szCs w:val="18"/>
                <w:spacing w:val="4"/>
              </w:rPr>
              <w:t>大规模储能的主要回报形式是向电网运营商提供</w:t>
            </w:r>
            <w:r>
              <w:rPr>
                <w:sz w:val="18"/>
                <w:szCs w:val="18"/>
              </w:rPr>
              <w:t xml:space="preserve">    </w:t>
            </w:r>
            <w:r>
              <w:rPr>
                <w:sz w:val="18"/>
                <w:szCs w:val="18"/>
                <w:spacing w:val="4"/>
              </w:rPr>
              <w:t>调频服务和其他辅助服务。不过很多国家都允许</w:t>
            </w:r>
            <w:r>
              <w:rPr>
                <w:sz w:val="18"/>
                <w:szCs w:val="18"/>
              </w:rPr>
              <w:t xml:space="preserve">    </w:t>
            </w:r>
            <w:r>
              <w:rPr>
                <w:sz w:val="18"/>
                <w:szCs w:val="18"/>
                <w:spacing w:val="2"/>
              </w:rPr>
              <w:t>中小型储能则能通过聚合商参与市场</w:t>
            </w:r>
            <w:r>
              <w:rPr>
                <w:sz w:val="18"/>
                <w:szCs w:val="18"/>
                <w:spacing w:val="-9"/>
              </w:rPr>
              <w:t xml:space="preserve"> </w:t>
            </w:r>
            <w:r>
              <w:rPr>
                <w:sz w:val="18"/>
                <w:szCs w:val="18"/>
                <w:spacing w:val="2"/>
              </w:rPr>
              <w:t>，聚合商可</w:t>
            </w:r>
            <w:r>
              <w:rPr>
                <w:sz w:val="18"/>
                <w:szCs w:val="18"/>
              </w:rPr>
              <w:t xml:space="preserve">    </w:t>
            </w:r>
            <w:r>
              <w:rPr>
                <w:sz w:val="18"/>
                <w:szCs w:val="18"/>
                <w:spacing w:val="3"/>
              </w:rPr>
              <w:t>以提供能量、平衡服务、容量、</w:t>
            </w:r>
            <w:r>
              <w:rPr>
                <w:sz w:val="18"/>
                <w:szCs w:val="18"/>
                <w:spacing w:val="-30"/>
              </w:rPr>
              <w:t xml:space="preserve"> </w:t>
            </w:r>
            <w:r>
              <w:rPr>
                <w:sz w:val="18"/>
                <w:szCs w:val="18"/>
                <w:spacing w:val="3"/>
              </w:rPr>
              <w:t>需求侧响应等多</w:t>
            </w:r>
            <w:r>
              <w:rPr>
                <w:sz w:val="18"/>
                <w:szCs w:val="18"/>
              </w:rPr>
              <w:t xml:space="preserve">    </w:t>
            </w:r>
            <w:r>
              <w:rPr>
                <w:sz w:val="18"/>
                <w:szCs w:val="18"/>
                <w:spacing w:val="-7"/>
              </w:rPr>
              <w:t>种服务。</w:t>
            </w:r>
          </w:p>
        </w:tc>
      </w:tr>
      <w:tr>
        <w:trPr>
          <w:trHeight w:val="3710" w:hRule="atLeast"/>
        </w:trPr>
        <w:tc>
          <w:tcPr>
            <w:shd w:val="clear" w:fill="F1F1F1"/>
            <w:tcW w:w="1147" w:type="dxa"/>
            <w:vAlign w:val="top"/>
            <w:tcBorders>
              <w:left w:val="nil"/>
              <w:bottom w:val="single" w:color="00B8F5" w:sz="12" w:space="0"/>
            </w:tcBorders>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157"/>
              <w:spacing w:before="90" w:line="178" w:lineRule="auto"/>
              <w:rPr>
                <w:sz w:val="21"/>
                <w:szCs w:val="21"/>
              </w:rPr>
            </w:pPr>
            <w:r>
              <w:rPr>
                <w:sz w:val="21"/>
                <w:szCs w:val="21"/>
                <w:b/>
                <w:bCs/>
                <w:color w:val="00B8F5"/>
                <w:spacing w:val="-1"/>
              </w:rPr>
              <w:t>澳大利亚</w:t>
            </w:r>
          </w:p>
        </w:tc>
        <w:tc>
          <w:tcPr>
            <w:shd w:val="clear" w:fill="F1F1F1"/>
            <w:tcW w:w="4114" w:type="dxa"/>
            <w:vAlign w:val="top"/>
            <w:tcBorders>
              <w:bottom w:val="single" w:color="00B8F5" w:sz="12" w:space="0"/>
            </w:tcBorders>
          </w:tcPr>
          <w:p>
            <w:pPr>
              <w:spacing w:line="281" w:lineRule="auto"/>
              <w:rPr>
                <w:rFonts w:ascii="Arial"/>
                <w:sz w:val="21"/>
              </w:rPr>
            </w:pPr>
            <w:r/>
          </w:p>
          <w:p>
            <w:pPr>
              <w:pStyle w:val="TableText"/>
              <w:ind w:left="360" w:hanging="255"/>
              <w:spacing w:before="77" w:line="198" w:lineRule="auto"/>
              <w:rPr>
                <w:sz w:val="18"/>
                <w:szCs w:val="18"/>
              </w:rPr>
            </w:pPr>
            <w:r>
              <w:rPr>
                <w:sz w:val="18"/>
                <w:szCs w:val="18"/>
                <w:position w:val="-3"/>
              </w:rPr>
              <w:drawing>
                <wp:inline distT="0" distB="0" distL="0" distR="0">
                  <wp:extent cx="42700" cy="128564"/>
                  <wp:effectExtent l="0" t="0" r="0" b="0"/>
                  <wp:docPr id="380" name="IM 380"/>
                  <wp:cNvGraphicFramePr/>
                  <a:graphic>
                    <a:graphicData uri="http://schemas.openxmlformats.org/drawingml/2006/picture">
                      <pic:pic>
                        <pic:nvPicPr>
                          <pic:cNvPr id="380" name="IM 380"/>
                          <pic:cNvPicPr/>
                        </pic:nvPicPr>
                        <pic:blipFill>
                          <a:blip r:embed="rId183"/>
                          <a:stretch>
                            <a:fillRect/>
                          </a:stretch>
                        </pic:blipFill>
                        <pic:spPr>
                          <a:xfrm rot="0">
                            <a:off x="0" y="0"/>
                            <a:ext cx="42700" cy="128564"/>
                          </a:xfrm>
                          <a:prstGeom prst="rect">
                            <a:avLst/>
                          </a:prstGeom>
                        </pic:spPr>
                      </pic:pic>
                    </a:graphicData>
                  </a:graphic>
                </wp:inline>
              </w:drawing>
            </w:r>
            <w:r>
              <w:rPr>
                <w:sz w:val="18"/>
                <w:szCs w:val="18"/>
                <w:spacing w:val="15"/>
                <w:w w:val="101"/>
              </w:rPr>
              <w:t xml:space="preserve">   </w:t>
            </w:r>
            <w:r>
              <w:rPr>
                <w:sz w:val="18"/>
                <w:szCs w:val="18"/>
                <w:spacing w:val="-5"/>
              </w:rPr>
              <w:t>澳大利亚国家电力市场（NEM）只有全电量、</w:t>
            </w:r>
            <w:r>
              <w:rPr>
                <w:sz w:val="18"/>
                <w:szCs w:val="18"/>
              </w:rPr>
              <w:t xml:space="preserve">    </w:t>
            </w:r>
            <w:r>
              <w:rPr>
                <w:sz w:val="18"/>
                <w:szCs w:val="18"/>
              </w:rPr>
              <w:t>全电网的实时交易和分区定价机制，并没有日    </w:t>
            </w:r>
            <w:r>
              <w:rPr>
                <w:sz w:val="18"/>
                <w:szCs w:val="18"/>
                <w:spacing w:val="-2"/>
              </w:rPr>
              <w:t>前市场，在竞价机制方面，由发电侧单边报价，</w:t>
            </w:r>
            <w:r>
              <w:rPr>
                <w:sz w:val="18"/>
                <w:szCs w:val="18"/>
                <w:spacing w:val="9"/>
              </w:rPr>
              <w:t xml:space="preserve"> </w:t>
            </w:r>
            <w:r>
              <w:rPr>
                <w:sz w:val="18"/>
                <w:szCs w:val="18"/>
              </w:rPr>
              <w:t>零售侧承担着电价的风险。因此，澳大利亚电    </w:t>
            </w:r>
            <w:r>
              <w:rPr>
                <w:sz w:val="18"/>
                <w:szCs w:val="18"/>
              </w:rPr>
              <w:t>力监管机构高度重视信息的公开透明性，保障    </w:t>
            </w:r>
            <w:r>
              <w:rPr>
                <w:sz w:val="18"/>
                <w:szCs w:val="18"/>
              </w:rPr>
              <w:t>各个价区电力出清价格、调频辅助服务价格、</w:t>
            </w:r>
          </w:p>
          <w:p>
            <w:pPr>
              <w:pStyle w:val="TableText"/>
              <w:ind w:left="365"/>
              <w:spacing w:before="29" w:line="179" w:lineRule="auto"/>
              <w:rPr>
                <w:sz w:val="18"/>
                <w:szCs w:val="18"/>
              </w:rPr>
            </w:pPr>
            <w:r>
              <w:rPr>
                <w:sz w:val="18"/>
                <w:szCs w:val="18"/>
                <w:spacing w:val="-1"/>
              </w:rPr>
              <w:t>州际联络线的载流等信息实时公开。</w:t>
            </w:r>
          </w:p>
          <w:p>
            <w:pPr>
              <w:pStyle w:val="TableText"/>
              <w:ind w:left="365" w:right="87" w:hanging="260"/>
              <w:spacing w:before="21" w:line="198" w:lineRule="auto"/>
              <w:rPr>
                <w:sz w:val="18"/>
                <w:szCs w:val="18"/>
              </w:rPr>
            </w:pPr>
            <w:r>
              <w:rPr>
                <w:sz w:val="18"/>
                <w:szCs w:val="18"/>
                <w:position w:val="-3"/>
              </w:rPr>
              <w:drawing>
                <wp:inline distT="0" distB="0" distL="0" distR="0">
                  <wp:extent cx="43318" cy="128564"/>
                  <wp:effectExtent l="0" t="0" r="0" b="0"/>
                  <wp:docPr id="382" name="IM 382"/>
                  <wp:cNvGraphicFramePr/>
                  <a:graphic>
                    <a:graphicData uri="http://schemas.openxmlformats.org/drawingml/2006/picture">
                      <pic:pic>
                        <pic:nvPicPr>
                          <pic:cNvPr id="382" name="IM 382"/>
                          <pic:cNvPicPr/>
                        </pic:nvPicPr>
                        <pic:blipFill>
                          <a:blip r:embed="rId184"/>
                          <a:stretch>
                            <a:fillRect/>
                          </a:stretch>
                        </pic:blipFill>
                        <pic:spPr>
                          <a:xfrm rot="0">
                            <a:off x="0" y="0"/>
                            <a:ext cx="43318" cy="128564"/>
                          </a:xfrm>
                          <a:prstGeom prst="rect">
                            <a:avLst/>
                          </a:prstGeom>
                        </pic:spPr>
                      </pic:pic>
                    </a:graphicData>
                  </a:graphic>
                </wp:inline>
              </w:drawing>
            </w:r>
            <w:r>
              <w:rPr>
                <w:sz w:val="18"/>
                <w:szCs w:val="18"/>
                <w:spacing w:val="11"/>
              </w:rPr>
              <w:t xml:space="preserve">   </w:t>
            </w:r>
            <w:r>
              <w:rPr>
                <w:sz w:val="18"/>
                <w:szCs w:val="18"/>
                <w:spacing w:val="28"/>
              </w:rPr>
              <w:t>澳大利亚能源市场运</w:t>
            </w:r>
            <w:r>
              <w:rPr>
                <w:sz w:val="18"/>
                <w:szCs w:val="18"/>
                <w:spacing w:val="-13"/>
              </w:rPr>
              <w:t xml:space="preserve"> </w:t>
            </w:r>
            <w:r>
              <w:rPr>
                <w:sz w:val="18"/>
                <w:szCs w:val="18"/>
                <w:spacing w:val="28"/>
              </w:rPr>
              <w:t>营机构</w:t>
            </w:r>
            <w:r>
              <w:rPr>
                <w:sz w:val="18"/>
                <w:szCs w:val="18"/>
                <w:spacing w:val="-10"/>
              </w:rPr>
              <w:t xml:space="preserve"> </w:t>
            </w:r>
            <w:r>
              <w:rPr>
                <w:sz w:val="18"/>
                <w:szCs w:val="18"/>
                <w:spacing w:val="28"/>
              </w:rPr>
              <w:t>（</w:t>
            </w:r>
            <w:r>
              <w:rPr>
                <w:sz w:val="18"/>
                <w:szCs w:val="18"/>
              </w:rPr>
              <w:t>Australian </w:t>
            </w:r>
            <w:r>
              <w:rPr>
                <w:sz w:val="18"/>
                <w:szCs w:val="18"/>
                <w:spacing w:val="-5"/>
              </w:rPr>
              <w:t>Energy</w:t>
            </w:r>
            <w:r>
              <w:rPr>
                <w:sz w:val="18"/>
                <w:szCs w:val="18"/>
                <w:spacing w:val="37"/>
                <w:w w:val="101"/>
              </w:rPr>
              <w:t xml:space="preserve"> </w:t>
            </w:r>
            <w:r>
              <w:rPr>
                <w:sz w:val="18"/>
                <w:szCs w:val="18"/>
                <w:spacing w:val="-5"/>
              </w:rPr>
              <w:t>Market</w:t>
            </w:r>
            <w:r>
              <w:rPr>
                <w:sz w:val="18"/>
                <w:szCs w:val="18"/>
                <w:spacing w:val="32"/>
                <w:w w:val="101"/>
              </w:rPr>
              <w:t xml:space="preserve"> </w:t>
            </w:r>
            <w:r>
              <w:rPr>
                <w:sz w:val="18"/>
                <w:szCs w:val="18"/>
                <w:spacing w:val="-5"/>
              </w:rPr>
              <w:t>Operato</w:t>
            </w:r>
            <w:r>
              <w:rPr>
                <w:sz w:val="18"/>
                <w:szCs w:val="18"/>
                <w:spacing w:val="-6"/>
              </w:rPr>
              <w:t>r</w:t>
            </w:r>
            <w:r>
              <w:rPr>
                <w:sz w:val="18"/>
                <w:szCs w:val="18"/>
                <w:spacing w:val="-28"/>
              </w:rPr>
              <w:t xml:space="preserve"> </w:t>
            </w:r>
            <w:r>
              <w:rPr>
                <w:sz w:val="18"/>
                <w:szCs w:val="18"/>
                <w:spacing w:val="-6"/>
              </w:rPr>
              <w:t>，AEMO）负责组织</w:t>
            </w:r>
            <w:r>
              <w:rPr>
                <w:sz w:val="18"/>
                <w:szCs w:val="18"/>
              </w:rPr>
              <w:t xml:space="preserve"> </w:t>
            </w:r>
            <w:r>
              <w:rPr>
                <w:sz w:val="18"/>
                <w:szCs w:val="18"/>
                <w:spacing w:val="-1"/>
              </w:rPr>
              <w:t>NEM的现货市场交易、辅助服务交易和输电权</w:t>
            </w:r>
            <w:r>
              <w:rPr>
                <w:sz w:val="18"/>
                <w:szCs w:val="18"/>
                <w:spacing w:val="14"/>
              </w:rPr>
              <w:t xml:space="preserve"> </w:t>
            </w:r>
            <w:r>
              <w:rPr>
                <w:sz w:val="18"/>
                <w:szCs w:val="18"/>
                <w:spacing w:val="1"/>
              </w:rPr>
              <w:t>交易，</w:t>
            </w:r>
            <w:r>
              <w:rPr>
                <w:sz w:val="18"/>
                <w:szCs w:val="18"/>
                <w:spacing w:val="-20"/>
              </w:rPr>
              <w:t xml:space="preserve"> </w:t>
            </w:r>
            <w:r>
              <w:rPr>
                <w:sz w:val="18"/>
                <w:szCs w:val="18"/>
                <w:spacing w:val="1"/>
              </w:rPr>
              <w:t>以集中式交易模式确保实时发电量与市</w:t>
            </w:r>
            <w:r>
              <w:rPr>
                <w:sz w:val="18"/>
                <w:szCs w:val="18"/>
              </w:rPr>
              <w:t xml:space="preserve"> </w:t>
            </w:r>
            <w:r>
              <w:rPr>
                <w:sz w:val="18"/>
                <w:szCs w:val="18"/>
                <w:spacing w:val="-3"/>
              </w:rPr>
              <w:t>场需求相匹配。</w:t>
            </w:r>
          </w:p>
        </w:tc>
        <w:tc>
          <w:tcPr>
            <w:shd w:val="clear" w:fill="F1F1F1"/>
            <w:tcW w:w="4379" w:type="dxa"/>
            <w:vAlign w:val="top"/>
            <w:tcBorders>
              <w:right w:val="nil"/>
              <w:bottom w:val="single" w:color="00B8F5" w:sz="12" w:space="0"/>
            </w:tcBorders>
          </w:tcPr>
          <w:p>
            <w:pPr>
              <w:spacing w:line="277" w:lineRule="auto"/>
              <w:rPr>
                <w:rFonts w:ascii="Arial"/>
                <w:sz w:val="21"/>
              </w:rPr>
            </w:pPr>
            <w:r/>
          </w:p>
          <w:p>
            <w:pPr>
              <w:pStyle w:val="TableText"/>
              <w:ind w:left="366" w:right="90" w:hanging="260"/>
              <w:spacing w:before="77" w:line="198" w:lineRule="auto"/>
              <w:rPr>
                <w:sz w:val="18"/>
                <w:szCs w:val="18"/>
              </w:rPr>
            </w:pPr>
            <w:r>
              <w:rPr>
                <w:sz w:val="18"/>
                <w:szCs w:val="18"/>
                <w:position w:val="-3"/>
              </w:rPr>
              <w:drawing>
                <wp:inline distT="0" distB="0" distL="0" distR="0">
                  <wp:extent cx="43318" cy="128564"/>
                  <wp:effectExtent l="0" t="0" r="0" b="0"/>
                  <wp:docPr id="384" name="IM 384"/>
                  <wp:cNvGraphicFramePr/>
                  <a:graphic>
                    <a:graphicData uri="http://schemas.openxmlformats.org/drawingml/2006/picture">
                      <pic:pic>
                        <pic:nvPicPr>
                          <pic:cNvPr id="384" name="IM 384"/>
                          <pic:cNvPicPr/>
                        </pic:nvPicPr>
                        <pic:blipFill>
                          <a:blip r:embed="rId185"/>
                          <a:stretch>
                            <a:fillRect/>
                          </a:stretch>
                        </pic:blipFill>
                        <pic:spPr>
                          <a:xfrm rot="0">
                            <a:off x="0" y="0"/>
                            <a:ext cx="43318" cy="128564"/>
                          </a:xfrm>
                          <a:prstGeom prst="rect">
                            <a:avLst/>
                          </a:prstGeom>
                        </pic:spPr>
                      </pic:pic>
                    </a:graphicData>
                  </a:graphic>
                </wp:inline>
              </w:drawing>
            </w:r>
            <w:r>
              <w:rPr>
                <w:sz w:val="18"/>
                <w:szCs w:val="18"/>
                <w:spacing w:val="12"/>
              </w:rPr>
              <w:t xml:space="preserve">   </w:t>
            </w:r>
            <w:r>
              <w:rPr>
                <w:sz w:val="18"/>
                <w:szCs w:val="18"/>
                <w:spacing w:val="5"/>
              </w:rPr>
              <w:t>储能市场以户用与商用储能为主</w:t>
            </w:r>
            <w:r>
              <w:rPr>
                <w:sz w:val="18"/>
                <w:szCs w:val="18"/>
                <w:spacing w:val="-24"/>
              </w:rPr>
              <w:t xml:space="preserve"> </w:t>
            </w:r>
            <w:r>
              <w:rPr>
                <w:sz w:val="18"/>
                <w:szCs w:val="18"/>
                <w:spacing w:val="5"/>
              </w:rPr>
              <w:t>，大规模储能发</w:t>
            </w:r>
            <w:r>
              <w:rPr>
                <w:sz w:val="18"/>
                <w:szCs w:val="18"/>
              </w:rPr>
              <w:t xml:space="preserve"> </w:t>
            </w:r>
            <w:r>
              <w:rPr>
                <w:sz w:val="18"/>
                <w:szCs w:val="18"/>
                <w:spacing w:val="5"/>
              </w:rPr>
              <w:t>展相对落后</w:t>
            </w:r>
            <w:r>
              <w:rPr>
                <w:sz w:val="18"/>
                <w:szCs w:val="18"/>
                <w:spacing w:val="-19"/>
              </w:rPr>
              <w:t xml:space="preserve"> </w:t>
            </w:r>
            <w:r>
              <w:rPr>
                <w:sz w:val="18"/>
                <w:szCs w:val="18"/>
                <w:spacing w:val="5"/>
              </w:rPr>
              <w:t>，因此政府重点规范户用与商用</w:t>
            </w:r>
            <w:r>
              <w:rPr>
                <w:sz w:val="18"/>
                <w:szCs w:val="18"/>
                <w:spacing w:val="4"/>
              </w:rPr>
              <w:t>储能</w:t>
            </w:r>
            <w:r>
              <w:rPr>
                <w:sz w:val="18"/>
                <w:szCs w:val="18"/>
              </w:rPr>
              <w:t xml:space="preserve"> </w:t>
            </w:r>
            <w:r>
              <w:rPr>
                <w:sz w:val="18"/>
                <w:szCs w:val="18"/>
                <w:spacing w:val="3"/>
              </w:rPr>
              <w:t>市场发展。</w:t>
            </w:r>
            <w:r>
              <w:rPr>
                <w:sz w:val="18"/>
                <w:szCs w:val="18"/>
                <w:spacing w:val="-8"/>
              </w:rPr>
              <w:t xml:space="preserve"> </w:t>
            </w:r>
            <w:r>
              <w:rPr>
                <w:sz w:val="18"/>
                <w:szCs w:val="18"/>
                <w:spacing w:val="3"/>
              </w:rPr>
              <w:t>并且</w:t>
            </w:r>
            <w:r>
              <w:rPr>
                <w:sz w:val="18"/>
                <w:szCs w:val="18"/>
                <w:spacing w:val="-24"/>
              </w:rPr>
              <w:t xml:space="preserve"> </w:t>
            </w:r>
            <w:r>
              <w:rPr>
                <w:sz w:val="18"/>
                <w:szCs w:val="18"/>
                <w:spacing w:val="3"/>
              </w:rPr>
              <w:t>，政府限制电网公司参与竞争市</w:t>
            </w:r>
            <w:r>
              <w:rPr>
                <w:sz w:val="18"/>
                <w:szCs w:val="18"/>
              </w:rPr>
              <w:t xml:space="preserve"> </w:t>
            </w:r>
            <w:r>
              <w:rPr>
                <w:sz w:val="18"/>
                <w:szCs w:val="18"/>
                <w:spacing w:val="4"/>
              </w:rPr>
              <w:t>场</w:t>
            </w:r>
            <w:r>
              <w:rPr>
                <w:sz w:val="18"/>
                <w:szCs w:val="18"/>
                <w:spacing w:val="-24"/>
              </w:rPr>
              <w:t xml:space="preserve"> </w:t>
            </w:r>
            <w:r>
              <w:rPr>
                <w:sz w:val="18"/>
                <w:szCs w:val="18"/>
                <w:spacing w:val="4"/>
              </w:rPr>
              <w:t>，</w:t>
            </w:r>
            <w:r>
              <w:rPr>
                <w:sz w:val="18"/>
                <w:szCs w:val="18"/>
                <w:spacing w:val="-29"/>
              </w:rPr>
              <w:t xml:space="preserve"> </w:t>
            </w:r>
            <w:r>
              <w:rPr>
                <w:sz w:val="18"/>
                <w:szCs w:val="18"/>
                <w:spacing w:val="4"/>
              </w:rPr>
              <w:t>电网公司会将直接所有的储能资产的运营权</w:t>
            </w:r>
            <w:r>
              <w:rPr>
                <w:sz w:val="18"/>
                <w:szCs w:val="18"/>
              </w:rPr>
              <w:t xml:space="preserve"> </w:t>
            </w:r>
            <w:r>
              <w:rPr>
                <w:sz w:val="18"/>
                <w:szCs w:val="18"/>
                <w:spacing w:val="1"/>
              </w:rPr>
              <w:t>出售给第三方公司。</w:t>
            </w:r>
          </w:p>
          <w:p>
            <w:pPr>
              <w:pStyle w:val="TableText"/>
              <w:ind w:left="365" w:right="89" w:hanging="259"/>
              <w:spacing w:before="18" w:line="201" w:lineRule="auto"/>
              <w:rPr>
                <w:sz w:val="18"/>
                <w:szCs w:val="18"/>
              </w:rPr>
            </w:pPr>
            <w:r>
              <w:rPr>
                <w:sz w:val="18"/>
                <w:szCs w:val="18"/>
                <w:position w:val="-3"/>
              </w:rPr>
              <w:drawing>
                <wp:inline distT="0" distB="0" distL="0" distR="0">
                  <wp:extent cx="43318" cy="128564"/>
                  <wp:effectExtent l="0" t="0" r="0" b="0"/>
                  <wp:docPr id="386" name="IM 386"/>
                  <wp:cNvGraphicFramePr/>
                  <a:graphic>
                    <a:graphicData uri="http://schemas.openxmlformats.org/drawingml/2006/picture">
                      <pic:pic>
                        <pic:nvPicPr>
                          <pic:cNvPr id="386" name="IM 386"/>
                          <pic:cNvPicPr/>
                        </pic:nvPicPr>
                        <pic:blipFill>
                          <a:blip r:embed="rId186"/>
                          <a:stretch>
                            <a:fillRect/>
                          </a:stretch>
                        </pic:blipFill>
                        <pic:spPr>
                          <a:xfrm rot="0">
                            <a:off x="0" y="0"/>
                            <a:ext cx="43318" cy="128564"/>
                          </a:xfrm>
                          <a:prstGeom prst="rect">
                            <a:avLst/>
                          </a:prstGeom>
                        </pic:spPr>
                      </pic:pic>
                    </a:graphicData>
                  </a:graphic>
                </wp:inline>
              </w:drawing>
            </w:r>
            <w:r>
              <w:rPr>
                <w:sz w:val="18"/>
                <w:szCs w:val="18"/>
                <w:spacing w:val="1"/>
              </w:rPr>
              <w:t xml:space="preserve">    </w:t>
            </w:r>
            <w:r>
              <w:rPr>
                <w:sz w:val="18"/>
                <w:szCs w:val="18"/>
                <w:spacing w:val="4"/>
              </w:rPr>
              <w:t>目前澳大利亚正在开展电力市场规则修改</w:t>
            </w:r>
            <w:r>
              <w:rPr>
                <w:sz w:val="18"/>
                <w:szCs w:val="18"/>
                <w:spacing w:val="-24"/>
              </w:rPr>
              <w:t xml:space="preserve"> </w:t>
            </w:r>
            <w:r>
              <w:rPr>
                <w:sz w:val="18"/>
                <w:szCs w:val="18"/>
                <w:spacing w:val="4"/>
              </w:rPr>
              <w:t>，通过</w:t>
            </w:r>
            <w:r>
              <w:rPr>
                <w:sz w:val="18"/>
                <w:szCs w:val="18"/>
              </w:rPr>
              <w:t xml:space="preserve"> </w:t>
            </w:r>
            <w:r>
              <w:rPr>
                <w:sz w:val="18"/>
                <w:szCs w:val="18"/>
                <w:spacing w:val="4"/>
              </w:rPr>
              <w:t>提供清晰的价格信号、</w:t>
            </w:r>
            <w:r>
              <w:rPr>
                <w:sz w:val="18"/>
                <w:szCs w:val="18"/>
                <w:spacing w:val="-18"/>
              </w:rPr>
              <w:t xml:space="preserve"> </w:t>
            </w:r>
            <w:r>
              <w:rPr>
                <w:sz w:val="18"/>
                <w:szCs w:val="18"/>
                <w:spacing w:val="4"/>
              </w:rPr>
              <w:t>明确的身份、</w:t>
            </w:r>
            <w:r>
              <w:rPr>
                <w:sz w:val="18"/>
                <w:szCs w:val="18"/>
                <w:spacing w:val="-34"/>
              </w:rPr>
              <w:t xml:space="preserve"> </w:t>
            </w:r>
            <w:r>
              <w:rPr>
                <w:sz w:val="18"/>
                <w:szCs w:val="18"/>
                <w:spacing w:val="4"/>
              </w:rPr>
              <w:t>有效的激励</w:t>
            </w:r>
            <w:r>
              <w:rPr>
                <w:sz w:val="18"/>
                <w:szCs w:val="18"/>
              </w:rPr>
              <w:t xml:space="preserve"> </w:t>
            </w:r>
            <w:r>
              <w:rPr>
                <w:sz w:val="18"/>
                <w:szCs w:val="18"/>
                <w:spacing w:val="2"/>
              </w:rPr>
              <w:t>机制以及更多的收益来源</w:t>
            </w:r>
            <w:r>
              <w:rPr>
                <w:sz w:val="18"/>
                <w:szCs w:val="18"/>
                <w:spacing w:val="-13"/>
              </w:rPr>
              <w:t xml:space="preserve"> </w:t>
            </w:r>
            <w:r>
              <w:rPr>
                <w:sz w:val="18"/>
                <w:szCs w:val="18"/>
                <w:spacing w:val="2"/>
              </w:rPr>
              <w:t>，帮助储能进入</w:t>
            </w:r>
            <w:r>
              <w:rPr>
                <w:sz w:val="18"/>
                <w:szCs w:val="18"/>
              </w:rPr>
              <w:t>NEM</w:t>
            </w:r>
            <w:r>
              <w:rPr>
                <w:sz w:val="18"/>
                <w:szCs w:val="18"/>
                <w:spacing w:val="2"/>
              </w:rPr>
              <w:t>市</w:t>
            </w:r>
            <w:r>
              <w:rPr>
                <w:sz w:val="18"/>
                <w:szCs w:val="18"/>
              </w:rPr>
              <w:t xml:space="preserve"> </w:t>
            </w:r>
            <w:r>
              <w:rPr>
                <w:sz w:val="18"/>
                <w:szCs w:val="18"/>
                <w:spacing w:val="3"/>
              </w:rPr>
              <w:t>场并获得收益。这些规则包括：5分钟结算(5</w:t>
            </w:r>
            <w:r>
              <w:rPr>
                <w:sz w:val="18"/>
                <w:szCs w:val="18"/>
              </w:rPr>
              <w:t>MS</w:t>
            </w:r>
            <w:r>
              <w:rPr>
                <w:sz w:val="18"/>
                <w:szCs w:val="18"/>
                <w:spacing w:val="3"/>
              </w:rPr>
              <w:t>)</w:t>
            </w:r>
            <w:r>
              <w:rPr>
                <w:sz w:val="18"/>
                <w:szCs w:val="18"/>
                <w:spacing w:val="2"/>
              </w:rPr>
              <w:t xml:space="preserve"> </w:t>
            </w:r>
            <w:r>
              <w:rPr>
                <w:sz w:val="18"/>
                <w:szCs w:val="18"/>
                <w:spacing w:val="4"/>
              </w:rPr>
              <w:t>机制、综合资源提供者(</w:t>
            </w:r>
            <w:r>
              <w:rPr>
                <w:sz w:val="18"/>
                <w:szCs w:val="18"/>
              </w:rPr>
              <w:t>IRP</w:t>
            </w:r>
            <w:r>
              <w:rPr>
                <w:sz w:val="18"/>
                <w:szCs w:val="18"/>
                <w:spacing w:val="4"/>
              </w:rPr>
              <w:t>)市场主体身份以及系</w:t>
            </w:r>
            <w:r>
              <w:rPr>
                <w:sz w:val="18"/>
                <w:szCs w:val="18"/>
                <w:spacing w:val="15"/>
              </w:rPr>
              <w:t xml:space="preserve"> </w:t>
            </w:r>
            <w:r>
              <w:rPr>
                <w:sz w:val="18"/>
                <w:szCs w:val="18"/>
                <w:spacing w:val="-2"/>
              </w:rPr>
              <w:t>统完整性保护计划</w:t>
            </w:r>
            <w:r>
              <w:rPr>
                <w:sz w:val="18"/>
                <w:szCs w:val="18"/>
                <w:spacing w:val="41"/>
              </w:rPr>
              <w:t xml:space="preserve"> </w:t>
            </w:r>
            <w:r>
              <w:rPr>
                <w:sz w:val="18"/>
                <w:szCs w:val="18"/>
                <w:spacing w:val="-2"/>
              </w:rPr>
              <w:t>(system</w:t>
            </w:r>
            <w:r>
              <w:rPr>
                <w:sz w:val="18"/>
                <w:szCs w:val="18"/>
                <w:spacing w:val="31"/>
                <w:w w:val="101"/>
              </w:rPr>
              <w:t xml:space="preserve"> </w:t>
            </w:r>
            <w:r>
              <w:rPr>
                <w:sz w:val="18"/>
                <w:szCs w:val="18"/>
                <w:spacing w:val="-2"/>
              </w:rPr>
              <w:t>integrity</w:t>
            </w:r>
            <w:r>
              <w:rPr>
                <w:sz w:val="18"/>
                <w:szCs w:val="18"/>
                <w:spacing w:val="36"/>
              </w:rPr>
              <w:t xml:space="preserve"> </w:t>
            </w:r>
            <w:r>
              <w:rPr>
                <w:sz w:val="18"/>
                <w:szCs w:val="18"/>
                <w:spacing w:val="-2"/>
              </w:rPr>
              <w:t>protection</w:t>
            </w:r>
            <w:r>
              <w:rPr>
                <w:sz w:val="18"/>
                <w:szCs w:val="18"/>
              </w:rPr>
              <w:t xml:space="preserve"> </w:t>
            </w:r>
            <w:r>
              <w:rPr>
                <w:sz w:val="18"/>
                <w:szCs w:val="18"/>
                <w:spacing w:val="-1"/>
              </w:rPr>
              <w:t>scheme</w:t>
            </w:r>
            <w:r>
              <w:rPr>
                <w:sz w:val="18"/>
                <w:szCs w:val="18"/>
                <w:spacing w:val="-25"/>
              </w:rPr>
              <w:t xml:space="preserve"> </w:t>
            </w:r>
            <w:r>
              <w:rPr>
                <w:sz w:val="18"/>
                <w:szCs w:val="18"/>
                <w:spacing w:val="-1"/>
              </w:rPr>
              <w:t>，SIPS)。</w:t>
            </w:r>
          </w:p>
        </w:tc>
      </w:tr>
    </w:tbl>
    <w:p>
      <w:pPr>
        <w:ind w:left="8"/>
        <w:spacing w:before="187" w:line="186"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7"/>
        </w:rPr>
        <w:t>资料来源：公开资料，毕马威分析</w:t>
      </w:r>
    </w:p>
    <w:p>
      <w:pPr>
        <w:ind w:left="8" w:right="2996" w:firstLine="1"/>
        <w:spacing w:before="317" w:line="219"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总体上</w:t>
      </w:r>
      <w:r>
        <w:rPr>
          <w:rFonts w:ascii="Microsoft YaHei" w:hAnsi="Microsoft YaHei" w:eastAsia="Microsoft YaHei" w:cs="Microsoft YaHei"/>
          <w:sz w:val="21"/>
          <w:szCs w:val="21"/>
          <w:spacing w:val="-26"/>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42"/>
        </w:rPr>
        <w:t xml:space="preserve"> </w:t>
      </w:r>
      <w:r>
        <w:rPr>
          <w:rFonts w:ascii="Microsoft YaHei" w:hAnsi="Microsoft YaHei" w:eastAsia="Microsoft YaHei" w:cs="Microsoft YaHei"/>
          <w:sz w:val="21"/>
          <w:szCs w:val="21"/>
          <w:spacing w:val="2"/>
        </w:rPr>
        <w:t>中国新型储能产业仍处于商业化和规模化发展初期</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，产业方面还需继续攻克</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技术和成本瓶颈</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，政府方面还需进一步完善储能参与电力</w:t>
      </w:r>
      <w:r>
        <w:rPr>
          <w:rFonts w:ascii="Microsoft YaHei" w:hAnsi="Microsoft YaHei" w:eastAsia="Microsoft YaHei" w:cs="Microsoft YaHei"/>
          <w:sz w:val="21"/>
          <w:szCs w:val="21"/>
          <w:spacing w:val="2"/>
        </w:rPr>
        <w:t>市场竞争的细则</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，这一过程</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中，储能主体将在诸多应用领域开启商业模式的探索。</w:t>
      </w:r>
    </w:p>
    <w:p>
      <w:pPr>
        <w:pStyle w:val="BodyText"/>
        <w:spacing w:line="245" w:lineRule="auto"/>
        <w:rPr/>
      </w:pPr>
      <w:r/>
    </w:p>
    <w:p>
      <w:pPr>
        <w:ind w:left="503" w:right="1241" w:hanging="411"/>
        <w:spacing w:before="48"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1302" w:header="0" w:footer="0" w:gutter="0"/>
        </w:sectPr>
        <w:rPr>
          <w:rFonts w:ascii="Microsoft YaHei" w:hAnsi="Microsoft YaHei" w:eastAsia="Microsoft YaHei" w:cs="Microsoft YaHei"/>
          <w:sz w:val="11"/>
          <w:szCs w:val="11"/>
        </w:rPr>
      </w:pPr>
    </w:p>
    <w:p>
      <w:pPr>
        <w:ind w:left="963"/>
        <w:spacing w:before="314" w:line="193" w:lineRule="auto"/>
        <w:rPr>
          <w:rFonts w:ascii="Microsoft YaHei" w:hAnsi="Microsoft YaHei" w:eastAsia="Microsoft YaHei" w:cs="Microsoft YaHei"/>
          <w:sz w:val="18"/>
          <w:szCs w:val="18"/>
        </w:rPr>
      </w:pPr>
      <w:r>
        <mc:AlternateContent xmlns:mc="http://schemas.openxmlformats.org/markup-compatibility/2006">
          <mc:Choice Requires="wps">
            <w:drawing>
              <wp:anchor distT="0" distB="0" distL="0" distR="0" simplePos="0" relativeHeight="252193792" behindDoc="1" locked="0" layoutInCell="0" allowOverlap="1">
                <wp:simplePos x="0" y="0"/>
                <wp:positionH relativeFrom="page">
                  <wp:posOffset>7772272</wp:posOffset>
                </wp:positionH>
                <wp:positionV relativeFrom="page">
                  <wp:posOffset>0</wp:posOffset>
                </wp:positionV>
                <wp:extent cx="3175" cy="10909300"/>
                <wp:effectExtent l="0" t="0" r="0" b="0"/>
                <wp:wrapNone/>
                <wp:docPr id="388" name="Rect 388"/>
                <wp:cNvGraphicFramePr/>
                <a:graphic>
                  <a:graphicData uri="http://schemas.microsoft.com/office/word/2010/wordprocessingShape">
                    <wps:wsp>
                      <wps:cNvPr id="388" name="Rect 388"/>
                      <wps:cNvSpPr/>
                      <wps:spPr>
                        <a:xfrm>
                          <a:off x="7772272" y="0"/>
                          <a:ext cx="3175" cy="109093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570" style="position:absolute;margin-left:611.99pt;margin-top:0pt;mso-position-vertical-relative:page;mso-position-horizontal-relative:page;width:0.25pt;height:859pt;z-index:-251122688;" o:allowincell="f" fillcolor="#000000" filled="true" stroked="false"/>
            </w:pict>
          </mc:Fallback>
        </mc:AlternateContent>
      </w:r>
      <w:r>
        <w:pict>
          <v:shape id="_x0000_s572" style="position:absolute;margin-left:64.03pt;margin-top:14.7293pt;mso-position-vertical-relative:text;mso-position-horizontal-relative:text;width:101.05pt;height:14.4pt;z-index:-251121664;" filled="false" stroked="false" type="#_x0000_t202">
            <v:fill on="false"/>
            <v:stroke on="false"/>
            <v:path/>
            <v:imagedata o:title=""/>
            <o:lock v:ext="edit" aspectratio="false"/>
            <v:textbox inset="0mm,0mm,0mm,0mm">
              <w:txbxContent>
                <w:p>
                  <w:pPr>
                    <w:ind w:left="20"/>
                    <w:spacing w:before="19" w:line="193"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A8A8A8"/>
                      <w:position w:val="-4"/>
                    </w:rPr>
                    <w:drawing>
                      <wp:inline distT="0" distB="0" distL="0" distR="0">
                        <wp:extent cx="6350" cy="130175"/>
                        <wp:effectExtent l="0" t="0" r="0" b="0"/>
                        <wp:docPr id="390" name="IM 390"/>
                        <wp:cNvGraphicFramePr/>
                        <a:graphic>
                          <a:graphicData uri="http://schemas.openxmlformats.org/drawingml/2006/picture">
                            <pic:pic>
                              <pic:nvPicPr>
                                <pic:cNvPr id="390" name="IM 390"/>
                                <pic:cNvPicPr/>
                              </pic:nvPicPr>
                              <pic:blipFill>
                                <a:blip r:embed="rId187"/>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rPr>
                    <w:t xml:space="preserve">   </w:t>
                  </w:r>
                  <w:r>
                    <w:rPr>
                      <w:rFonts w:ascii="Microsoft YaHei" w:hAnsi="Microsoft YaHei" w:eastAsia="Microsoft YaHei" w:cs="Microsoft YaHei"/>
                      <w:sz w:val="18"/>
                      <w:szCs w:val="18"/>
                      <w:color w:val="A8A8A8"/>
                      <w:spacing w:val="1"/>
                    </w:rPr>
                    <w:t>新型储能助力能源转型</w:t>
                  </w:r>
                </w:p>
              </w:txbxContent>
            </v:textbox>
          </v:shape>
        </w:pict>
      </w:r>
      <w:r>
        <w:drawing>
          <wp:anchor distT="0" distB="0" distL="0" distR="0" simplePos="0" relativeHeight="252195840" behindDoc="1" locked="0" layoutInCell="1" allowOverlap="1">
            <wp:simplePos x="0" y="0"/>
            <wp:positionH relativeFrom="column">
              <wp:posOffset>0</wp:posOffset>
            </wp:positionH>
            <wp:positionV relativeFrom="paragraph">
              <wp:posOffset>-254388</wp:posOffset>
            </wp:positionV>
            <wp:extent cx="7775447" cy="10908789"/>
            <wp:effectExtent l="0" t="0" r="0" b="0"/>
            <wp:wrapNone/>
            <wp:docPr id="392" name="IM 392"/>
            <wp:cNvGraphicFramePr/>
            <a:graphic>
              <a:graphicData uri="http://schemas.openxmlformats.org/drawingml/2006/picture">
                <pic:pic>
                  <pic:nvPicPr>
                    <pic:cNvPr id="392" name="IM 392"/>
                    <pic:cNvPicPr/>
                  </pic:nvPicPr>
                  <pic:blipFill>
                    <a:blip r:embed="rId188"/>
                    <a:stretch>
                      <a:fillRect/>
                    </a:stretch>
                  </pic:blipFill>
                  <pic:spPr>
                    <a:xfrm rot="0">
                      <a:off x="0" y="0"/>
                      <a:ext cx="7775447" cy="10908789"/>
                    </a:xfrm>
                    <a:prstGeom prst="rect">
                      <a:avLst/>
                    </a:prstGeom>
                  </pic:spPr>
                </pic:pic>
              </a:graphicData>
            </a:graphic>
          </wp:anchor>
        </w:drawing>
      </w:r>
      <w:r>
        <w:rPr>
          <w:rFonts w:ascii="Microsoft YaHei" w:hAnsi="Microsoft YaHei" w:eastAsia="Microsoft YaHei" w:cs="Microsoft YaHei"/>
          <w:sz w:val="18"/>
          <w:szCs w:val="18"/>
          <w:b/>
          <w:bCs/>
          <w:color w:val="00338D"/>
          <w:spacing w:val="-1"/>
        </w:rPr>
        <w:t>31</w:t>
      </w:r>
      <w:r>
        <w:rPr>
          <w:rFonts w:ascii="Microsoft YaHei" w:hAnsi="Microsoft YaHei" w:eastAsia="Microsoft YaHei" w:cs="Microsoft YaHei"/>
          <w:sz w:val="18"/>
          <w:szCs w:val="18"/>
          <w:b/>
          <w:bCs/>
          <w:color w:val="00338D"/>
          <w:spacing w:val="14"/>
          <w:w w:val="101"/>
        </w:rPr>
        <w:t xml:space="preserve">  </w:t>
      </w:r>
      <w:r>
        <w:rPr>
          <w:sz w:val="18"/>
          <w:szCs w:val="18"/>
          <w:position w:val="-4"/>
        </w:rPr>
        <w:drawing>
          <wp:inline distT="0" distB="0" distL="0" distR="0">
            <wp:extent cx="6350" cy="130175"/>
            <wp:effectExtent l="0" t="0" r="0" b="0"/>
            <wp:docPr id="394" name="IM 394"/>
            <wp:cNvGraphicFramePr/>
            <a:graphic>
              <a:graphicData uri="http://schemas.openxmlformats.org/drawingml/2006/picture">
                <pic:pic>
                  <pic:nvPicPr>
                    <pic:cNvPr id="394" name="IM 394"/>
                    <pic:cNvPicPr/>
                  </pic:nvPicPr>
                  <pic:blipFill>
                    <a:blip r:embed="rId189"/>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00338D"/>
          <w:spacing w:val="26"/>
          <w:w w:val="101"/>
        </w:rPr>
        <w:t xml:space="preserve">  </w:t>
      </w:r>
      <w:r>
        <w:rPr>
          <w:rFonts w:ascii="Microsoft YaHei" w:hAnsi="Microsoft YaHei" w:eastAsia="Microsoft YaHei" w:cs="Microsoft YaHei"/>
          <w:sz w:val="18"/>
          <w:szCs w:val="18"/>
          <w:color w:val="00338D"/>
          <w:spacing w:val="-1"/>
        </w:rPr>
        <w:t>新型储能助力能源转型</w:t>
      </w:r>
    </w:p>
    <w:p>
      <w:pPr>
        <w:pStyle w:val="BodyText"/>
        <w:spacing w:line="263" w:lineRule="auto"/>
        <w:rPr/>
      </w:pPr>
      <w:r/>
    </w:p>
    <w:p>
      <w:pPr>
        <w:pStyle w:val="BodyText"/>
        <w:spacing w:line="263" w:lineRule="auto"/>
        <w:rPr/>
      </w:pPr>
      <w:r/>
    </w:p>
    <w:p>
      <w:pPr>
        <w:pStyle w:val="BodyText"/>
        <w:spacing w:line="264" w:lineRule="auto"/>
        <w:rPr/>
      </w:pPr>
      <w:r/>
    </w:p>
    <w:p>
      <w:pPr>
        <w:ind w:left="1275"/>
        <w:spacing w:before="963" w:line="187" w:lineRule="auto"/>
        <w:outlineLvl w:val="0"/>
        <w:rPr>
          <w:rFonts w:ascii="Trebuchet MS" w:hAnsi="Trebuchet MS" w:eastAsia="Trebuchet MS" w:cs="Trebuchet MS"/>
          <w:sz w:val="332"/>
          <w:szCs w:val="332"/>
        </w:rPr>
      </w:pPr>
      <w:r>
        <w:rPr>
          <w:rFonts w:ascii="Trebuchet MS" w:hAnsi="Trebuchet MS" w:eastAsia="Trebuchet MS" w:cs="Trebuchet MS"/>
          <w:sz w:val="332"/>
          <w:szCs w:val="332"/>
          <w:b/>
          <w:bCs/>
          <w:color w:val="00338D"/>
          <w:spacing w:val="-349"/>
          <w:w w:val="99"/>
        </w:rPr>
        <w:t>03</w:t>
      </w:r>
    </w:p>
    <w:p>
      <w:pPr>
        <w:ind w:left="1260"/>
        <w:spacing w:before="3" w:line="178" w:lineRule="auto"/>
        <w:rPr>
          <w:rFonts w:ascii="Microsoft YaHei" w:hAnsi="Microsoft YaHei" w:eastAsia="Microsoft YaHei" w:cs="Microsoft YaHei"/>
          <w:sz w:val="108"/>
          <w:szCs w:val="108"/>
        </w:rPr>
      </w:pPr>
      <w:r>
        <w:rPr>
          <w:rFonts w:ascii="Microsoft YaHei" w:hAnsi="Microsoft YaHei" w:eastAsia="Microsoft YaHei" w:cs="Microsoft YaHei"/>
          <w:sz w:val="108"/>
          <w:szCs w:val="108"/>
          <w:b/>
          <w:bCs/>
          <w:color w:val="00338D"/>
          <w:spacing w:val="-3"/>
        </w:rPr>
        <w:t>储能商业模式</w:t>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1805" w:right="1241" w:hanging="411"/>
        <w:spacing w:before="48" w:line="172" w:lineRule="auto"/>
        <w:rPr>
          <w:rFonts w:ascii="Microsoft YaHei" w:hAnsi="Microsoft YaHei" w:eastAsia="Microsoft YaHei" w:cs="Microsoft YaHei"/>
          <w:sz w:val="11"/>
          <w:szCs w:val="11"/>
        </w:rPr>
      </w:pPr>
      <w:r>
        <w:pict>
          <v:shape id="_x0000_s574" style="position:absolute;margin-left:129.61pt;margin-top:1.38449pt;mso-position-vertical-relative:text;mso-position-horizontal-relative:text;width:421.55pt;height:15.6pt;z-index:-251123712;" filled="false" stroked="false" type="#_x0000_t202">
            <v:fill on="false"/>
            <v:stroke on="false"/>
            <v:path/>
            <v:imagedata o:title=""/>
            <o:lock v:ext="edit" aspectratio="false"/>
            <v:textbox inset="0mm,0mm,0mm,0mm">
              <w:txbxContent>
                <w:p>
                  <w:pPr>
                    <w:ind w:left="1284"/>
                    <w:spacing w:before="19" w:line="165"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rPr>
                    <w:t>中国合伙制会计师事务所，毕马威企业咨询          有限公司 — 中国有限责任公司，毕马威会计师事务所    澳门特别行政区合伙制事务所</w:t>
                  </w:r>
                  <w:r>
                    <w:rPr>
                      <w:rFonts w:ascii="Microsoft YaHei" w:hAnsi="Microsoft YaHei" w:eastAsia="Microsoft YaHei" w:cs="Microsoft YaHei"/>
                      <w:sz w:val="11"/>
                      <w:szCs w:val="11"/>
                      <w:color w:val="BFBFBF"/>
                      <w:spacing w:val="-1"/>
                    </w:rPr>
                    <w:t>，及毕马威</w:t>
                  </w:r>
                </w:p>
                <w:p>
                  <w:pPr>
                    <w:ind w:left="20"/>
                    <w:spacing w:line="180"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rPr>
                    <w:t>香港特别行政区合伙制事务所，均是与英国私营担保有限公司    毕马威国际有限公司相关联的独立成员所全球性组织中的成员。版权所有，不得转载。在中国印刷。</w:t>
                  </w:r>
                </w:p>
              </w:txbxContent>
            </v:textbox>
          </v:shape>
        </w:pict>
      </w:r>
      <w:r>
        <w:rPr>
          <w:rFonts w:ascii="Microsoft YaHei" w:hAnsi="Microsoft YaHei" w:eastAsia="Microsoft YaHei" w:cs="Microsoft YaHei"/>
          <w:sz w:val="11"/>
          <w:szCs w:val="11"/>
          <w:color w:val="7F7F7F"/>
          <w:spacing w:val="-1"/>
        </w:rPr>
        <w:t>© 2023</w:t>
      </w:r>
      <w:r>
        <w:rPr>
          <w:rFonts w:ascii="Microsoft YaHei" w:hAnsi="Microsoft YaHei" w:eastAsia="Microsoft YaHei" w:cs="Microsoft YaHei"/>
          <w:sz w:val="11"/>
          <w:szCs w:val="11"/>
          <w:color w:val="7F7F7F"/>
          <w:spacing w:val="-6"/>
        </w:rPr>
        <w:t xml:space="preserve"> </w:t>
      </w:r>
      <w:r>
        <w:rPr>
          <w:rFonts w:ascii="Microsoft YaHei" w:hAnsi="Microsoft YaHei" w:eastAsia="Microsoft YaHei" w:cs="Microsoft YaHei"/>
          <w:sz w:val="11"/>
          <w:szCs w:val="11"/>
          <w:color w:val="7F7F7F"/>
          <w:spacing w:val="-1"/>
        </w:rPr>
        <w:t>毕马威华振会计师事务所(特殊普通合伙)</w:t>
      </w:r>
      <w:r>
        <w:rPr>
          <w:rFonts w:ascii="Microsoft YaHei" w:hAnsi="Microsoft YaHei" w:eastAsia="Microsoft YaHei" w:cs="Microsoft YaHei"/>
          <w:sz w:val="11"/>
          <w:szCs w:val="11"/>
          <w:color w:val="7F7F7F"/>
          <w:spacing w:val="-12"/>
        </w:rPr>
        <w:t xml:space="preserve"> </w:t>
      </w:r>
      <w:r>
        <w:rPr>
          <w:rFonts w:ascii="Microsoft YaHei" w:hAnsi="Microsoft YaHei" w:eastAsia="Microsoft YaHei" w:cs="Microsoft YaHei"/>
          <w:sz w:val="11"/>
          <w:szCs w:val="11"/>
          <w:color w:val="7F7F7F"/>
          <w:spacing w:val="-1"/>
        </w:rPr>
        <w:t>— 中国合伙制会计师事务所，毕马威企业咨询</w:t>
      </w:r>
      <w:r>
        <w:rPr>
          <w:rFonts w:ascii="Microsoft YaHei" w:hAnsi="Microsoft YaHei" w:eastAsia="Microsoft YaHei" w:cs="Microsoft YaHei"/>
          <w:sz w:val="11"/>
          <w:szCs w:val="11"/>
          <w:color w:val="7F7F7F"/>
          <w:spacing w:val="-8"/>
        </w:rPr>
        <w:t xml:space="preserve"> </w:t>
      </w:r>
      <w:r>
        <w:rPr>
          <w:rFonts w:ascii="Microsoft YaHei" w:hAnsi="Microsoft YaHei" w:eastAsia="Microsoft YaHei" w:cs="Microsoft YaHei"/>
          <w:sz w:val="11"/>
          <w:szCs w:val="11"/>
          <w:color w:val="7F7F7F"/>
          <w:spacing w:val="-1"/>
        </w:rPr>
        <w:t>(中国)有限公司 — 中国有限责任公司，毕马威会计师事务所</w:t>
      </w:r>
      <w:r>
        <w:rPr>
          <w:rFonts w:ascii="Microsoft YaHei" w:hAnsi="Microsoft YaHei" w:eastAsia="Microsoft YaHei" w:cs="Microsoft YaHei"/>
          <w:sz w:val="11"/>
          <w:szCs w:val="11"/>
          <w:color w:val="7F7F7F"/>
          <w:spacing w:val="-8"/>
        </w:rPr>
        <w:t xml:space="preserve"> </w:t>
      </w:r>
      <w:r>
        <w:rPr>
          <w:rFonts w:ascii="Microsoft YaHei" w:hAnsi="Microsoft YaHei" w:eastAsia="Microsoft YaHei" w:cs="Microsoft YaHei"/>
          <w:sz w:val="11"/>
          <w:szCs w:val="11"/>
          <w:color w:val="7F7F7F"/>
          <w:spacing w:val="-1"/>
        </w:rPr>
        <w:t>— 澳门特别行政区合伙制事务所，</w:t>
      </w:r>
      <w:r>
        <w:rPr>
          <w:rFonts w:ascii="Microsoft YaHei" w:hAnsi="Microsoft YaHei" w:eastAsia="Microsoft YaHei" w:cs="Microsoft YaHei"/>
          <w:sz w:val="11"/>
          <w:szCs w:val="11"/>
          <w:color w:val="7F7F7F"/>
          <w:spacing w:val="-2"/>
        </w:rPr>
        <w:t>及毕马威</w:t>
      </w:r>
      <w:r>
        <w:rPr>
          <w:rFonts w:ascii="Microsoft YaHei" w:hAnsi="Microsoft YaHei" w:eastAsia="Microsoft YaHei" w:cs="Microsoft YaHei"/>
          <w:sz w:val="11"/>
          <w:szCs w:val="11"/>
          <w:color w:val="7F7F7F"/>
        </w:rPr>
        <w:t xml:space="preserve"> </w:t>
      </w:r>
      <w:r>
        <w:rPr>
          <w:rFonts w:ascii="Microsoft YaHei" w:hAnsi="Microsoft YaHei" w:eastAsia="Microsoft YaHei" w:cs="Microsoft YaHei"/>
          <w:sz w:val="11"/>
          <w:szCs w:val="11"/>
          <w:color w:val="7F7F7F"/>
        </w:rPr>
        <w:t>会计师事务所 —</w:t>
      </w:r>
      <w:r>
        <w:rPr>
          <w:rFonts w:ascii="Microsoft YaHei" w:hAnsi="Microsoft YaHei" w:eastAsia="Microsoft YaHei" w:cs="Microsoft YaHei"/>
          <w:sz w:val="11"/>
          <w:szCs w:val="11"/>
          <w:color w:val="7F7F7F"/>
          <w:spacing w:val="-6"/>
        </w:rPr>
        <w:t xml:space="preserve"> </w:t>
      </w:r>
      <w:r>
        <w:rPr>
          <w:rFonts w:ascii="Microsoft YaHei" w:hAnsi="Microsoft YaHei" w:eastAsia="Microsoft YaHei" w:cs="Microsoft YaHei"/>
          <w:sz w:val="11"/>
          <w:szCs w:val="11"/>
          <w:color w:val="7F7F7F"/>
        </w:rPr>
        <w:t>香港特别行政区合伙制事务所，</w:t>
      </w:r>
      <w:r>
        <w:rPr>
          <w:rFonts w:ascii="Microsoft YaHei" w:hAnsi="Microsoft YaHei" w:eastAsia="Microsoft YaHei" w:cs="Microsoft YaHei"/>
          <w:sz w:val="11"/>
          <w:szCs w:val="11"/>
          <w:color w:val="7F7F7F"/>
          <w:spacing w:val="-1"/>
        </w:rPr>
        <w:t>均是与英国私营担保有限公司</w:t>
      </w:r>
      <w:r>
        <w:rPr>
          <w:rFonts w:ascii="Microsoft YaHei" w:hAnsi="Microsoft YaHei" w:eastAsia="Microsoft YaHei" w:cs="Microsoft YaHei"/>
          <w:sz w:val="11"/>
          <w:szCs w:val="11"/>
          <w:color w:val="7F7F7F"/>
          <w:spacing w:val="-13"/>
        </w:rPr>
        <w:t xml:space="preserve"> </w:t>
      </w:r>
      <w:r>
        <w:rPr>
          <w:rFonts w:ascii="Microsoft YaHei" w:hAnsi="Microsoft YaHei" w:eastAsia="Microsoft YaHei" w:cs="Microsoft YaHei"/>
          <w:sz w:val="11"/>
          <w:szCs w:val="11"/>
          <w:color w:val="7F7F7F"/>
          <w:spacing w:val="-1"/>
        </w:rPr>
        <w:t>— 毕马威国际有限公司相关联的独立成员所全球性组织中的成员。版权所有，不得转载。在中国印刷。</w:t>
      </w:r>
    </w:p>
    <w:p>
      <w:pPr>
        <w:spacing w:line="172" w:lineRule="auto"/>
        <w:sectPr>
          <w:pgSz w:w="12245" w:h="17180"/>
          <w:pgMar w:top="400" w:right="0" w:bottom="0" w:left="0" w:header="0" w:footer="0" w:gutter="0"/>
        </w:sectPr>
        <w:rPr>
          <w:rFonts w:ascii="Microsoft YaHei" w:hAnsi="Microsoft YaHei" w:eastAsia="Microsoft YaHei" w:cs="Microsoft YaHei"/>
          <w:sz w:val="11"/>
          <w:szCs w:val="11"/>
        </w:rPr>
      </w:pPr>
    </w:p>
    <w:p>
      <w:pPr>
        <w:ind w:left="7679"/>
        <w:spacing w:before="314" w:line="193" w:lineRule="auto"/>
        <w:outlineLvl w:val="0"/>
        <w:rPr>
          <w:rFonts w:ascii="Microsoft YaHei" w:hAnsi="Microsoft YaHei" w:eastAsia="Microsoft YaHei" w:cs="Microsoft YaHei"/>
          <w:sz w:val="18"/>
          <w:szCs w:val="18"/>
        </w:rPr>
      </w:pPr>
      <w:r>
        <w:rPr>
          <w:rFonts w:ascii="Microsoft YaHei" w:hAnsi="Microsoft YaHei" w:eastAsia="Microsoft YaHei" w:cs="Microsoft YaHei"/>
          <w:sz w:val="18"/>
          <w:szCs w:val="18"/>
          <w:color w:val="A8A8A8"/>
        </w:rPr>
        <w:t>新型储能助力能源转型</w:t>
      </w:r>
      <w:r>
        <w:rPr>
          <w:rFonts w:ascii="Microsoft YaHei" w:hAnsi="Microsoft YaHei" w:eastAsia="Microsoft YaHei" w:cs="Microsoft YaHei"/>
          <w:sz w:val="18"/>
          <w:szCs w:val="18"/>
          <w:color w:val="A8A8A8"/>
          <w:spacing w:val="20"/>
        </w:rPr>
        <w:t xml:space="preserve">  </w:t>
      </w:r>
      <w:r>
        <w:rPr>
          <w:sz w:val="18"/>
          <w:szCs w:val="18"/>
          <w:position w:val="-4"/>
        </w:rPr>
        <w:drawing>
          <wp:inline distT="0" distB="0" distL="0" distR="0">
            <wp:extent cx="6350" cy="130175"/>
            <wp:effectExtent l="0" t="0" r="0" b="0"/>
            <wp:docPr id="396" name="IM 396"/>
            <wp:cNvGraphicFramePr/>
            <a:graphic>
              <a:graphicData uri="http://schemas.openxmlformats.org/drawingml/2006/picture">
                <pic:pic>
                  <pic:nvPicPr>
                    <pic:cNvPr id="396" name="IM 396"/>
                    <pic:cNvPicPr/>
                  </pic:nvPicPr>
                  <pic:blipFill>
                    <a:blip r:embed="rId190"/>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spacing w:val="15"/>
          <w:w w:val="101"/>
        </w:rPr>
        <w:t xml:space="preserve">  </w:t>
      </w:r>
      <w:r>
        <w:rPr>
          <w:rFonts w:ascii="Microsoft YaHei" w:hAnsi="Microsoft YaHei" w:eastAsia="Microsoft YaHei" w:cs="Microsoft YaHei"/>
          <w:sz w:val="18"/>
          <w:szCs w:val="18"/>
          <w:b/>
          <w:bCs/>
          <w:color w:val="A8A8A8"/>
        </w:rPr>
        <w:t>32</w:t>
      </w:r>
    </w:p>
    <w:p>
      <w:pPr>
        <w:pStyle w:val="BodyText"/>
        <w:spacing w:line="284" w:lineRule="auto"/>
        <w:rPr/>
      </w:pPr>
      <w:r/>
    </w:p>
    <w:p>
      <w:pPr>
        <w:pStyle w:val="BodyText"/>
        <w:spacing w:line="284" w:lineRule="auto"/>
        <w:rPr/>
      </w:pPr>
      <w:r/>
    </w:p>
    <w:p>
      <w:pPr>
        <w:ind w:left="13" w:right="2997" w:hanging="1"/>
        <w:spacing w:before="90" w:line="21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储能下游应用场景主要可分为发电侧、</w:t>
      </w:r>
      <w:r>
        <w:rPr>
          <w:rFonts w:ascii="Microsoft YaHei" w:hAnsi="Microsoft YaHei" w:eastAsia="Microsoft YaHei" w:cs="Microsoft YaHei"/>
          <w:sz w:val="21"/>
          <w:szCs w:val="21"/>
          <w:spacing w:val="-39"/>
        </w:rPr>
        <w:t xml:space="preserve"> </w:t>
      </w:r>
      <w:r>
        <w:rPr>
          <w:rFonts w:ascii="Microsoft YaHei" w:hAnsi="Microsoft YaHei" w:eastAsia="Microsoft YaHei" w:cs="Microsoft YaHei"/>
          <w:sz w:val="21"/>
          <w:szCs w:val="21"/>
          <w:spacing w:val="3"/>
        </w:rPr>
        <w:t>电网侧、用户侧等</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，在发电侧主要起到匹配电</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力生产和消纳、减轻电网压力等作用；在电网侧主要用于减少或延缓电网设备投资、</w:t>
      </w:r>
      <w:r>
        <w:rPr>
          <w:rFonts w:ascii="Microsoft YaHei" w:hAnsi="Microsoft YaHei" w:eastAsia="Microsoft YaHei" w:cs="Microsoft YaHei"/>
          <w:sz w:val="21"/>
          <w:szCs w:val="21"/>
          <w:spacing w:val="18"/>
          <w:w w:val="101"/>
        </w:rPr>
        <w:t xml:space="preserve"> </w:t>
      </w:r>
      <w:r>
        <w:rPr>
          <w:rFonts w:ascii="Microsoft YaHei" w:hAnsi="Microsoft YaHei" w:eastAsia="Microsoft YaHei" w:cs="Microsoft YaHei"/>
          <w:sz w:val="21"/>
          <w:szCs w:val="21"/>
          <w:spacing w:val="3"/>
        </w:rPr>
        <w:t>缓解电网阻塞</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w:t>
      </w:r>
      <w:r>
        <w:rPr>
          <w:rFonts w:ascii="Microsoft YaHei" w:hAnsi="Microsoft YaHei" w:eastAsia="Microsoft YaHei" w:cs="Microsoft YaHei"/>
          <w:sz w:val="21"/>
          <w:szCs w:val="21"/>
          <w:spacing w:val="-41"/>
        </w:rPr>
        <w:t xml:space="preserve"> </w:t>
      </w:r>
      <w:r>
        <w:rPr>
          <w:rFonts w:ascii="Microsoft YaHei" w:hAnsi="Microsoft YaHei" w:eastAsia="Microsoft YaHei" w:cs="Microsoft YaHei"/>
          <w:sz w:val="21"/>
          <w:szCs w:val="21"/>
          <w:spacing w:val="3"/>
        </w:rPr>
        <w:t>以及为电力系统提供调峰调频等辅助服务；在用户侧则帮助用户实现</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削峰填谷或光伏自发自用等模式，</w:t>
      </w:r>
      <w:r>
        <w:rPr>
          <w:rFonts w:ascii="Microsoft YaHei" w:hAnsi="Microsoft YaHei" w:eastAsia="Microsoft YaHei" w:cs="Microsoft YaHei"/>
          <w:sz w:val="21"/>
          <w:szCs w:val="21"/>
          <w:spacing w:val="-21"/>
        </w:rPr>
        <w:t xml:space="preserve"> </w:t>
      </w:r>
      <w:r>
        <w:rPr>
          <w:rFonts w:ascii="Microsoft YaHei" w:hAnsi="Microsoft YaHei" w:eastAsia="Microsoft YaHei" w:cs="Microsoft YaHei"/>
          <w:sz w:val="21"/>
          <w:szCs w:val="21"/>
          <w:spacing w:val="-3"/>
        </w:rPr>
        <w:t>降低电费支出（图</w:t>
      </w:r>
      <w:r>
        <w:rPr>
          <w:rFonts w:ascii="Microsoft YaHei" w:hAnsi="Microsoft YaHei" w:eastAsia="Microsoft YaHei" w:cs="Microsoft YaHei"/>
          <w:sz w:val="21"/>
          <w:szCs w:val="21"/>
          <w:spacing w:val="-14"/>
        </w:rPr>
        <w:t xml:space="preserve"> </w:t>
      </w:r>
      <w:r>
        <w:rPr>
          <w:rFonts w:ascii="Microsoft YaHei" w:hAnsi="Microsoft YaHei" w:eastAsia="Microsoft YaHei" w:cs="Microsoft YaHei"/>
          <w:sz w:val="21"/>
          <w:szCs w:val="21"/>
          <w:spacing w:val="-3"/>
        </w:rPr>
        <w:t>13）。</w:t>
      </w:r>
    </w:p>
    <w:p>
      <w:pPr>
        <w:ind w:firstLine="5"/>
        <w:spacing w:before="137" w:line="590" w:lineRule="exact"/>
        <w:rPr/>
      </w:pPr>
      <w:r>
        <w:rPr>
          <w:position w:val="-11"/>
        </w:rPr>
        <w:pict>
          <v:group id="_x0000_s576" style="mso-position-vertical-relative:line;mso-position-horizontal-relative:char;width:482.2pt;height:29.5pt;" filled="false" stroked="false" coordsize="9644,590" coordorigin="0,0">
            <v:group id="_x0000_s578" style="position:absolute;left:0;top:0;width:9644;height:590;" filled="false" stroked="false" coordsize="9644,590" coordorigin="0,0">
              <v:shape id="_x0000_s580" style="position:absolute;left:0;top:71;width:9644;height:519;" fillcolor="#F1F1F1" filled="true" stroked="false" coordsize="9644,519" coordorigin="0,0" path="m,l9643,0l9643,518l0,518l0,0xe"/>
              <v:shape id="_x0000_s582" style="position:absolute;left:2;top:0;width:610;height:100;" filled="false" strokecolor="#00C0AE" strokeweight="5.00pt" coordsize="610,100" coordorigin="0,0" path="m0,50l610,50e">
                <v:stroke joinstyle="miter"/>
              </v:shape>
            </v:group>
            <v:shape id="_x0000_s584" style="position:absolute;left:-20;top:-20;width:9684;height:630;" filled="false" stroked="false" type="#_x0000_t202">
              <v:fill on="false"/>
              <v:stroke on="false"/>
              <v:path/>
              <v:imagedata o:title=""/>
              <o:lock v:ext="edit" aspectratio="false"/>
              <v:textbox inset="0mm,0mm,0mm,0mm">
                <w:txbxContent>
                  <w:p>
                    <w:pPr>
                      <w:ind w:left="180"/>
                      <w:spacing w:before="211" w:line="21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C0AE"/>
                        <w:spacing w:val="-1"/>
                      </w:rPr>
                      <w:t>图 13 </w:t>
                    </w:r>
                    <w:r>
                      <w:rPr>
                        <w:sz w:val="21"/>
                        <w:szCs w:val="21"/>
                        <w:position w:val="-5"/>
                      </w:rPr>
                      <w:drawing>
                        <wp:inline distT="0" distB="0" distL="0" distR="0">
                          <wp:extent cx="12700" cy="175666"/>
                          <wp:effectExtent l="0" t="0" r="0" b="0"/>
                          <wp:docPr id="398" name="IM 398"/>
                          <wp:cNvGraphicFramePr/>
                          <a:graphic>
                            <a:graphicData uri="http://schemas.openxmlformats.org/drawingml/2006/picture">
                              <pic:pic>
                                <pic:nvPicPr>
                                  <pic:cNvPr id="398" name="IM 398"/>
                                  <pic:cNvPicPr/>
                                </pic:nvPicPr>
                                <pic:blipFill>
                                  <a:blip r:embed="rId191"/>
                                  <a:stretch>
                                    <a:fillRect/>
                                  </a:stretch>
                                </pic:blipFill>
                                <pic:spPr>
                                  <a:xfrm rot="0">
                                    <a:off x="0" y="0"/>
                                    <a:ext cx="12700" cy="175666"/>
                                  </a:xfrm>
                                  <a:prstGeom prst="rect">
                                    <a:avLst/>
                                  </a:prstGeom>
                                </pic:spPr>
                              </pic:pic>
                            </a:graphicData>
                          </a:graphic>
                        </wp:inline>
                      </w:drawing>
                    </w:r>
                    <w:r>
                      <w:rPr>
                        <w:rFonts w:ascii="Microsoft YaHei" w:hAnsi="Microsoft YaHei" w:eastAsia="Microsoft YaHei" w:cs="Microsoft YaHei"/>
                        <w:sz w:val="21"/>
                        <w:szCs w:val="21"/>
                        <w:b/>
                        <w:bCs/>
                        <w:color w:val="00C0AE"/>
                        <w:spacing w:val="21"/>
                      </w:rPr>
                      <w:t xml:space="preserve">  </w:t>
                    </w:r>
                    <w:r>
                      <w:rPr>
                        <w:rFonts w:ascii="Microsoft YaHei" w:hAnsi="Microsoft YaHei" w:eastAsia="Microsoft YaHei" w:cs="Microsoft YaHei"/>
                        <w:sz w:val="21"/>
                        <w:szCs w:val="21"/>
                        <w:b/>
                        <w:bCs/>
                        <w:color w:val="00C0AE"/>
                        <w:spacing w:val="-1"/>
                      </w:rPr>
                      <w:t>储能下游应用场景示意图</w:t>
                    </w:r>
                  </w:p>
                </w:txbxContent>
              </v:textbox>
            </v:shape>
          </v:group>
        </w:pict>
      </w:r>
    </w:p>
    <w:p>
      <w:pPr>
        <w:pStyle w:val="BodyText"/>
        <w:spacing w:line="296" w:lineRule="auto"/>
        <w:rPr/>
      </w:pPr>
      <w:r>
        <w:pict>
          <v:shape id="_x0000_s586" style="position:absolute;margin-left:74.6499pt;margin-top:5.04529pt;mso-position-vertical-relative:text;mso-position-horizontal-relative:text;width:44.45pt;height:18.25pt;z-index:252251136;" fillcolor="#FFFFFF" filled="true" stroked="false" type="#_x0000_t202">
            <v:fill on="true"/>
            <v:stroke on="false"/>
            <v:path/>
            <v:imagedata o:title=""/>
            <o:lock v:ext="edit" aspectratio="false"/>
            <v:textbox inset="0mm,0mm,0mm,0mm">
              <w:txbxContent>
                <w:p>
                  <w:pPr>
                    <w:ind w:left="128"/>
                    <w:spacing w:before="99"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338D"/>
                      <w:spacing w:val="-1"/>
                    </w:rPr>
                    <w:t>发电侧</w:t>
                  </w:r>
                </w:p>
              </w:txbxContent>
            </v:textbox>
          </v:shape>
        </w:pict>
      </w:r>
      <w:r>
        <w:pict>
          <v:shape id="_x0000_s588" style="position:absolute;margin-left:419.77pt;margin-top:5.04529pt;mso-position-vertical-relative:text;mso-position-horizontal-relative:text;width:44.65pt;height:18.25pt;z-index:252250112;" fillcolor="#FFFFFF" filled="true" stroked="false" type="#_x0000_t202">
            <v:fill on="true"/>
            <v:stroke on="false"/>
            <v:path/>
            <v:imagedata o:title=""/>
            <o:lock v:ext="edit" aspectratio="false"/>
            <v:textbox inset="0mm,0mm,0mm,0mm">
              <w:txbxContent>
                <w:p>
                  <w:pPr>
                    <w:ind w:left="130"/>
                    <w:spacing w:before="101"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B8F5"/>
                      <w:spacing w:val="-1"/>
                    </w:rPr>
                    <w:t>用户侧</w:t>
                  </w:r>
                </w:p>
              </w:txbxContent>
            </v:textbox>
          </v:shape>
        </w:pict>
      </w:r>
      <w:r/>
    </w:p>
    <w:p>
      <w:pPr>
        <w:pStyle w:val="BodyText"/>
        <w:spacing w:line="297" w:lineRule="auto"/>
        <w:rPr/>
      </w:pPr>
      <w:r/>
    </w:p>
    <w:p>
      <w:pPr>
        <w:pStyle w:val="BodyText"/>
        <w:spacing w:line="297" w:lineRule="auto"/>
        <w:rPr/>
      </w:pPr>
      <w:r>
        <w:pict>
          <v:shape id="_x0000_s590" style="position:absolute;margin-left:135.97pt;margin-top:12.0526pt;mso-position-vertical-relative:text;mso-position-horizontal-relative:text;width:12.4pt;height:12.6pt;z-index:252258304;" filled="false" strokecolor="#00338D" strokeweight="3.00pt" coordsize="247,252" coordorigin="0,0" path="m30,125c30,72,71,30,123,30c175,30,217,72,217,125c217,179,175,221,123,221c71,221,30,179,30,125e">
            <v:stroke joinstyle="miter"/>
          </v:shape>
        </w:pict>
      </w:r>
      <w:r/>
    </w:p>
    <w:p>
      <w:pPr>
        <w:ind w:left="5022"/>
        <w:spacing w:before="90" w:line="165" w:lineRule="auto"/>
        <w:rPr>
          <w:rFonts w:ascii="Microsoft YaHei" w:hAnsi="Microsoft YaHei" w:eastAsia="Microsoft YaHei" w:cs="Microsoft YaHei"/>
          <w:sz w:val="21"/>
          <w:szCs w:val="21"/>
        </w:rPr>
      </w:pPr>
      <w:r>
        <w:pict>
          <v:roundrect id="_x0000_s592" style="position:absolute;margin-left:392.93pt;margin-top:-40.229pt;mso-position-vertical-relative:text;mso-position-horizontal-relative:text;width:90.5pt;height:157.3pt;z-index:252242944;" filled="false" strokecolor="#00B8F5" strokeweight="1.00pt" arcsize="0.066406">
            <v:fill on="false"/>
            <v:stroke joinstyle="miter" miterlimit="0"/>
            <v:path/>
            <v:imagedata o:title=""/>
            <o:lock v:ext="edit" aspectratio="false"/>
            <v:textbox inset="0mm,0mm,0mm,0mm">
              <w:txbxContent>
                <w:p>
                  <w:pPr>
                    <w:pStyle w:val="BodyText"/>
                    <w:spacing w:line="341" w:lineRule="auto"/>
                    <w:rPr/>
                  </w:pPr>
                  <w:r/>
                </w:p>
                <w:p>
                  <w:pPr>
                    <w:spacing w:line="1680" w:lineRule="exact"/>
                    <w:rPr/>
                  </w:pPr>
                  <w:r>
                    <w:rPr>
                      <w:position w:val="-33"/>
                    </w:rPr>
                    <w:drawing>
                      <wp:inline distT="0" distB="0" distL="0" distR="0">
                        <wp:extent cx="885185" cy="1066802"/>
                        <wp:effectExtent l="0" t="0" r="0" b="0"/>
                        <wp:docPr id="400" name="IM 400"/>
                        <wp:cNvGraphicFramePr/>
                        <a:graphic>
                          <a:graphicData uri="http://schemas.openxmlformats.org/drawingml/2006/picture">
                            <pic:pic>
                              <pic:nvPicPr>
                                <pic:cNvPr id="400" name="IM 400"/>
                                <pic:cNvPicPr/>
                              </pic:nvPicPr>
                              <pic:blipFill>
                                <a:blip r:embed="rId192"/>
                                <a:stretch>
                                  <a:fillRect/>
                                </a:stretch>
                              </pic:blipFill>
                              <pic:spPr>
                                <a:xfrm rot="0">
                                  <a:off x="0" y="0"/>
                                  <a:ext cx="885185" cy="1066802"/>
                                </a:xfrm>
                                <a:prstGeom prst="rect">
                                  <a:avLst/>
                                </a:prstGeom>
                              </pic:spPr>
                            </pic:pic>
                          </a:graphicData>
                        </a:graphic>
                      </wp:inline>
                    </w:drawing>
                  </w:r>
                </w:p>
                <w:p>
                  <w:pPr>
                    <w:spacing w:before="43" w:line="821" w:lineRule="exact"/>
                    <w:rPr/>
                  </w:pPr>
                  <w:r>
                    <w:rPr>
                      <w:position w:val="-16"/>
                    </w:rPr>
                    <w:drawing>
                      <wp:inline distT="0" distB="0" distL="0" distR="0">
                        <wp:extent cx="885185" cy="521208"/>
                        <wp:effectExtent l="0" t="0" r="0" b="0"/>
                        <wp:docPr id="402" name="IM 402"/>
                        <wp:cNvGraphicFramePr/>
                        <a:graphic>
                          <a:graphicData uri="http://schemas.openxmlformats.org/drawingml/2006/picture">
                            <pic:pic>
                              <pic:nvPicPr>
                                <pic:cNvPr id="402" name="IM 402"/>
                                <pic:cNvPicPr/>
                              </pic:nvPicPr>
                              <pic:blipFill>
                                <a:blip r:embed="rId193"/>
                                <a:stretch>
                                  <a:fillRect/>
                                </a:stretch>
                              </pic:blipFill>
                              <pic:spPr>
                                <a:xfrm rot="0">
                                  <a:off x="0" y="0"/>
                                  <a:ext cx="885185" cy="521208"/>
                                </a:xfrm>
                                <a:prstGeom prst="rect">
                                  <a:avLst/>
                                </a:prstGeom>
                              </pic:spPr>
                            </pic:pic>
                          </a:graphicData>
                        </a:graphic>
                      </wp:inline>
                    </w:drawing>
                  </w:r>
                </w:p>
              </w:txbxContent>
            </v:textbox>
          </v:roundrect>
        </w:pict>
      </w:r>
      <w:r>
        <w:pict>
          <v:roundrect id="_x0000_s594" style="position:absolute;margin-left:55.1699pt;margin-top:-40.229pt;mso-position-vertical-relative:text;mso-position-horizontal-relative:text;width:85.8pt;height:157.3pt;z-index:252243968;" filled="false" strokecolor="#00338D" strokeweight="1.00pt" arcsize="0.070104">
            <v:fill on="false"/>
            <v:stroke joinstyle="miter" miterlimit="0"/>
            <v:path/>
            <v:imagedata o:title=""/>
            <o:lock v:ext="edit" aspectratio="false"/>
            <v:textbox inset="0mm,0mm,0mm,0mm">
              <w:txbxContent>
                <w:p>
                  <w:pPr>
                    <w:pStyle w:val="BodyText"/>
                    <w:spacing w:line="341" w:lineRule="auto"/>
                    <w:rPr/>
                  </w:pPr>
                  <w:r/>
                </w:p>
                <w:p>
                  <w:pPr>
                    <w:ind w:firstLine="358"/>
                    <w:spacing w:line="2544" w:lineRule="exact"/>
                    <w:rPr/>
                  </w:pPr>
                  <w:r>
                    <w:rPr>
                      <w:position w:val="-50"/>
                    </w:rPr>
                    <w:drawing>
                      <wp:inline distT="0" distB="0" distL="0" distR="0">
                        <wp:extent cx="734821" cy="1615440"/>
                        <wp:effectExtent l="0" t="0" r="0" b="0"/>
                        <wp:docPr id="404" name="IM 404"/>
                        <wp:cNvGraphicFramePr/>
                        <a:graphic>
                          <a:graphicData uri="http://schemas.openxmlformats.org/drawingml/2006/picture">
                            <pic:pic>
                              <pic:nvPicPr>
                                <pic:cNvPr id="404" name="IM 404"/>
                                <pic:cNvPicPr/>
                              </pic:nvPicPr>
                              <pic:blipFill>
                                <a:blip r:embed="rId194"/>
                                <a:stretch>
                                  <a:fillRect/>
                                </a:stretch>
                              </pic:blipFill>
                              <pic:spPr>
                                <a:xfrm rot="0">
                                  <a:off x="0" y="0"/>
                                  <a:ext cx="734821" cy="1615440"/>
                                </a:xfrm>
                                <a:prstGeom prst="rect">
                                  <a:avLst/>
                                </a:prstGeom>
                              </pic:spPr>
                            </pic:pic>
                          </a:graphicData>
                        </a:graphic>
                      </wp:inline>
                    </w:drawing>
                  </w:r>
                </w:p>
              </w:txbxContent>
            </v:textbox>
          </v:roundrect>
        </w:pict>
      </w:r>
      <w:r>
        <w:drawing>
          <wp:anchor distT="0" distB="0" distL="0" distR="0" simplePos="0" relativeHeight="252234752" behindDoc="1" locked="0" layoutInCell="1" allowOverlap="1">
            <wp:simplePos x="0" y="0"/>
            <wp:positionH relativeFrom="column">
              <wp:posOffset>1991752</wp:posOffset>
            </wp:positionH>
            <wp:positionV relativeFrom="paragraph">
              <wp:posOffset>-310972</wp:posOffset>
            </wp:positionV>
            <wp:extent cx="2931837" cy="1654550"/>
            <wp:effectExtent l="0" t="0" r="0" b="0"/>
            <wp:wrapNone/>
            <wp:docPr id="406" name="IM 406"/>
            <wp:cNvGraphicFramePr/>
            <a:graphic>
              <a:graphicData uri="http://schemas.openxmlformats.org/drawingml/2006/picture">
                <pic:pic>
                  <pic:nvPicPr>
                    <pic:cNvPr id="406" name="IM 406"/>
                    <pic:cNvPicPr/>
                  </pic:nvPicPr>
                  <pic:blipFill>
                    <a:blip r:embed="rId195"/>
                    <a:stretch>
                      <a:fillRect/>
                    </a:stretch>
                  </pic:blipFill>
                  <pic:spPr>
                    <a:xfrm rot="0">
                      <a:off x="0" y="0"/>
                      <a:ext cx="2931837" cy="1654550"/>
                    </a:xfrm>
                    <a:prstGeom prst="rect">
                      <a:avLst/>
                    </a:prstGeom>
                  </pic:spPr>
                </pic:pic>
              </a:graphicData>
            </a:graphic>
          </wp:anchor>
        </w:drawing>
      </w:r>
      <w:r>
        <w:rPr>
          <w:rFonts w:ascii="Microsoft YaHei" w:hAnsi="Microsoft YaHei" w:eastAsia="Microsoft YaHei" w:cs="Microsoft YaHei"/>
          <w:sz w:val="21"/>
          <w:szCs w:val="21"/>
          <w:b/>
          <w:bCs/>
          <w:color w:val="00C0AE"/>
          <w:spacing w:val="-5"/>
        </w:rPr>
        <w:t>电网侧</w:t>
      </w:r>
    </w:p>
    <w:p>
      <w:pPr>
        <w:ind w:firstLine="4718"/>
        <w:spacing w:line="1305" w:lineRule="exact"/>
        <w:rPr/>
      </w:pPr>
      <w:r>
        <w:pict>
          <v:shape id="_x0000_s596" style="position:absolute;margin-left:426.01pt;margin-top:23.4932pt;mso-position-vertical-relative:text;mso-position-horizontal-relative:text;width:36.75pt;height:15.4pt;z-index:252253184;" fillcolor="#00B8F5" filled="true" stroked="false" coordsize="735,307" coordorigin="0,0" path="m439,298c433,298,427,292,427,286l427,92l314,25l200,92l200,286c200,292,195,298,189,298c182,298,177,292,177,286l177,85c177,81,179,77,183,75l308,2c312,0,316,0,320,2l445,75c449,77,451,81,451,85l451,286c451,292,445,298,439,298em689,298c682,298,677,292,677,286l677,92l564,25l450,92l450,286c450,292,445,298,438,298c432,298,427,292,427,286l427,85c427,81,429,77,432,75l558,2c561,0,566,0,569,2l695,75c698,77,700,81,700,85l700,286c700,292,695,298,689,298em352,158l189,158c185,158,182,155,182,151c182,147,185,144,189,144l352,144c356,144,360,147,360,151c360,155,356,158,352,158em352,226l189,226c185,226,182,222,182,218c182,214,185,211,189,211l352,211c356,211,360,214,360,218c360,222,356,226,352,226em395,158l391,158c387,158,383,155,383,151c383,147,387,144,391,144l395,144c399,144,403,147,403,151c403,155,399,158,395,158em395,226l391,226c387,226,383,222,383,218c383,214,387,211,391,211l395,211c399,211,403,214,403,218c403,222,399,226,395,226em606,158l444,158c440,158,436,155,436,151c436,147,440,144,444,144l606,144c611,144,614,147,614,151c614,155,611,158,606,158em606,226l444,226c440,226,436,222,436,218c436,214,440,211,444,211l606,211c611,211,614,214,614,218c614,222,611,226,606,226em650,158l645,158c641,158,638,155,638,151c638,147,641,144,645,144l650,144c654,144,657,147,657,151c657,155,654,158,650,158em650,226l645,226c641,226,638,222,638,218c638,214,641,211,645,211l650,211c654,211,657,214,657,218c657,222,654,226,650,226em722,307l11,307c5,307,0,302,0,295c0,289,5,283,11,283l722,283c729,283,734,289,734,295c734,302,729,307,722,307e"/>
        </w:pict>
      </w:r>
      <w:r>
        <w:pict>
          <v:shape id="_x0000_s598" style="position:absolute;margin-left:135.97pt;margin-top:22.4406pt;mso-position-vertical-relative:text;mso-position-horizontal-relative:text;width:12.4pt;height:12.6pt;z-index:252257280;" filled="false" strokecolor="#00338D" strokeweight="3.00pt" coordsize="247,252" coordorigin="0,0" path="m30,125c30,72,71,30,123,30c175,30,217,72,217,125c217,179,175,221,123,221c71,221,30,179,30,125e">
            <v:stroke joinstyle="miter"/>
          </v:shape>
        </w:pict>
      </w:r>
      <w:r>
        <w:pict>
          <v:shape id="_x0000_s600" style="position:absolute;margin-left:135.97pt;margin-top:62.2805pt;mso-position-vertical-relative:text;mso-position-horizontal-relative:text;width:12.4pt;height:12.6pt;z-index:252256256;" filled="false" strokecolor="#00338D" strokeweight="3.00pt" coordsize="247,252" coordorigin="0,0" path="m30,125c30,72,71,30,123,30c175,30,217,72,217,125c217,179,175,221,123,221c71,221,30,179,30,125e">
            <v:stroke joinstyle="miter"/>
          </v:shape>
        </w:pict>
      </w:r>
      <w:r>
        <w:pict>
          <v:group id="_x0000_s602" style="position:absolute;margin-left:150.49pt;margin-top:11.2805pt;mso-position-vertical-relative:text;mso-position-horizontal-relative:text;width:76.85pt;height:31.2pt;z-index:252247040;" filled="false" stroked="false" coordsize="1536,624" coordorigin="0,0">
            <v:shape id="_x0000_s604" style="position:absolute;left:0;top:297;width:350;height:20;" filled="false" strokecolor="#00C0AE" strokeweight="1.00pt" coordsize="350,20" coordorigin="0,0" path="m0,10l350,10e">
              <v:stroke dashstyle="dash" joinstyle="miter"/>
            </v:shape>
            <v:shape id="_x0000_s606" style="position:absolute;left:441;top:0;width:681;height:624;" fillcolor="#00C0AE" filled="true" stroked="false" coordsize="681,624" coordorigin="0,0" path="m377,362l340,420c331,434,308,421,317,407c326,395,334,381,343,369l315,369c305,369,298,358,304,349c315,332,327,315,338,298c347,284,369,297,360,310c353,321,346,332,339,343l366,343c375,343,382,354,377,362l377,362xm483,426c489,435,489,447,483,457c477,467,467,473,455,473l225,473c213,473,203,467,197,457c191,447,192,435,197,426l312,229c318,219,328,213,340,213c351,213,361,219,367,229l482,426l483,426xm461,438l346,242c344,239,341,239,340,239c339,239,337,239,335,242l219,438c218,441,219,444,219,444c220,445,221,447,225,447l455,447c458,447,460,445,461,444c461,443,462,441,461,438m681,560l681,601c681,614,671,623,659,623l22,623c9,623,0,614,0,601l0,560c0,547,9,537,22,537l30,537l30,181c30,169,40,159,52,159l146,159l146,133c146,123,154,115,164,115l229,115c239,115,247,123,247,133l247,159l293,159l293,133c293,123,301,115,311,115l376,115c386,115,394,123,394,133l394,159l434,159l434,133c434,123,442,115,452,115l516,115c527,115,535,123,535,133l535,159l629,159c641,159,650,169,650,181l650,537l659,537c671,537,681,547,681,560m459,159l509,159l509,140l459,140l459,159xm319,159l369,159l369,140l319,140l319,159xm172,159l222,159l222,140l172,140l172,159xm56,537l625,537l625,185l56,185l56,537xm656,563l26,563l26,598l656,598l656,563xm157,102l236,102c252,102,252,76,236,76l157,76c141,76,141,102,157,102m157,63l236,63c252,63,252,38,236,38l157,38c141,38,141,63,157,63m157,25l236,25c252,25,252,0,236,0l157,0c141,0,141,25,157,25m304,102l383,102c399,102,399,76,383,76l304,76c288,76,288,102,304,102m304,63l383,63c399,63,399,38,383,38l304,38c288,38,288,63,304,63m304,25l383,25c399,25,399,0,383,0l304,0c288,0,288,25,304,25m445,102l524,102c540,102,540,76,524,76l445,76c428,76,428,102,445,102m445,63l524,63c540,63,540,38,524,38l445,38c428,38,428,63,445,63m445,25l524,25c540,25,540,0,524,0l445,0c428,0,428,25,445,25e"/>
            <v:shape id="_x0000_s608" style="position:absolute;left:1185;top:297;width:350;height:20;" filled="false" strokecolor="#00C0AE" strokeweight="1.00pt" coordsize="350,20" coordorigin="0,0" path="m0,10l350,10e">
              <v:stroke dashstyle="dash" joinstyle="miter"/>
            </v:shape>
          </v:group>
        </w:pict>
      </w:r>
      <w:r>
        <w:pict>
          <v:shape id="_x0000_s610" style="position:absolute;margin-left:331.21pt;margin-top:11.2805pt;mso-position-vertical-relative:text;mso-position-horizontal-relative:text;width:33.85pt;height:31.2pt;z-index:252249088;" fillcolor="#00C0AE" filled="true" stroked="false" coordsize="676,624" coordorigin="0,0" path="m375,362l337,420c328,434,306,421,315,407c323,395,332,381,340,369l313,369c303,369,296,358,302,349c313,332,324,315,336,298c345,284,367,297,358,310c350,321,344,332,336,343l363,343c373,343,379,354,374,362l375,362xm480,426c486,435,486,447,480,457c474,467,464,473,452,473l223,473c212,473,202,467,196,457c190,447,190,435,196,426l310,229c316,219,326,213,337,213c348,213,359,219,364,229l479,426l480,426xm458,438l343,242c342,239,339,239,338,239c337,239,334,239,332,242l218,438c216,441,217,444,218,444c218,445,220,447,223,447l452,447c455,447,457,445,458,444c458,443,459,441,458,438m676,560l676,601c676,614,666,623,654,623l22,623c9,623,0,614,0,601l0,560c0,547,9,537,22,537l30,537l30,181c30,169,40,159,52,159l145,159l145,133c145,123,153,115,163,115l227,115c237,115,245,123,245,133l245,159l291,159l291,133c291,123,299,115,309,115l373,115c383,115,391,123,391,133l391,159l431,159l431,133c431,123,439,115,449,115l513,115c523,115,531,123,531,133l531,159l624,159c636,159,646,169,646,181l646,537l654,537c666,537,676,547,676,560m456,159l506,159l506,140l456,140l456,159xm317,159l366,159l366,140l317,140l317,159xm171,159l220,159l220,140l171,140l171,159xm56,537l621,537l621,185l56,185l56,537xm651,563l26,563l26,598l651,598l651,563xm156,102l234,102c251,102,251,76,234,76l156,76c140,76,140,102,156,102m156,63l234,63c251,63,251,38,234,38l156,38c140,38,140,63,156,63m156,25l234,25c251,25,251,0,234,0l156,0c140,0,140,25,156,25m302,102l380,102c397,102,397,76,380,76l302,76c286,76,286,102,302,102m302,63l380,63c397,63,397,38,380,38l302,38c286,38,286,63,302,63m302,25l380,25c397,25,397,0,380,0l302,0c286,0,286,25,302,25m441,102l520,102c536,102,536,76,520,76l441,76c425,76,425,102,441,102m441,63l520,63c536,63,536,38,520,38l441,38c425,38,425,63,441,63m441,25l520,25c536,25,536,0,520,0l441,0c425,0,425,25,441,25e"/>
        </w:pict>
      </w:r>
      <w:r>
        <w:pict>
          <v:shape id="_x0000_s612" style="position:absolute;margin-left:309.63pt;margin-top:26.64pt;mso-position-vertical-relative:text;mso-position-horizontal-relative:text;width:17.55pt;height:1pt;z-index:252264448;" filled="false" strokecolor="#00C0AE" strokeweight="1.00pt" coordsize="350,20" coordorigin="0,0" path="m0,10l350,10e">
            <v:stroke dashstyle="dash" joinstyle="miter"/>
          </v:shape>
        </w:pict>
      </w:r>
      <w:r>
        <w:pict>
          <v:shape id="_x0000_s614" style="position:absolute;margin-left:370.83pt;margin-top:26.64pt;mso-position-vertical-relative:text;mso-position-horizontal-relative:text;width:17.55pt;height:1pt;z-index:252263424;" filled="false" strokecolor="#00C0AE" strokeweight="1.00pt" coordsize="350,20" coordorigin="0,0" path="m0,10l350,10e">
            <v:stroke dashstyle="dash" joinstyle="miter"/>
          </v:shape>
        </w:pict>
      </w:r>
      <w:r>
        <w:rPr>
          <w:position w:val="-26"/>
        </w:rPr>
        <w:pict>
          <v:group id="_x0000_s616" style="mso-position-vertical-relative:line;mso-position-horizontal-relative:char;width:65.3pt;height:65.3pt;" filled="false" stroked="false" coordsize="1306,1306" coordorigin="0,0">
            <v:shape id="_x0000_s618" style="position:absolute;left:268;top:100;width:768;height:1046;" fillcolor="#00C0AE" filled="true" stroked="false" coordsize="768,1046" coordorigin="0,0" path="m508,494l254,494l254,240l508,240l508,494xm283,465l479,465l479,269l283,269l283,465xem513,268l249,268l308,62l455,62l513,268xm288,239l474,239l433,92l330,92l288,239xem259,263l279,242l505,468l485,489l259,263xem259,468l484,242l505,263l279,489l259,468xem508,720l254,720l254,465l508,465l508,720xm283,690l479,690l479,494l283,494l283,690xem614,1046l148,1046l258,691l505,691l614,1046xm188,1017l574,1017l483,720l279,720l188,1017xem259,489l279,468l505,694l484,715l259,489xem259,694l485,468l506,489l280,715l259,694xem0,240l767,240l767,268l0,268l0,240xem62,254l91,254l91,345l62,345l62,254xem676,254l705,254l705,345l676,345l676,254xem0,465l767,465l767,494l0,494l0,465xem47,1017l715,1017l715,1046l47,1046l47,1017xem62,480l91,480l91,571l62,571l62,480xem676,480l705,480l705,571l676,571l676,480xem158,1021l484,694l505,715l179,1042l158,1021xem258,715l279,694l606,1021l585,1042l258,715xem369,0l398,0l398,76l369,76l369,0xem14,331l134,331l134,360l14,360l14,331xem14,556l134,556l134,585l14,585l14,556xem628,331l748,331l748,360l628,360l628,331xem628,556l748,556l748,585l628,585l628,556xe"/>
            <v:shape id="_x0000_s620" style="position:absolute;left:0;top:0;width:1306;height:1306;" fillcolor="#00C0AE" filled="true" stroked="false" coordsize="1306,1306" coordorigin="0,0" path="m0,652c0,292,292,0,652,0c1013,0,1305,292,1305,652c1305,1013,1013,1305,652,1305c292,1305,0,1013,0,652e">
              <v:fill opacity="0.101961"/>
            </v:shape>
          </v:group>
        </w:pict>
      </w:r>
    </w:p>
    <w:p>
      <w:pPr>
        <w:pStyle w:val="BodyText"/>
        <w:spacing w:line="269" w:lineRule="auto"/>
        <w:rPr/>
      </w:pPr>
      <w:r/>
    </w:p>
    <w:p>
      <w:pPr>
        <w:pStyle w:val="BodyText"/>
        <w:spacing w:line="269" w:lineRule="auto"/>
        <w:rPr/>
      </w:pPr>
      <w:r/>
    </w:p>
    <w:p>
      <w:pPr>
        <w:pStyle w:val="BodyText"/>
        <w:spacing w:line="270" w:lineRule="auto"/>
        <w:rPr/>
      </w:pPr>
      <w:r/>
    </w:p>
    <w:p>
      <w:pPr>
        <w:ind w:left="1108"/>
        <w:spacing w:before="90" w:line="18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338D"/>
          <w:spacing w:val="1"/>
        </w:rPr>
        <w:t>储能在不同场景的价值:</w:t>
      </w:r>
    </w:p>
    <w:p>
      <w:pPr>
        <w:spacing w:line="121" w:lineRule="exact"/>
        <w:rPr/>
      </w:pPr>
      <w:r/>
    </w:p>
    <w:p>
      <w:pPr>
        <w:spacing w:line="121" w:lineRule="exact"/>
        <w:sectPr>
          <w:pgSz w:w="12245" w:h="17180"/>
          <w:pgMar w:top="400" w:right="0" w:bottom="0" w:left="1295" w:header="0" w:footer="0" w:gutter="0"/>
          <w:cols w:equalWidth="0" w:num="1">
            <w:col w:w="10949" w:space="0"/>
          </w:cols>
        </w:sectPr>
        <w:rPr/>
      </w:pPr>
    </w:p>
    <w:tbl>
      <w:tblPr>
        <w:tblStyle w:val="TableNormal"/>
        <w:tblW w:w="1017" w:type="dxa"/>
        <w:tblInd w:w="5" w:type="dxa"/>
        <w:tblLayout w:type="fixed"/>
        <w:tblBorders>
          <w:left w:val="single" w:color="A8A8A8" w:sz="4" w:space="0"/>
          <w:bottom w:val="single" w:color="A8A8A8" w:sz="4" w:space="0"/>
          <w:right w:val="single" w:color="A8A8A8" w:sz="4" w:space="0"/>
          <w:top w:val="single" w:color="A8A8A8" w:sz="4" w:space="0"/>
        </w:tblBorders>
      </w:tblPr>
      <w:tblGrid>
        <w:gridCol w:w="1017"/>
      </w:tblGrid>
      <w:tr>
        <w:trPr>
          <w:trHeight w:val="508" w:hRule="atLeast"/>
        </w:trPr>
        <w:tc>
          <w:tcPr>
            <w:tcW w:w="1017" w:type="dxa"/>
            <w:vAlign w:val="top"/>
          </w:tcPr>
          <w:p>
            <w:pPr>
              <w:pStyle w:val="TableText"/>
              <w:ind w:left="132"/>
              <w:spacing w:before="155" w:line="176" w:lineRule="auto"/>
              <w:rPr>
                <w:sz w:val="19"/>
                <w:szCs w:val="19"/>
              </w:rPr>
            </w:pPr>
            <w:r>
              <w:rPr>
                <w:sz w:val="19"/>
                <w:szCs w:val="19"/>
                <w:color w:val="7F7F7F"/>
                <w:spacing w:val="-1"/>
              </w:rPr>
              <w:t>削峰填谷</w:t>
            </w:r>
          </w:p>
        </w:tc>
      </w:tr>
    </w:tbl>
    <w:p>
      <w:pPr>
        <w:spacing w:line="71" w:lineRule="exact"/>
        <w:rPr/>
      </w:pPr>
      <w:r/>
    </w:p>
    <w:tbl>
      <w:tblPr>
        <w:tblStyle w:val="TableNormal"/>
        <w:tblW w:w="1017" w:type="dxa"/>
        <w:tblInd w:w="5" w:type="dxa"/>
        <w:tblLayout w:type="fixed"/>
        <w:tblBorders>
          <w:left w:val="single" w:color="A8A8A8" w:sz="4" w:space="0"/>
          <w:bottom w:val="single" w:color="A8A8A8" w:sz="4" w:space="0"/>
          <w:right w:val="single" w:color="A8A8A8" w:sz="4" w:space="0"/>
          <w:top w:val="single" w:color="A8A8A8" w:sz="4" w:space="0"/>
        </w:tblBorders>
      </w:tblPr>
      <w:tblGrid>
        <w:gridCol w:w="1017"/>
      </w:tblGrid>
      <w:tr>
        <w:trPr>
          <w:trHeight w:val="503" w:hRule="atLeast"/>
        </w:trPr>
        <w:tc>
          <w:tcPr>
            <w:tcW w:w="1017" w:type="dxa"/>
            <w:vAlign w:val="top"/>
          </w:tcPr>
          <w:p>
            <w:pPr>
              <w:pStyle w:val="TableText"/>
              <w:ind w:left="145"/>
              <w:spacing w:before="152" w:line="177" w:lineRule="auto"/>
              <w:rPr>
                <w:sz w:val="19"/>
                <w:szCs w:val="19"/>
              </w:rPr>
            </w:pPr>
            <w:r>
              <w:rPr>
                <w:sz w:val="19"/>
                <w:szCs w:val="19"/>
                <w:color w:val="7F7F7F"/>
                <w:spacing w:val="-4"/>
              </w:rPr>
              <w:t>电力辅助</w:t>
            </w:r>
          </w:p>
        </w:tc>
      </w:tr>
    </w:tbl>
    <w:p>
      <w:pPr>
        <w:spacing w:line="72" w:lineRule="exact"/>
        <w:rPr/>
      </w:pPr>
      <w:r/>
    </w:p>
    <w:tbl>
      <w:tblPr>
        <w:tblStyle w:val="TableNormal"/>
        <w:tblW w:w="1017" w:type="dxa"/>
        <w:tblInd w:w="5" w:type="dxa"/>
        <w:tblLayout w:type="fixed"/>
        <w:tblBorders>
          <w:left w:val="single" w:color="A8A8A8" w:sz="4" w:space="0"/>
          <w:bottom w:val="single" w:color="A8A8A8" w:sz="4" w:space="0"/>
          <w:right w:val="single" w:color="A8A8A8" w:sz="4" w:space="0"/>
          <w:top w:val="single" w:color="A8A8A8" w:sz="4" w:space="0"/>
        </w:tblBorders>
      </w:tblPr>
      <w:tblGrid>
        <w:gridCol w:w="1017"/>
      </w:tblGrid>
      <w:tr>
        <w:trPr>
          <w:trHeight w:val="508" w:hRule="atLeast"/>
        </w:trPr>
        <w:tc>
          <w:tcPr>
            <w:tcW w:w="1017" w:type="dxa"/>
            <w:vAlign w:val="top"/>
          </w:tcPr>
          <w:p>
            <w:pPr>
              <w:pStyle w:val="TableText"/>
              <w:ind w:left="128"/>
              <w:spacing w:before="152" w:line="177" w:lineRule="auto"/>
              <w:rPr>
                <w:sz w:val="19"/>
                <w:szCs w:val="19"/>
              </w:rPr>
            </w:pPr>
            <w:r>
              <w:rPr>
                <w:sz w:val="19"/>
                <w:szCs w:val="19"/>
                <w:color w:val="7F7F7F"/>
              </w:rPr>
              <w:t>容量支撑</w:t>
            </w:r>
          </w:p>
        </w:tc>
      </w:tr>
    </w:tbl>
    <w:p>
      <w:pPr>
        <w:spacing w:line="100" w:lineRule="exact"/>
        <w:rPr/>
      </w:pPr>
      <w:r/>
    </w:p>
    <w:tbl>
      <w:tblPr>
        <w:tblStyle w:val="TableNormal"/>
        <w:tblW w:w="1017" w:type="dxa"/>
        <w:tblInd w:w="5" w:type="dxa"/>
        <w:tblLayout w:type="fixed"/>
        <w:tblBorders>
          <w:left w:val="single" w:color="A8A8A8" w:sz="4" w:space="0"/>
          <w:bottom w:val="single" w:color="A8A8A8" w:sz="2" w:space="0"/>
          <w:right w:val="single" w:color="A8A8A8" w:sz="4" w:space="0"/>
          <w:top w:val="single" w:color="A8A8A8" w:sz="2" w:space="0"/>
        </w:tblBorders>
      </w:tblPr>
      <w:tblGrid>
        <w:gridCol w:w="1017"/>
      </w:tblGrid>
      <w:tr>
        <w:trPr>
          <w:trHeight w:val="512" w:hRule="atLeast"/>
        </w:trPr>
        <w:tc>
          <w:tcPr>
            <w:tcW w:w="1017" w:type="dxa"/>
            <w:vAlign w:val="top"/>
          </w:tcPr>
          <w:p>
            <w:pPr>
              <w:pStyle w:val="TableText"/>
              <w:ind w:left="129"/>
              <w:spacing w:before="155" w:line="177" w:lineRule="auto"/>
              <w:rPr>
                <w:sz w:val="19"/>
                <w:szCs w:val="19"/>
              </w:rPr>
            </w:pPr>
            <w:r>
              <w:rPr>
                <w:sz w:val="19"/>
                <w:szCs w:val="19"/>
                <w:color w:val="7F7F7F"/>
                <w:spacing w:val="-1"/>
              </w:rPr>
              <w:t>输电资产</w:t>
            </w:r>
          </w:p>
        </w:tc>
      </w:tr>
    </w:tbl>
    <w:p>
      <w:pPr>
        <w:pStyle w:val="BodyText"/>
        <w:spacing w:line="14" w:lineRule="auto"/>
        <w:rPr>
          <w:sz w:val="2"/>
        </w:rPr>
      </w:pPr>
      <w:r/>
    </w:p>
    <w:p>
      <w:pPr>
        <w:pStyle w:val="BodyText"/>
        <w:spacing w:line="14" w:lineRule="auto"/>
        <w:rPr>
          <w:sz w:val="2"/>
        </w:rPr>
      </w:pPr>
      <w:r>
        <w:rPr>
          <w:sz w:val="2"/>
          <w:szCs w:val="2"/>
        </w:rPr>
        <w:br w:type="column"/>
      </w:r>
    </w:p>
    <w:p>
      <w:pPr>
        <w:spacing w:before="3" w:line="519" w:lineRule="exact"/>
        <w:rPr/>
      </w:pPr>
      <w:r>
        <w:rPr>
          <w:position w:val="-10"/>
        </w:rPr>
        <w:pict>
          <v:shape id="_x0000_s622" style="mso-position-vertical-relative:line;mso-position-horizontal-relative:char;width:99.85pt;height:25.95pt;" fillcolor="#00338D" filled="true" stroked="false" type="#_x0000_t202">
            <v:fill on="true"/>
            <v:stroke on="false"/>
            <v:path/>
            <v:imagedata o:title=""/>
            <o:lock v:ext="edit" aspectratio="false"/>
            <v:textbox inset="0mm,0mm,0mm,0mm">
              <w:txbxContent>
                <w:p>
                  <w:pPr>
                    <w:ind w:left="430"/>
                    <w:spacing w:before="160" w:line="177" w:lineRule="auto"/>
                    <w:rPr>
                      <w:rFonts w:ascii="Microsoft YaHei" w:hAnsi="Microsoft YaHei" w:eastAsia="Microsoft YaHei" w:cs="Microsoft YaHei"/>
                      <w:sz w:val="19"/>
                      <w:szCs w:val="19"/>
                    </w:rPr>
                  </w:pPr>
                  <w:r>
                    <w:rPr>
                      <w:rFonts w:ascii="Microsoft YaHei" w:hAnsi="Microsoft YaHei" w:eastAsia="Microsoft YaHei" w:cs="Microsoft YaHei"/>
                      <w:sz w:val="19"/>
                      <w:szCs w:val="19"/>
                      <w:color w:val="FFFFFF"/>
                    </w:rPr>
                    <w:t>存储超发电量</w:t>
                  </w:r>
                </w:p>
              </w:txbxContent>
            </v:textbox>
          </v:shape>
        </w:pict>
      </w:r>
    </w:p>
    <w:p>
      <w:pPr>
        <w:spacing w:before="81" w:line="514" w:lineRule="exact"/>
        <w:rPr/>
      </w:pPr>
      <w:r>
        <w:rPr>
          <w:position w:val="-10"/>
        </w:rPr>
        <w:pict>
          <v:shape id="_x0000_s624" style="mso-position-vertical-relative:line;mso-position-horizontal-relative:char;width:99.85pt;height:25.7pt;" fillcolor="#00338D" filled="true" stroked="false" type="#_x0000_t202">
            <v:fill on="true"/>
            <v:stroke on="false"/>
            <v:path/>
            <v:imagedata o:title=""/>
            <o:lock v:ext="edit" aspectratio="false"/>
            <v:textbox inset="0mm,0mm,0mm,0mm">
              <w:txbxContent>
                <w:p>
                  <w:pPr>
                    <w:ind w:left="434"/>
                    <w:spacing w:before="158" w:line="176" w:lineRule="auto"/>
                    <w:rPr>
                      <w:rFonts w:ascii="Microsoft YaHei" w:hAnsi="Microsoft YaHei" w:eastAsia="Microsoft YaHei" w:cs="Microsoft YaHei"/>
                      <w:sz w:val="19"/>
                      <w:szCs w:val="19"/>
                    </w:rPr>
                  </w:pPr>
                  <w:r>
                    <w:rPr>
                      <w:rFonts w:ascii="Microsoft YaHei" w:hAnsi="Microsoft YaHei" w:eastAsia="Microsoft YaHei" w:cs="Microsoft YaHei"/>
                      <w:sz w:val="19"/>
                      <w:szCs w:val="19"/>
                      <w:color w:val="FFFFFF"/>
                    </w:rPr>
                    <w:t>平滑出力波动</w:t>
                  </w:r>
                </w:p>
              </w:txbxContent>
            </v:textbox>
          </v:shape>
        </w:pict>
      </w:r>
    </w:p>
    <w:p>
      <w:pPr>
        <w:spacing w:before="82" w:line="518" w:lineRule="exact"/>
        <w:rPr/>
      </w:pPr>
      <w:r>
        <w:rPr>
          <w:position w:val="-10"/>
        </w:rPr>
        <w:pict>
          <v:shape id="_x0000_s626" style="mso-position-vertical-relative:line;mso-position-horizontal-relative:char;width:99.85pt;height:25.95pt;" fillcolor="#00338D" filled="true" stroked="false" type="#_x0000_t202">
            <v:fill on="true"/>
            <v:stroke on="false"/>
            <v:path/>
            <v:imagedata o:title=""/>
            <o:lock v:ext="edit" aspectratio="false"/>
            <v:textbox inset="0mm,0mm,0mm,0mm">
              <w:txbxContent>
                <w:p>
                  <w:pPr>
                    <w:ind w:left="238"/>
                    <w:spacing w:before="157" w:line="177" w:lineRule="auto"/>
                    <w:rPr>
                      <w:rFonts w:ascii="Microsoft YaHei" w:hAnsi="Microsoft YaHei" w:eastAsia="Microsoft YaHei" w:cs="Microsoft YaHei"/>
                      <w:sz w:val="19"/>
                      <w:szCs w:val="19"/>
                    </w:rPr>
                  </w:pPr>
                  <w:r>
                    <w:rPr>
                      <w:rFonts w:ascii="Microsoft YaHei" w:hAnsi="Microsoft YaHei" w:eastAsia="Microsoft YaHei" w:cs="Microsoft YaHei"/>
                      <w:sz w:val="19"/>
                      <w:szCs w:val="19"/>
                      <w:color w:val="FFFFFF"/>
                      <w:spacing w:val="1"/>
                    </w:rPr>
                    <w:t>提供可靠容量支撑</w:t>
                  </w:r>
                </w:p>
              </w:txbxContent>
            </v:textbox>
          </v:shape>
        </w:pict>
      </w:r>
    </w:p>
    <w:p>
      <w:pPr>
        <w:pStyle w:val="BodyText"/>
        <w:spacing w:line="14" w:lineRule="auto"/>
        <w:rPr>
          <w:sz w:val="2"/>
        </w:rPr>
      </w:pPr>
      <w:r>
        <w:rPr>
          <w:sz w:val="2"/>
          <w:szCs w:val="2"/>
        </w:rPr>
        <w:br w:type="column"/>
      </w:r>
    </w:p>
    <w:p>
      <w:pPr>
        <w:ind w:firstLine="1166"/>
        <w:spacing w:before="3" w:line="519" w:lineRule="exact"/>
        <w:rPr/>
      </w:pPr>
      <w:r>
        <w:pict>
          <v:group id="_x0000_s628" style="position:absolute;margin-left:0.000015pt;margin-top:9.66083pt;mso-position-vertical-relative:text;mso-position-horizontal-relative:text;width:220.85pt;height:6pt;z-index:-251080704;" filled="false" stroked="false" coordsize="4417,120" coordorigin="0,0">
            <v:shape id="_x0000_s630" style="position:absolute;left:0;top:50;width:4317;height:20;" filled="false" strokecolor="#A8A8A8" strokeweight="1.00pt" coordsize="4317,20" coordorigin="0,0" path="m0,10l4316,10e">
              <v:stroke dashstyle="dash" joinstyle="miter"/>
            </v:shape>
            <v:shape id="_x0000_s632" style="position:absolute;left:4296;top:0;width:120;height:120;" fillcolor="#A8A8A8" filled="true" stroked="false" coordsize="120,120" coordorigin="0,0" path="m,l120,60l0,120l0,0xe"/>
          </v:group>
        </w:pict>
      </w:r>
      <w:r>
        <w:rPr>
          <w:position w:val="-10"/>
        </w:rPr>
        <w:pict>
          <v:shape id="_x0000_s634" style="mso-position-vertical-relative:line;mso-position-horizontal-relative:char;width:99.85pt;height:25.95pt;" fillcolor="#00C0AE" filled="true" stroked="false" type="#_x0000_t202">
            <v:fill on="true"/>
            <v:stroke on="false"/>
            <v:path/>
            <v:imagedata o:title=""/>
            <o:lock v:ext="edit" aspectratio="false"/>
            <v:textbox inset="0mm,0mm,0mm,0mm">
              <w:txbxContent>
                <w:p>
                  <w:pPr>
                    <w:ind w:left="429"/>
                    <w:spacing w:before="161" w:line="177" w:lineRule="auto"/>
                    <w:rPr>
                      <w:rFonts w:ascii="Microsoft YaHei" w:hAnsi="Microsoft YaHei" w:eastAsia="Microsoft YaHei" w:cs="Microsoft YaHei"/>
                      <w:sz w:val="19"/>
                      <w:szCs w:val="19"/>
                    </w:rPr>
                  </w:pPr>
                  <w:r>
                    <w:rPr>
                      <w:rFonts w:ascii="Microsoft YaHei" w:hAnsi="Microsoft YaHei" w:eastAsia="Microsoft YaHei" w:cs="Microsoft YaHei"/>
                      <w:sz w:val="19"/>
                      <w:szCs w:val="19"/>
                      <w:color w:val="FFFFFF"/>
                    </w:rPr>
                    <w:t>缓解调峰压力</w:t>
                  </w:r>
                </w:p>
              </w:txbxContent>
            </v:textbox>
          </v:shape>
        </w:pict>
      </w:r>
    </w:p>
    <w:p>
      <w:pPr>
        <w:ind w:firstLine="1166"/>
        <w:spacing w:before="81" w:line="514" w:lineRule="exact"/>
        <w:rPr/>
      </w:pPr>
      <w:r>
        <w:pict>
          <v:group id="_x0000_s636" style="position:absolute;margin-left:0pt;margin-top:15.4798pt;mso-position-vertical-relative:text;mso-position-horizontal-relative:text;width:220.85pt;height:6pt;z-index:-251079680;" filled="false" stroked="false" coordsize="4417,120" coordorigin="0,0">
            <v:shape id="_x0000_s638" style="position:absolute;left:0;top:50;width:4317;height:20;" filled="false" strokecolor="#A8A8A8" strokeweight="1.00pt" coordsize="4317,20" coordorigin="0,0" path="m0,10l4316,10e">
              <v:stroke dashstyle="dash" joinstyle="miter"/>
            </v:shape>
            <v:shape id="_x0000_s640" style="position:absolute;left:4296;top:0;width:120;height:120;" fillcolor="#A8A8A8" filled="true" stroked="false" coordsize="120,120" coordorigin="0,0" path="m,l120,60l0,120l0,0xe"/>
          </v:group>
        </w:pict>
      </w:r>
      <w:r>
        <w:rPr>
          <w:position w:val="-10"/>
        </w:rPr>
        <w:pict>
          <v:shape id="_x0000_s642" style="mso-position-vertical-relative:line;mso-position-horizontal-relative:char;width:99.85pt;height:25.7pt;" fillcolor="#00C0AE" filled="true" stroked="false" type="#_x0000_t202">
            <v:fill on="true"/>
            <v:stroke on="false"/>
            <v:path/>
            <v:imagedata o:title=""/>
            <o:lock v:ext="edit" aspectratio="false"/>
            <v:textbox inset="0mm,0mm,0mm,0mm">
              <w:txbxContent>
                <w:p>
                  <w:pPr>
                    <w:ind w:left="639" w:right="229" w:hanging="402"/>
                    <w:spacing w:before="42" w:line="173" w:lineRule="auto"/>
                    <w:rPr>
                      <w:rFonts w:ascii="Microsoft YaHei" w:hAnsi="Microsoft YaHei" w:eastAsia="Microsoft YaHei" w:cs="Microsoft YaHei"/>
                      <w:sz w:val="19"/>
                      <w:szCs w:val="19"/>
                    </w:rPr>
                  </w:pPr>
                  <w:r>
                    <w:rPr>
                      <w:rFonts w:ascii="Microsoft YaHei" w:hAnsi="Microsoft YaHei" w:eastAsia="Microsoft YaHei" w:cs="Microsoft YaHei"/>
                      <w:sz w:val="19"/>
                      <w:szCs w:val="19"/>
                      <w:color w:val="FFFFFF"/>
                      <w:spacing w:val="1"/>
                    </w:rPr>
                    <w:t>提升电网可靠性和</w:t>
                  </w:r>
                  <w:r>
                    <w:rPr>
                      <w:rFonts w:ascii="Microsoft YaHei" w:hAnsi="Microsoft YaHei" w:eastAsia="Microsoft YaHei" w:cs="Microsoft YaHei"/>
                      <w:sz w:val="19"/>
                      <w:szCs w:val="19"/>
                      <w:color w:val="FFFFFF"/>
                    </w:rPr>
                    <w:t xml:space="preserve"> </w:t>
                  </w:r>
                  <w:r>
                    <w:rPr>
                      <w:rFonts w:ascii="Microsoft YaHei" w:hAnsi="Microsoft YaHei" w:eastAsia="Microsoft YaHei" w:cs="Microsoft YaHei"/>
                      <w:sz w:val="19"/>
                      <w:szCs w:val="19"/>
                      <w:color w:val="FFFFFF"/>
                      <w:spacing w:val="-4"/>
                    </w:rPr>
                    <w:t>电能质量</w:t>
                  </w:r>
                </w:p>
              </w:txbxContent>
            </v:textbox>
          </v:shape>
        </w:pict>
      </w:r>
    </w:p>
    <w:p>
      <w:pPr>
        <w:ind w:firstLine="1166"/>
        <w:spacing w:before="82" w:line="518" w:lineRule="exact"/>
        <w:rPr/>
      </w:pPr>
      <w:r>
        <w:pict>
          <v:group id="_x0000_s644" style="position:absolute;margin-left:0pt;margin-top:13.7998pt;mso-position-vertical-relative:text;mso-position-horizontal-relative:text;width:220.85pt;height:6pt;z-index:-251078656;" filled="false" stroked="false" coordsize="4417,120" coordorigin="0,0">
            <v:shape id="_x0000_s646" style="position:absolute;left:0;top:50;width:4317;height:20;" filled="false" strokecolor="#A8A8A8" strokeweight="1.00pt" coordsize="4317,20" coordorigin="0,0" path="m0,10l4316,10e">
              <v:stroke dashstyle="dash" joinstyle="miter"/>
            </v:shape>
            <v:shape id="_x0000_s648" style="position:absolute;left:4296;top:0;width:120;height:120;" fillcolor="#A8A8A8" filled="true" stroked="false" coordsize="120,120" coordorigin="0,0" path="m,l120,60l0,120l0,0xe"/>
          </v:group>
        </w:pict>
      </w:r>
      <w:r>
        <w:rPr>
          <w:position w:val="-10"/>
        </w:rPr>
        <w:pict>
          <v:shape id="_x0000_s650" style="mso-position-vertical-relative:line;mso-position-horizontal-relative:char;width:99.85pt;height:25.95pt;" fillcolor="#00C0AE" filled="true" stroked="false" type="#_x0000_t202">
            <v:fill on="true"/>
            <v:stroke on="false"/>
            <v:path/>
            <v:imagedata o:title=""/>
            <o:lock v:ext="edit" aspectratio="false"/>
            <v:textbox inset="0mm,0mm,0mm,0mm">
              <w:txbxContent>
                <w:p>
                  <w:pPr>
                    <w:ind w:left="331"/>
                    <w:spacing w:before="157" w:line="177" w:lineRule="auto"/>
                    <w:rPr>
                      <w:rFonts w:ascii="Microsoft YaHei" w:hAnsi="Microsoft YaHei" w:eastAsia="Microsoft YaHei" w:cs="Microsoft YaHei"/>
                      <w:sz w:val="19"/>
                      <w:szCs w:val="19"/>
                    </w:rPr>
                  </w:pPr>
                  <w:r>
                    <w:rPr>
                      <w:rFonts w:ascii="Microsoft YaHei" w:hAnsi="Microsoft YaHei" w:eastAsia="Microsoft YaHei" w:cs="Microsoft YaHei"/>
                      <w:sz w:val="19"/>
                      <w:szCs w:val="19"/>
                      <w:color w:val="FFFFFF"/>
                      <w:spacing w:val="1"/>
                    </w:rPr>
                    <w:t>保证容量充裕度</w:t>
                  </w:r>
                </w:p>
              </w:txbxContent>
            </v:textbox>
          </v:shape>
        </w:pict>
      </w:r>
    </w:p>
    <w:p>
      <w:pPr>
        <w:ind w:firstLine="1166"/>
        <w:spacing w:before="110" w:line="514" w:lineRule="exact"/>
        <w:rPr/>
      </w:pPr>
      <w:r>
        <w:rPr>
          <w:position w:val="-10"/>
        </w:rPr>
        <w:pict>
          <v:shape id="_x0000_s652" style="mso-position-vertical-relative:line;mso-position-horizontal-relative:char;width:99.85pt;height:25.7pt;" fillcolor="#00C0AE" filled="true" stroked="false" type="#_x0000_t202">
            <v:fill on="true"/>
            <v:stroke on="false"/>
            <v:path/>
            <v:imagedata o:title=""/>
            <o:lock v:ext="edit" aspectratio="false"/>
            <v:textbox inset="0mm,0mm,0mm,0mm">
              <w:txbxContent>
                <w:p>
                  <w:pPr>
                    <w:ind w:left="527" w:right="325" w:hanging="194"/>
                    <w:spacing w:before="42" w:line="173" w:lineRule="auto"/>
                    <w:rPr>
                      <w:rFonts w:ascii="Microsoft YaHei" w:hAnsi="Microsoft YaHei" w:eastAsia="Microsoft YaHei" w:cs="Microsoft YaHei"/>
                      <w:sz w:val="19"/>
                      <w:szCs w:val="19"/>
                    </w:rPr>
                  </w:pPr>
                  <w:r>
                    <w:rPr>
                      <w:rFonts w:ascii="Microsoft YaHei" w:hAnsi="Microsoft YaHei" w:eastAsia="Microsoft YaHei" w:cs="Microsoft YaHei"/>
                      <w:sz w:val="19"/>
                      <w:szCs w:val="19"/>
                      <w:color w:val="FFFFFF"/>
                      <w:spacing w:val="1"/>
                    </w:rPr>
                    <w:t>缓解阻塞，延缓</w:t>
                  </w:r>
                  <w:r>
                    <w:rPr>
                      <w:rFonts w:ascii="Microsoft YaHei" w:hAnsi="Microsoft YaHei" w:eastAsia="Microsoft YaHei" w:cs="Microsoft YaHei"/>
                      <w:sz w:val="19"/>
                      <w:szCs w:val="19"/>
                      <w:color w:val="FFFFFF"/>
                    </w:rPr>
                    <w:t xml:space="preserve"> </w:t>
                  </w:r>
                  <w:r>
                    <w:rPr>
                      <w:rFonts w:ascii="Microsoft YaHei" w:hAnsi="Microsoft YaHei" w:eastAsia="Microsoft YaHei" w:cs="Microsoft YaHei"/>
                      <w:sz w:val="19"/>
                      <w:szCs w:val="19"/>
                      <w:color w:val="FFFFFF"/>
                    </w:rPr>
                    <w:t>输配电投资</w:t>
                  </w:r>
                </w:p>
              </w:txbxContent>
            </v:textbox>
          </v:shape>
        </w:pict>
      </w:r>
    </w:p>
    <w:p>
      <w:pPr>
        <w:pStyle w:val="BodyText"/>
        <w:spacing w:line="14" w:lineRule="auto"/>
        <w:rPr>
          <w:sz w:val="2"/>
        </w:rPr>
      </w:pPr>
      <w:r>
        <w:rPr>
          <w:sz w:val="2"/>
          <w:szCs w:val="2"/>
        </w:rPr>
        <w:br w:type="column"/>
      </w:r>
    </w:p>
    <w:p>
      <w:pPr>
        <w:spacing w:before="3" w:line="519" w:lineRule="exact"/>
        <w:rPr/>
      </w:pPr>
      <w:r>
        <w:rPr>
          <w:position w:val="-10"/>
        </w:rPr>
        <w:pict>
          <v:shape id="_x0000_s654" style="mso-position-vertical-relative:line;mso-position-horizontal-relative:char;width:99.85pt;height:25.95pt;" fillcolor="#00B8F5" filled="true" stroked="false" type="#_x0000_t202">
            <v:fill on="true"/>
            <v:stroke on="false"/>
            <v:path/>
            <v:imagedata o:title=""/>
            <o:lock v:ext="edit" aspectratio="false"/>
            <v:textbox inset="0mm,0mm,0mm,0mm">
              <w:txbxContent>
                <w:p>
                  <w:pPr>
                    <w:ind w:left="627" w:right="612" w:hanging="3"/>
                    <w:spacing w:before="46" w:line="173" w:lineRule="auto"/>
                    <w:rPr>
                      <w:rFonts w:ascii="Microsoft YaHei" w:hAnsi="Microsoft YaHei" w:eastAsia="Microsoft YaHei" w:cs="Microsoft YaHei"/>
                      <w:sz w:val="19"/>
                      <w:szCs w:val="19"/>
                    </w:rPr>
                  </w:pPr>
                  <w:r>
                    <w:rPr>
                      <w:rFonts w:ascii="Microsoft YaHei" w:hAnsi="Microsoft YaHei" w:eastAsia="Microsoft YaHei" w:cs="Microsoft YaHei"/>
                      <w:sz w:val="19"/>
                      <w:szCs w:val="19"/>
                      <w:color w:val="FFFFFF"/>
                    </w:rPr>
                    <w:t>错峰用电 </w:t>
                  </w:r>
                  <w:r>
                    <w:rPr>
                      <w:rFonts w:ascii="Microsoft YaHei" w:hAnsi="Microsoft YaHei" w:eastAsia="Microsoft YaHei" w:cs="Microsoft YaHei"/>
                      <w:sz w:val="19"/>
                      <w:szCs w:val="19"/>
                      <w:color w:val="FFFFFF"/>
                      <w:spacing w:val="-1"/>
                    </w:rPr>
                    <w:t>节约电费</w:t>
                  </w:r>
                </w:p>
              </w:txbxContent>
            </v:textbox>
          </v:shape>
        </w:pict>
      </w:r>
    </w:p>
    <w:p>
      <w:pPr>
        <w:spacing w:before="81" w:line="514" w:lineRule="exact"/>
        <w:rPr/>
      </w:pPr>
      <w:r>
        <w:rPr>
          <w:position w:val="-10"/>
        </w:rPr>
        <w:pict>
          <v:shape id="_x0000_s656" style="mso-position-vertical-relative:line;mso-position-horizontal-relative:char;width:99.85pt;height:25.7pt;" fillcolor="#00B8F5" filled="true" stroked="false" type="#_x0000_t202">
            <v:fill on="true"/>
            <v:stroke on="false"/>
            <v:path/>
            <v:imagedata o:title=""/>
            <o:lock v:ext="edit" aspectratio="false"/>
            <v:textbox inset="0mm,0mm,0mm,0mm">
              <w:txbxContent>
                <w:p>
                  <w:pPr>
                    <w:ind w:left="334"/>
                    <w:spacing w:before="156" w:line="177" w:lineRule="auto"/>
                    <w:rPr>
                      <w:rFonts w:ascii="Microsoft YaHei" w:hAnsi="Microsoft YaHei" w:eastAsia="Microsoft YaHei" w:cs="Microsoft YaHei"/>
                      <w:sz w:val="19"/>
                      <w:szCs w:val="19"/>
                    </w:rPr>
                  </w:pPr>
                  <w:r>
                    <w:rPr>
                      <w:rFonts w:ascii="Microsoft YaHei" w:hAnsi="Microsoft YaHei" w:eastAsia="Microsoft YaHei" w:cs="Microsoft YaHei"/>
                      <w:sz w:val="19"/>
                      <w:szCs w:val="19"/>
                      <w:color w:val="FFFFFF"/>
                      <w:spacing w:val="1"/>
                    </w:rPr>
                    <w:t>提高用电稳定性</w:t>
                  </w:r>
                </w:p>
              </w:txbxContent>
            </v:textbox>
          </v:shape>
        </w:pict>
      </w:r>
    </w:p>
    <w:p>
      <w:pPr>
        <w:spacing w:before="82" w:line="518" w:lineRule="exact"/>
        <w:rPr/>
      </w:pPr>
      <w:r>
        <w:rPr>
          <w:position w:val="-10"/>
        </w:rPr>
        <w:pict>
          <v:shape id="_x0000_s658" style="mso-position-vertical-relative:line;mso-position-horizontal-relative:char;width:99.85pt;height:25.95pt;" fillcolor="#00B8F5" filled="true" stroked="false" type="#_x0000_t202">
            <v:fill on="true"/>
            <v:stroke on="false"/>
            <v:path/>
            <v:imagedata o:title=""/>
            <o:lock v:ext="edit" aspectratio="false"/>
            <v:textbox inset="0mm,0mm,0mm,0mm">
              <w:txbxContent>
                <w:p>
                  <w:pPr>
                    <w:ind w:left="247"/>
                    <w:spacing w:before="157" w:line="178" w:lineRule="auto"/>
                    <w:rPr>
                      <w:rFonts w:ascii="Microsoft YaHei" w:hAnsi="Microsoft YaHei" w:eastAsia="Microsoft YaHei" w:cs="Microsoft YaHei"/>
                      <w:sz w:val="19"/>
                      <w:szCs w:val="19"/>
                    </w:rPr>
                  </w:pPr>
                  <w:r>
                    <w:rPr>
                      <w:rFonts w:ascii="Microsoft YaHei" w:hAnsi="Microsoft YaHei" w:eastAsia="Microsoft YaHei" w:cs="Microsoft YaHei"/>
                      <w:sz w:val="19"/>
                      <w:szCs w:val="19"/>
                      <w:color w:val="FFFFFF"/>
                    </w:rPr>
                    <w:t>降低总体容量需求</w:t>
                  </w:r>
                </w:p>
              </w:txbxContent>
            </v:textbox>
          </v:shape>
        </w:pict>
      </w:r>
    </w:p>
    <w:p>
      <w:pPr>
        <w:spacing w:line="518" w:lineRule="exact"/>
        <w:sectPr>
          <w:type w:val="continuous"/>
          <w:pgSz w:w="12245" w:h="17180"/>
          <w:pgMar w:top="400" w:right="0" w:bottom="0" w:left="1295" w:header="0" w:footer="0" w:gutter="0"/>
          <w:cols w:equalWidth="0" w:num="4">
            <w:col w:w="1028" w:space="95"/>
            <w:col w:w="1997" w:space="57"/>
            <w:col w:w="4417" w:space="57"/>
            <w:col w:w="3298" w:space="0"/>
          </w:cols>
        </w:sectPr>
        <w:rPr/>
      </w:pPr>
    </w:p>
    <w:p>
      <w:pPr>
        <w:ind w:left="15"/>
        <w:spacing w:before="204" w:line="182" w:lineRule="auto"/>
        <w:rPr>
          <w:rFonts w:ascii="Microsoft YaHei" w:hAnsi="Microsoft YaHei" w:eastAsia="Microsoft YaHei" w:cs="Microsoft YaHei"/>
          <w:sz w:val="15"/>
          <w:szCs w:val="15"/>
        </w:rPr>
      </w:pPr>
      <w:r>
        <w:pict>
          <v:rect id="_x0000_s660" style="position:absolute;margin-left:547.2pt;margin-top:-491.272pt;mso-position-vertical-relative:text;mso-position-horizontal-relative:text;width:0.25pt;height:859pt;z-index:252255232;" fillcolor="#000000" filled="true" stroked="false"/>
        </w:pict>
      </w:r>
      <w:r>
        <w:rPr>
          <w:rFonts w:ascii="Microsoft YaHei" w:hAnsi="Microsoft YaHei" w:eastAsia="Microsoft YaHei" w:cs="Microsoft YaHei"/>
          <w:sz w:val="15"/>
          <w:szCs w:val="15"/>
          <w:spacing w:val="7"/>
        </w:rPr>
        <w:t>资料来源：毕马威分析</w:t>
      </w:r>
    </w:p>
    <w:p>
      <w:pPr>
        <w:pStyle w:val="BodyText"/>
        <w:spacing w:line="310" w:lineRule="auto"/>
        <w:rPr/>
      </w:pPr>
      <w:r/>
    </w:p>
    <w:p>
      <w:pPr>
        <w:ind w:left="13" w:right="3002" w:firstLine="1"/>
        <w:spacing w:before="91" w:line="216"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5"/>
        </w:rPr>
        <w:t>截至2022年底</w:t>
      </w:r>
      <w:r>
        <w:rPr>
          <w:rFonts w:ascii="Microsoft YaHei" w:hAnsi="Microsoft YaHei" w:eastAsia="Microsoft YaHei" w:cs="Microsoft YaHei"/>
          <w:sz w:val="21"/>
          <w:szCs w:val="21"/>
          <w:spacing w:val="-20"/>
        </w:rPr>
        <w:t xml:space="preserve"> </w:t>
      </w:r>
      <w:r>
        <w:rPr>
          <w:rFonts w:ascii="Microsoft YaHei" w:hAnsi="Microsoft YaHei" w:eastAsia="Microsoft YaHei" w:cs="Microsoft YaHei"/>
          <w:sz w:val="21"/>
          <w:szCs w:val="21"/>
          <w:spacing w:val="5"/>
        </w:rPr>
        <w:t>，</w:t>
      </w:r>
      <w:r>
        <w:rPr>
          <w:rFonts w:ascii="Microsoft YaHei" w:hAnsi="Microsoft YaHei" w:eastAsia="Microsoft YaHei" w:cs="Microsoft YaHei"/>
          <w:sz w:val="21"/>
          <w:szCs w:val="21"/>
          <w:spacing w:val="-36"/>
        </w:rPr>
        <w:t xml:space="preserve"> </w:t>
      </w:r>
      <w:r>
        <w:rPr>
          <w:rFonts w:ascii="Microsoft YaHei" w:hAnsi="Microsoft YaHei" w:eastAsia="Microsoft YaHei" w:cs="Microsoft YaHei"/>
          <w:sz w:val="21"/>
          <w:szCs w:val="21"/>
          <w:spacing w:val="5"/>
        </w:rPr>
        <w:t>中国已投运的电化学储能电站累计装机主要分布在发电侧</w:t>
      </w:r>
      <w:r>
        <w:rPr>
          <w:rFonts w:ascii="Microsoft YaHei" w:hAnsi="Microsoft YaHei" w:eastAsia="Microsoft YaHei" w:cs="Microsoft YaHei"/>
          <w:sz w:val="21"/>
          <w:szCs w:val="21"/>
          <w:spacing w:val="-24"/>
        </w:rPr>
        <w:t xml:space="preserve"> </w:t>
      </w:r>
      <w:r>
        <w:rPr>
          <w:rFonts w:ascii="Microsoft YaHei" w:hAnsi="Microsoft YaHei" w:eastAsia="Microsoft YaHei" w:cs="Microsoft YaHei"/>
          <w:sz w:val="21"/>
          <w:szCs w:val="21"/>
          <w:spacing w:val="5"/>
        </w:rPr>
        <w:t>，总能量</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6.8GWh、</w:t>
      </w:r>
      <w:r>
        <w:rPr>
          <w:rFonts w:ascii="Microsoft YaHei" w:hAnsi="Microsoft YaHei" w:eastAsia="Microsoft YaHei" w:cs="Microsoft YaHei"/>
          <w:sz w:val="21"/>
          <w:szCs w:val="21"/>
          <w:spacing w:val="-16"/>
        </w:rPr>
        <w:t xml:space="preserve"> </w:t>
      </w:r>
      <w:r>
        <w:rPr>
          <w:rFonts w:ascii="Microsoft YaHei" w:hAnsi="Microsoft YaHei" w:eastAsia="Microsoft YaHei" w:cs="Microsoft YaHei"/>
          <w:sz w:val="21"/>
          <w:szCs w:val="21"/>
          <w:spacing w:val="-1"/>
        </w:rPr>
        <w:t>占比48.4%</w:t>
      </w:r>
      <w:r>
        <w:rPr>
          <w:rFonts w:ascii="Microsoft YaHei" w:hAnsi="Microsoft YaHei" w:eastAsia="Microsoft YaHei" w:cs="Microsoft YaHei"/>
          <w:sz w:val="21"/>
          <w:szCs w:val="21"/>
          <w:spacing w:val="-27"/>
        </w:rPr>
        <w:t xml:space="preserve"> </w:t>
      </w:r>
      <w:r>
        <w:rPr>
          <w:rFonts w:ascii="Microsoft YaHei" w:hAnsi="Microsoft YaHei" w:eastAsia="Microsoft YaHei" w:cs="Microsoft YaHei"/>
          <w:sz w:val="21"/>
          <w:szCs w:val="21"/>
          <w:spacing w:val="-1"/>
        </w:rPr>
        <w:t>，其次为电网侧（38.7%）</w:t>
      </w:r>
      <w:r>
        <w:rPr>
          <w:rFonts w:ascii="Microsoft YaHei" w:hAnsi="Microsoft YaHei" w:eastAsia="Microsoft YaHei" w:cs="Microsoft YaHei"/>
          <w:sz w:val="21"/>
          <w:szCs w:val="21"/>
          <w:spacing w:val="-41"/>
        </w:rPr>
        <w:t xml:space="preserve"> </w:t>
      </w:r>
      <w:r>
        <w:rPr>
          <w:rFonts w:ascii="Microsoft YaHei" w:hAnsi="Microsoft YaHei" w:eastAsia="Microsoft YaHei" w:cs="Microsoft YaHei"/>
          <w:sz w:val="21"/>
          <w:szCs w:val="21"/>
          <w:spacing w:val="-1"/>
        </w:rPr>
        <w:t>和用户</w:t>
      </w:r>
      <w:r>
        <w:rPr>
          <w:rFonts w:ascii="Microsoft YaHei" w:hAnsi="Microsoft YaHei" w:eastAsia="Microsoft YaHei" w:cs="Microsoft YaHei"/>
          <w:sz w:val="21"/>
          <w:szCs w:val="21"/>
          <w:spacing w:val="-2"/>
        </w:rPr>
        <w:t>侧（12.9%）</w:t>
      </w:r>
      <w:r>
        <w:rPr>
          <w:rFonts w:ascii="Microsoft YaHei" w:hAnsi="Microsoft YaHei" w:eastAsia="Microsoft YaHei" w:cs="Microsoft YaHei"/>
          <w:sz w:val="21"/>
          <w:szCs w:val="21"/>
          <w:spacing w:val="-39"/>
        </w:rPr>
        <w:t xml:space="preserve"> </w:t>
      </w:r>
      <w:r>
        <w:rPr>
          <w:rFonts w:ascii="Microsoft YaHei" w:hAnsi="Microsoft YaHei" w:eastAsia="Microsoft YaHei" w:cs="Microsoft YaHei"/>
          <w:sz w:val="21"/>
          <w:szCs w:val="21"/>
          <w:spacing w:val="-2"/>
        </w:rPr>
        <w:t>。从细分领域来</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看</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rPr>
        <w:t>，发电侧以新能源配储（81%）应用为主</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rPr>
        <w:t>，</w:t>
      </w:r>
      <w:r>
        <w:rPr>
          <w:rFonts w:ascii="Microsoft YaHei" w:hAnsi="Microsoft YaHei" w:eastAsia="Microsoft YaHei" w:cs="Microsoft YaHei"/>
          <w:sz w:val="21"/>
          <w:szCs w:val="21"/>
          <w:spacing w:val="-36"/>
        </w:rPr>
        <w:t xml:space="preserve"> </w:t>
      </w:r>
      <w:r>
        <w:rPr>
          <w:rFonts w:ascii="Microsoft YaHei" w:hAnsi="Microsoft YaHei" w:eastAsia="Microsoft YaHei" w:cs="Microsoft YaHei"/>
          <w:sz w:val="21"/>
          <w:szCs w:val="21"/>
        </w:rPr>
        <w:t>电网侧以</w:t>
      </w:r>
      <w:r>
        <w:rPr>
          <w:rFonts w:ascii="Microsoft YaHei" w:hAnsi="Microsoft YaHei" w:eastAsia="Microsoft YaHei" w:cs="Microsoft YaHei"/>
          <w:sz w:val="21"/>
          <w:szCs w:val="21"/>
          <w:spacing w:val="-1"/>
        </w:rPr>
        <w:t>独立储能（89%）</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1"/>
        </w:rPr>
        <w:t>为主</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1"/>
        </w:rPr>
        <w:t>，用户</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侧以工商业（42%）应用为主（图 14）。</w:t>
      </w:r>
    </w:p>
    <w:p>
      <w:pPr>
        <w:pStyle w:val="BodyText"/>
        <w:spacing w:line="360" w:lineRule="auto"/>
        <w:rPr/>
      </w:pPr>
      <w:r>
        <w:pict>
          <v:rect id="_x0000_s662" style="position:absolute;margin-left:0.369995pt;margin-top:11.5058pt;mso-position-vertical-relative:text;mso-position-horizontal-relative:text;width:30.5pt;height:5pt;z-index:252259328;" fillcolor="#00C0AE" filled="true" stroked="false"/>
        </w:pict>
      </w:r>
      <w:r/>
    </w:p>
    <w:p>
      <w:pPr>
        <w:ind w:left="925"/>
        <w:spacing w:before="91" w:line="181" w:lineRule="auto"/>
        <w:rPr>
          <w:rFonts w:ascii="Microsoft YaHei" w:hAnsi="Microsoft YaHei" w:eastAsia="Microsoft YaHei" w:cs="Microsoft YaHei"/>
          <w:sz w:val="21"/>
          <w:szCs w:val="21"/>
        </w:rPr>
      </w:pPr>
      <w:r>
        <mc:AlternateContent xmlns:mc="http://schemas.openxmlformats.org/markup-compatibility/2006">
          <mc:Choice Requires="wps">
            <w:drawing>
              <wp:anchor distT="0" distB="0" distL="0" distR="0" simplePos="0" relativeHeight="252238848" behindDoc="1" locked="0" layoutInCell="1" allowOverlap="1">
                <wp:simplePos x="0" y="0"/>
                <wp:positionH relativeFrom="column">
                  <wp:posOffset>3175</wp:posOffset>
                </wp:positionH>
                <wp:positionV relativeFrom="paragraph">
                  <wp:posOffset>-41468</wp:posOffset>
                </wp:positionV>
                <wp:extent cx="6123940" cy="332740"/>
                <wp:effectExtent l="0" t="0" r="0" b="0"/>
                <wp:wrapNone/>
                <wp:docPr id="408" name="Rect 408"/>
                <wp:cNvGraphicFramePr/>
                <a:graphic>
                  <a:graphicData uri="http://schemas.microsoft.com/office/word/2010/wordprocessingShape">
                    <wps:wsp>
                      <wps:cNvPr id="408" name="Rect 408"/>
                      <wps:cNvSpPr/>
                      <wps:spPr>
                        <a:xfrm>
                          <a:off x="3175" y="-41468"/>
                          <a:ext cx="6123940" cy="332740"/>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664" style="position:absolute;margin-left:0.25pt;margin-top:-3.26521pt;mso-position-vertical-relative:text;mso-position-horizontal-relative:text;width:482.2pt;height:26.2pt;z-index:-251077632;" fillcolor="#F1F1F1" filled="true" stroked="false"/>
            </w:pict>
          </mc:Fallback>
        </mc:AlternateContent>
      </w:r>
      <w:r>
        <w:pict>
          <v:shape id="_x0000_s666" style="position:absolute;margin-left:7.25904pt;margin-top:1.73479pt;mso-position-vertical-relative:text;mso-position-horizontal-relative:text;width:31.5pt;height:18.2pt;z-index:252254208;" filled="false" stroked="false" type="#_x0000_t202">
            <v:fill on="false"/>
            <v:stroke on="false"/>
            <v:path/>
            <v:imagedata o:title=""/>
            <o:lock v:ext="edit" aspectratio="false"/>
            <v:textbox inset="0mm,0mm,0mm,0mm">
              <w:txbxContent>
                <w:p>
                  <w:pPr>
                    <w:ind w:left="20"/>
                    <w:spacing w:before="20" w:line="215" w:lineRule="auto"/>
                    <w:rPr>
                      <w:sz w:val="21"/>
                      <w:szCs w:val="21"/>
                    </w:rPr>
                  </w:pPr>
                  <w:r>
                    <w:rPr>
                      <w:rFonts w:ascii="Microsoft YaHei" w:hAnsi="Microsoft YaHei" w:eastAsia="Microsoft YaHei" w:cs="Microsoft YaHei"/>
                      <w:sz w:val="21"/>
                      <w:szCs w:val="21"/>
                      <w:b/>
                      <w:bCs/>
                      <w:color w:val="00C0AE"/>
                      <w:spacing w:val="-14"/>
                    </w:rPr>
                    <w:t>图</w:t>
                  </w:r>
                  <w:r>
                    <w:rPr>
                      <w:rFonts w:ascii="Microsoft YaHei" w:hAnsi="Microsoft YaHei" w:eastAsia="Microsoft YaHei" w:cs="Microsoft YaHei"/>
                      <w:sz w:val="21"/>
                      <w:szCs w:val="21"/>
                      <w:b/>
                      <w:bCs/>
                      <w:color w:val="00C0AE"/>
                      <w:spacing w:val="2"/>
                    </w:rPr>
                    <w:t xml:space="preserve"> </w:t>
                  </w:r>
                  <w:r>
                    <w:rPr>
                      <w:rFonts w:ascii="Microsoft YaHei" w:hAnsi="Microsoft YaHei" w:eastAsia="Microsoft YaHei" w:cs="Microsoft YaHei"/>
                      <w:sz w:val="21"/>
                      <w:szCs w:val="21"/>
                      <w:b/>
                      <w:bCs/>
                      <w:color w:val="00C0AE"/>
                      <w:spacing w:val="-14"/>
                    </w:rPr>
                    <w:t>14</w:t>
                  </w:r>
                  <w:r>
                    <w:rPr>
                      <w:rFonts w:ascii="Microsoft YaHei" w:hAnsi="Microsoft YaHei" w:eastAsia="Microsoft YaHei" w:cs="Microsoft YaHei"/>
                      <w:sz w:val="21"/>
                      <w:szCs w:val="21"/>
                      <w:b/>
                      <w:bCs/>
                      <w:color w:val="00C0AE"/>
                      <w:spacing w:val="13"/>
                    </w:rPr>
                    <w:t xml:space="preserve"> </w:t>
                  </w:r>
                  <w:r>
                    <w:rPr>
                      <w:sz w:val="21"/>
                      <w:szCs w:val="21"/>
                      <w:position w:val="-5"/>
                    </w:rPr>
                    <w:drawing>
                      <wp:inline distT="0" distB="0" distL="0" distR="0">
                        <wp:extent cx="12700" cy="175666"/>
                        <wp:effectExtent l="0" t="0" r="0" b="0"/>
                        <wp:docPr id="410" name="IM 410"/>
                        <wp:cNvGraphicFramePr/>
                        <a:graphic>
                          <a:graphicData uri="http://schemas.openxmlformats.org/drawingml/2006/picture">
                            <pic:pic>
                              <pic:nvPicPr>
                                <pic:cNvPr id="410" name="IM 410"/>
                                <pic:cNvPicPr/>
                              </pic:nvPicPr>
                              <pic:blipFill>
                                <a:blip r:embed="rId196"/>
                                <a:stretch>
                                  <a:fillRect/>
                                </a:stretch>
                              </pic:blipFill>
                              <pic:spPr>
                                <a:xfrm rot="0">
                                  <a:off x="0" y="0"/>
                                  <a:ext cx="12700" cy="175666"/>
                                </a:xfrm>
                                <a:prstGeom prst="rect">
                                  <a:avLst/>
                                </a:prstGeom>
                              </pic:spPr>
                            </pic:pic>
                          </a:graphicData>
                        </a:graphic>
                      </wp:inline>
                    </w:drawing>
                  </w:r>
                </w:p>
              </w:txbxContent>
            </v:textbox>
          </v:shape>
        </w:pict>
      </w:r>
      <w:r>
        <w:rPr>
          <w:rFonts w:ascii="Microsoft YaHei" w:hAnsi="Microsoft YaHei" w:eastAsia="Microsoft YaHei" w:cs="Microsoft YaHei"/>
          <w:sz w:val="21"/>
          <w:szCs w:val="21"/>
          <w:b/>
          <w:bCs/>
          <w:color w:val="00C0AE"/>
          <w:spacing w:val="-1"/>
        </w:rPr>
        <w:t>2022年中国电化学储能应用场景累计分布情况</w:t>
      </w:r>
    </w:p>
    <w:p>
      <w:pPr>
        <w:pStyle w:val="BodyText"/>
        <w:spacing w:line="370" w:lineRule="auto"/>
        <w:rPr/>
      </w:pPr>
      <w:r>
        <w:pict>
          <v:shape id="_x0000_s668" style="position:absolute;margin-left:345.741pt;margin-top:17.407pt;mso-position-vertical-relative:text;mso-position-horizontal-relative:text;width:73.2pt;height:45.8pt;z-index:252246016;" filled="false" stroked="false" type="#_x0000_t202">
            <v:fill on="false"/>
            <v:stroke on="false"/>
            <v:path/>
            <v:imagedata o:title=""/>
            <o:lock v:ext="edit" aspectratio="false"/>
            <v:textbox inset="0mm,0mm,0mm,0mm">
              <w:txbxContent>
                <w:p>
                  <w:pPr>
                    <w:ind w:left="20" w:right="20" w:hanging="1"/>
                    <w:spacing w:before="20" w:line="249"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3"/>
                    </w:rPr>
                    <w:t>独立储能</w:t>
                  </w:r>
                  <w:r>
                    <w:rPr>
                      <w:rFonts w:ascii="Microsoft YaHei" w:hAnsi="Microsoft YaHei" w:eastAsia="Microsoft YaHei" w:cs="Microsoft YaHei"/>
                      <w:sz w:val="18"/>
                      <w:szCs w:val="18"/>
                      <w:spacing w:val="-21"/>
                    </w:rPr>
                    <w:t xml:space="preserve"> </w:t>
                  </w:r>
                  <w:r>
                    <w:rPr>
                      <w:rFonts w:ascii="Microsoft YaHei" w:hAnsi="Microsoft YaHei" w:eastAsia="Microsoft YaHei" w:cs="Microsoft YaHei"/>
                      <w:sz w:val="18"/>
                      <w:szCs w:val="18"/>
                      <w:spacing w:val="-3"/>
                    </w:rPr>
                    <w:t>，89.3%</w:t>
                  </w:r>
                  <w:r>
                    <w:rPr>
                      <w:rFonts w:ascii="Microsoft YaHei" w:hAnsi="Microsoft YaHei" w:eastAsia="Microsoft YaHei" w:cs="Microsoft YaHei"/>
                      <w:sz w:val="18"/>
                      <w:szCs w:val="18"/>
                    </w:rPr>
                    <w:t xml:space="preserve"> </w:t>
                  </w:r>
                  <w:r>
                    <w:rPr>
                      <w:rFonts w:ascii="Microsoft YaHei" w:hAnsi="Microsoft YaHei" w:eastAsia="Microsoft YaHei" w:cs="Microsoft YaHei"/>
                      <w:sz w:val="18"/>
                      <w:szCs w:val="18"/>
                      <w:spacing w:val="-3"/>
                    </w:rPr>
                    <w:t>其他</w:t>
                  </w:r>
                  <w:r>
                    <w:rPr>
                      <w:rFonts w:ascii="Microsoft YaHei" w:hAnsi="Microsoft YaHei" w:eastAsia="Microsoft YaHei" w:cs="Microsoft YaHei"/>
                      <w:sz w:val="18"/>
                      <w:szCs w:val="18"/>
                      <w:spacing w:val="-27"/>
                    </w:rPr>
                    <w:t xml:space="preserve"> </w:t>
                  </w:r>
                  <w:r>
                    <w:rPr>
                      <w:rFonts w:ascii="Microsoft YaHei" w:hAnsi="Microsoft YaHei" w:eastAsia="Microsoft YaHei" w:cs="Microsoft YaHei"/>
                      <w:sz w:val="18"/>
                      <w:szCs w:val="18"/>
                      <w:spacing w:val="-3"/>
                    </w:rPr>
                    <w:t>，7.9%</w:t>
                  </w:r>
                </w:p>
                <w:p>
                  <w:pPr>
                    <w:ind w:left="23"/>
                    <w:spacing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3"/>
                    </w:rPr>
                    <w:t>变电站</w:t>
                  </w:r>
                  <w:r>
                    <w:rPr>
                      <w:rFonts w:ascii="Microsoft YaHei" w:hAnsi="Microsoft YaHei" w:eastAsia="Microsoft YaHei" w:cs="Microsoft YaHei"/>
                      <w:sz w:val="18"/>
                      <w:szCs w:val="18"/>
                      <w:spacing w:val="-23"/>
                    </w:rPr>
                    <w:t xml:space="preserve"> </w:t>
                  </w:r>
                  <w:r>
                    <w:rPr>
                      <w:rFonts w:ascii="Microsoft YaHei" w:hAnsi="Microsoft YaHei" w:eastAsia="Microsoft YaHei" w:cs="Microsoft YaHei"/>
                      <w:sz w:val="18"/>
                      <w:szCs w:val="18"/>
                      <w:spacing w:val="-3"/>
                    </w:rPr>
                    <w:t>，2.8%</w:t>
                  </w:r>
                </w:p>
              </w:txbxContent>
            </v:textbox>
          </v:shape>
        </w:pict>
      </w:r>
      <w:r/>
    </w:p>
    <w:p>
      <w:pPr>
        <w:pStyle w:val="BodyText"/>
        <w:ind w:firstLine="2971"/>
        <w:spacing w:before="1" w:line="3282" w:lineRule="exact"/>
        <w:rPr/>
      </w:pPr>
      <w:r>
        <w:pict>
          <v:shape id="_x0000_s670" style="position:absolute;margin-left:89.54pt;margin-top:54.0356pt;mso-position-vertical-relative:text;mso-position-horizontal-relative:text;width:61.3pt;height:0.5pt;z-index:252260352;" filled="false" strokecolor="#7F7F7F" strokeweight="0.50pt" coordsize="1225,10" coordorigin="0,0" path="m0,5l1225,5e">
            <v:stroke dashstyle="dash" joinstyle="miter"/>
          </v:shape>
        </w:pict>
      </w:r>
      <w:r>
        <w:pict>
          <v:shape id="_x0000_s672" style="position:absolute;margin-left:331.46pt;margin-top:19.9556pt;mso-position-vertical-relative:text;mso-position-horizontal-relative:text;width:11.9pt;height:0.5pt;z-index:252266496;" filled="false" strokecolor="#7F7F7F" strokeweight="0.50pt" coordsize="237,10" coordorigin="0,0" path="m0,5l237,5e">
            <v:stroke dashstyle="dash" joinstyle="miter"/>
          </v:shape>
        </w:pict>
      </w:r>
      <w:r>
        <w:pict>
          <v:shape id="_x0000_s674" style="position:absolute;margin-left:331.46pt;margin-top:36.5156pt;mso-position-vertical-relative:text;mso-position-horizontal-relative:text;width:11.9pt;height:0.5pt;z-index:252269568;" filled="false" strokecolor="#7F7F7F" strokeweight="0.50pt" coordsize="237,10" coordorigin="0,0" path="m0,5l237,5e">
            <v:stroke dashstyle="dash" joinstyle="miter"/>
          </v:shape>
        </w:pict>
      </w:r>
      <w:r>
        <w:pict>
          <v:shape id="_x0000_s676" style="position:absolute;margin-left:312.26pt;margin-top:74.9155pt;mso-position-vertical-relative:text;mso-position-horizontal-relative:text;width:31.1pt;height:0.5pt;z-index:252265472;" filled="false" strokecolor="#7F7F7F" strokeweight="0.50pt" coordsize="622,10" coordorigin="0,0" path="m0,5l621,5e">
            <v:stroke dashstyle="dash" joinstyle="miter"/>
          </v:shape>
        </w:pict>
      </w:r>
      <w:r>
        <w:pict>
          <v:shape id="_x0000_s678" style="position:absolute;margin-left:331.46pt;margin-top:92.9155pt;mso-position-vertical-relative:text;mso-position-horizontal-relative:text;width:11.9pt;height:0.5pt;z-index:252267520;" filled="false" strokecolor="#7F7F7F" strokeweight="0.50pt" coordsize="237,10" coordorigin="0,0" path="m0,5l237,5e">
            <v:stroke dashstyle="dash" joinstyle="miter"/>
          </v:shape>
        </w:pict>
      </w:r>
      <w:r>
        <w:pict>
          <v:shape id="_x0000_s680" style="position:absolute;margin-left:331.46pt;margin-top:130.596pt;mso-position-vertical-relative:text;mso-position-horizontal-relative:text;width:11.9pt;height:0.5pt;z-index:252271616;" filled="false" strokecolor="#7F7F7F" strokeweight="0.50pt" coordsize="237,10" coordorigin="0,0" path="m0,5l237,5e">
            <v:stroke dashstyle="dash" joinstyle="miter"/>
          </v:shape>
        </w:pict>
      </w:r>
      <w:r>
        <w:pict>
          <v:shape id="_x0000_s682" style="position:absolute;margin-left:331.46pt;margin-top:111.156pt;mso-position-vertical-relative:text;mso-position-horizontal-relative:text;width:11.9pt;height:0.5pt;z-index:252268544;" filled="false" strokecolor="#7F7F7F" strokeweight="0.50pt" coordsize="237,10" coordorigin="0,0" path="m0,5l237,5e">
            <v:stroke dashstyle="dash" joinstyle="miter"/>
          </v:shape>
        </w:pict>
      </w:r>
      <w:r>
        <w:pict>
          <v:shape id="_x0000_s684" style="position:absolute;margin-left:89.54pt;margin-top:79.9555pt;mso-position-vertical-relative:text;mso-position-horizontal-relative:text;width:56pt;height:0.5pt;z-index:252262400;" filled="false" strokecolor="#7F7F7F" strokeweight="0.50pt" coordsize="1120,10" coordorigin="0,0" path="m0,5l1119,5e">
            <v:stroke dashstyle="dash" joinstyle="miter"/>
          </v:shape>
        </w:pict>
      </w:r>
      <w:r>
        <w:pict>
          <v:shape id="_x0000_s686" style="position:absolute;margin-left:119.3pt;margin-top:123.876pt;mso-position-vertical-relative:text;mso-position-horizontal-relative:text;width:36.25pt;height:0.5pt;z-index:252273664;" filled="false" strokecolor="#7F7F7F" strokeweight="0.50pt" coordsize="725,10" coordorigin="0,0" path="m0,5l724,5e">
            <v:stroke dashstyle="dash" joinstyle="miter"/>
          </v:shape>
        </w:pict>
      </w:r>
      <w:r>
        <w:pict>
          <v:shape id="_x0000_s688" style="position:absolute;margin-left:262.1pt;margin-top:4.59555pt;mso-position-vertical-relative:text;mso-position-horizontal-relative:text;width:81.15pt;height:0.5pt;z-index:252274688;" filled="false" strokecolor="#7F7F7F" strokeweight="0.50pt" coordsize="1623,10" coordorigin="0,0" path="m0,5l1622,5e">
            <v:stroke dashstyle="dash" joinstyle="miter"/>
          </v:shape>
        </w:pict>
      </w:r>
      <w:r>
        <w:pict>
          <v:shape id="_x0000_s690" style="position:absolute;margin-left:36.646pt;margin-top:48.2872pt;mso-position-vertical-relative:text;mso-position-horizontal-relative:text;width:50.05pt;height:39.25pt;z-index:252248064;" filled="false" stroked="false" type="#_x0000_t202">
            <v:fill on="false"/>
            <v:stroke on="false"/>
            <v:path/>
            <v:imagedata o:title=""/>
            <o:lock v:ext="edit" aspectratio="false"/>
            <v:textbox inset="0mm,0mm,0mm,0mm">
              <w:txbxContent>
                <w:p>
                  <w:pPr>
                    <w:ind w:left="20" w:right="20" w:firstLine="1"/>
                    <w:spacing w:before="19" w:line="297"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3"/>
                    </w:rPr>
                    <w:t>火储</w:t>
                  </w:r>
                  <w:r>
                    <w:rPr>
                      <w:rFonts w:ascii="Microsoft YaHei" w:hAnsi="Microsoft YaHei" w:eastAsia="Microsoft YaHei" w:cs="Microsoft YaHei"/>
                      <w:sz w:val="18"/>
                      <w:szCs w:val="18"/>
                      <w:spacing w:val="-29"/>
                    </w:rPr>
                    <w:t xml:space="preserve"> </w:t>
                  </w:r>
                  <w:r>
                    <w:rPr>
                      <w:rFonts w:ascii="Microsoft YaHei" w:hAnsi="Microsoft YaHei" w:eastAsia="Microsoft YaHei" w:cs="Microsoft YaHei"/>
                      <w:sz w:val="18"/>
                      <w:szCs w:val="18"/>
                      <w:spacing w:val="-3"/>
                    </w:rPr>
                    <w:t>，9.4%</w:t>
                  </w:r>
                  <w:r>
                    <w:rPr>
                      <w:rFonts w:ascii="Microsoft YaHei" w:hAnsi="Microsoft YaHei" w:eastAsia="Microsoft YaHei" w:cs="Microsoft YaHei"/>
                      <w:sz w:val="18"/>
                      <w:szCs w:val="18"/>
                    </w:rPr>
                    <w:t xml:space="preserve"> </w:t>
                  </w:r>
                  <w:r>
                    <w:rPr>
                      <w:rFonts w:ascii="Microsoft YaHei" w:hAnsi="Microsoft YaHei" w:eastAsia="Microsoft YaHei" w:cs="Microsoft YaHei"/>
                      <w:sz w:val="18"/>
                      <w:szCs w:val="18"/>
                      <w:spacing w:val="-3"/>
                    </w:rPr>
                    <w:t>其他</w:t>
                  </w:r>
                  <w:r>
                    <w:rPr>
                      <w:rFonts w:ascii="Microsoft YaHei" w:hAnsi="Microsoft YaHei" w:eastAsia="Microsoft YaHei" w:cs="Microsoft YaHei"/>
                      <w:sz w:val="18"/>
                      <w:szCs w:val="18"/>
                      <w:spacing w:val="-27"/>
                    </w:rPr>
                    <w:t xml:space="preserve"> </w:t>
                  </w:r>
                  <w:r>
                    <w:rPr>
                      <w:rFonts w:ascii="Microsoft YaHei" w:hAnsi="Microsoft YaHei" w:eastAsia="Microsoft YaHei" w:cs="Microsoft YaHei"/>
                      <w:sz w:val="18"/>
                      <w:szCs w:val="18"/>
                      <w:spacing w:val="-3"/>
                    </w:rPr>
                    <w:t>，9.8%</w:t>
                  </w:r>
                </w:p>
              </w:txbxContent>
            </v:textbox>
          </v:shape>
        </w:pict>
      </w:r>
      <w:r>
        <w:pict>
          <v:shape id="_x0000_s692" style="position:absolute;margin-left:345.767pt;margin-top:68.8665pt;mso-position-vertical-relative:text;mso-position-horizontal-relative:text;width:69.6pt;height:69.25pt;z-index:252244992;" filled="false" stroked="false" type="#_x0000_t202">
            <v:fill on="false"/>
            <v:stroke on="false"/>
            <v:path/>
            <v:imagedata o:title=""/>
            <o:lock v:ext="edit" aspectratio="false"/>
            <v:textbox inset="0mm,0mm,0mm,0mm">
              <w:txbxContent>
                <w:p>
                  <w:pPr>
                    <w:ind w:left="21"/>
                    <w:spacing w:before="20" w:line="180"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3"/>
                    </w:rPr>
                    <w:t>其他</w:t>
                  </w:r>
                  <w:r>
                    <w:rPr>
                      <w:rFonts w:ascii="Microsoft YaHei" w:hAnsi="Microsoft YaHei" w:eastAsia="Microsoft YaHei" w:cs="Microsoft YaHei"/>
                      <w:sz w:val="18"/>
                      <w:szCs w:val="18"/>
                      <w:spacing w:val="-29"/>
                    </w:rPr>
                    <w:t xml:space="preserve"> </w:t>
                  </w:r>
                  <w:r>
                    <w:rPr>
                      <w:rFonts w:ascii="Microsoft YaHei" w:hAnsi="Microsoft YaHei" w:eastAsia="Microsoft YaHei" w:cs="Microsoft YaHei"/>
                      <w:sz w:val="18"/>
                      <w:szCs w:val="18"/>
                      <w:spacing w:val="-3"/>
                    </w:rPr>
                    <w:t>，48.1%</w:t>
                  </w:r>
                </w:p>
                <w:p>
                  <w:pPr>
                    <w:ind w:left="20" w:right="125" w:firstLine="2"/>
                    <w:spacing w:before="138" w:line="288"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3"/>
                    </w:rPr>
                    <w:t>工商业</w:t>
                  </w:r>
                  <w:r>
                    <w:rPr>
                      <w:rFonts w:ascii="Microsoft YaHei" w:hAnsi="Microsoft YaHei" w:eastAsia="Microsoft YaHei" w:cs="Microsoft YaHei"/>
                      <w:sz w:val="18"/>
                      <w:szCs w:val="18"/>
                      <w:spacing w:val="-25"/>
                    </w:rPr>
                    <w:t xml:space="preserve"> </w:t>
                  </w:r>
                  <w:r>
                    <w:rPr>
                      <w:rFonts w:ascii="Microsoft YaHei" w:hAnsi="Microsoft YaHei" w:eastAsia="Microsoft YaHei" w:cs="Microsoft YaHei"/>
                      <w:sz w:val="18"/>
                      <w:szCs w:val="18"/>
                      <w:spacing w:val="-3"/>
                    </w:rPr>
                    <w:t>，41.8%</w:t>
                  </w:r>
                  <w:r>
                    <w:rPr>
                      <w:rFonts w:ascii="Microsoft YaHei" w:hAnsi="Microsoft YaHei" w:eastAsia="Microsoft YaHei" w:cs="Microsoft YaHei"/>
                      <w:sz w:val="18"/>
                      <w:szCs w:val="18"/>
                    </w:rPr>
                    <w:t xml:space="preserve"> </w:t>
                  </w:r>
                  <w:r>
                    <w:rPr>
                      <w:rFonts w:ascii="Microsoft YaHei" w:hAnsi="Microsoft YaHei" w:eastAsia="Microsoft YaHei" w:cs="Microsoft YaHei"/>
                      <w:sz w:val="18"/>
                      <w:szCs w:val="18"/>
                      <w:spacing w:val="-2"/>
                    </w:rPr>
                    <w:t>产业园</w:t>
                  </w:r>
                  <w:r>
                    <w:rPr>
                      <w:rFonts w:ascii="Microsoft YaHei" w:hAnsi="Microsoft YaHei" w:eastAsia="Microsoft YaHei" w:cs="Microsoft YaHei"/>
                      <w:sz w:val="18"/>
                      <w:szCs w:val="18"/>
                      <w:spacing w:val="-29"/>
                    </w:rPr>
                    <w:t xml:space="preserve"> </w:t>
                  </w:r>
                  <w:r>
                    <w:rPr>
                      <w:rFonts w:ascii="Microsoft YaHei" w:hAnsi="Microsoft YaHei" w:eastAsia="Microsoft YaHei" w:cs="Microsoft YaHei"/>
                      <w:sz w:val="18"/>
                      <w:szCs w:val="18"/>
                      <w:spacing w:val="-2"/>
                    </w:rPr>
                    <w:t>，7.8%</w:t>
                  </w:r>
                </w:p>
                <w:p>
                  <w:pPr>
                    <w:ind w:left="30"/>
                    <w:spacing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4"/>
                    </w:rPr>
                    <w:t>EV充电站</w:t>
                  </w:r>
                  <w:r>
                    <w:rPr>
                      <w:rFonts w:ascii="Microsoft YaHei" w:hAnsi="Microsoft YaHei" w:eastAsia="Microsoft YaHei" w:cs="Microsoft YaHei"/>
                      <w:sz w:val="18"/>
                      <w:szCs w:val="18"/>
                      <w:spacing w:val="-29"/>
                    </w:rPr>
                    <w:t xml:space="preserve"> </w:t>
                  </w:r>
                  <w:r>
                    <w:rPr>
                      <w:rFonts w:ascii="Microsoft YaHei" w:hAnsi="Microsoft YaHei" w:eastAsia="Microsoft YaHei" w:cs="Microsoft YaHei"/>
                      <w:sz w:val="18"/>
                      <w:szCs w:val="18"/>
                      <w:spacing w:val="-4"/>
                    </w:rPr>
                    <w:t>，2.3%</w:t>
                  </w:r>
                </w:p>
              </w:txbxContent>
            </v:textbox>
          </v:shape>
        </w:pict>
      </w:r>
      <w:r>
        <w:pict>
          <v:shape id="_x0000_s694" style="position:absolute;margin-left:36.6186pt;margin-top:118.648pt;mso-position-vertical-relative:text;mso-position-horizontal-relative:text;width:82pt;height:13.65pt;z-index:252252160;" filled="false" stroked="false" type="#_x0000_t202">
            <v:fill on="false"/>
            <v:stroke on="false"/>
            <v:path/>
            <v:imagedata o:title=""/>
            <o:lock v:ext="edit" aspectratio="false"/>
            <v:textbox inset="0mm,0mm,0mm,0mm">
              <w:txbxContent>
                <w:p>
                  <w:pPr>
                    <w:ind w:left="20"/>
                    <w:spacing w:before="19"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3"/>
                    </w:rPr>
                    <w:t>新能源配储</w:t>
                  </w:r>
                  <w:r>
                    <w:rPr>
                      <w:rFonts w:ascii="Microsoft YaHei" w:hAnsi="Microsoft YaHei" w:eastAsia="Microsoft YaHei" w:cs="Microsoft YaHei"/>
                      <w:sz w:val="18"/>
                      <w:szCs w:val="18"/>
                      <w:spacing w:val="-22"/>
                    </w:rPr>
                    <w:t xml:space="preserve"> </w:t>
                  </w:r>
                  <w:r>
                    <w:rPr>
                      <w:rFonts w:ascii="Microsoft YaHei" w:hAnsi="Microsoft YaHei" w:eastAsia="Microsoft YaHei" w:cs="Microsoft YaHei"/>
                      <w:sz w:val="18"/>
                      <w:szCs w:val="18"/>
                      <w:spacing w:val="-3"/>
                    </w:rPr>
                    <w:t>，80.8%</w:t>
                  </w:r>
                </w:p>
              </w:txbxContent>
            </v:textbox>
          </v:shape>
        </w:pict>
      </w:r>
      <w:r>
        <w:pict>
          <v:shape id="_x0000_s696" style="position:absolute;margin-left:0.173264pt;margin-top:159.895pt;mso-position-vertical-relative:text;mso-position-horizontal-relative:text;width:160.5pt;height:12.05pt;z-index:-251076608;" filled="false" stroked="false" type="#_x0000_t202">
            <v:fill on="false"/>
            <v:stroke on="false"/>
            <v:path/>
            <v:imagedata o:title=""/>
            <o:lock v:ext="edit" aspectratio="false"/>
            <v:textbox inset="0mm,0mm,0mm,0mm">
              <w:txbxContent>
                <w:p>
                  <w:pPr>
                    <w:ind w:left="20"/>
                    <w:spacing w:before="20" w:line="187"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8"/>
                    </w:rPr>
                    <w:t>资料来源：中国电力企业联合会，毕马威分析</w:t>
                  </w:r>
                </w:p>
              </w:txbxContent>
            </v:textbox>
          </v:shape>
        </w:pict>
      </w:r>
      <w:r>
        <w:pict>
          <v:shape id="_x0000_s698" style="position:absolute;margin-left:140.07pt;margin-top:37.9808pt;mso-position-vertical-relative:text;mso-position-horizontal-relative:text;width:49.85pt;height:24.65pt;z-index:252261376;" filled="false" strokecolor="#7F7F7F" strokeweight="0.50pt" coordsize="996,492" coordorigin="0,0" path="m2,4l994,488e">
            <v:stroke joinstyle="miter"/>
          </v:shape>
        </w:pict>
      </w:r>
      <w:r>
        <w:pict>
          <v:shape id="_x0000_s700" style="position:absolute;margin-left:275.48pt;margin-top:57.4031pt;mso-position-vertical-relative:text;mso-position-horizontal-relative:text;width:51.55pt;height:13.2pt;z-index:252272640;" filled="false" strokecolor="#7F7F7F" strokeweight="0.50pt" coordsize="1030,263" coordorigin="0,0" path="m1,258l1029,4e">
            <v:stroke joinstyle="miter"/>
          </v:shape>
        </w:pict>
      </w:r>
      <w:r>
        <w:pict>
          <v:shape id="_x0000_s702" style="position:absolute;margin-left:270.133pt;margin-top:106.15pt;mso-position-vertical-relative:text;mso-position-horizontal-relative:text;width:48.7pt;height:29pt;z-index:252240896;" filled="false" strokecolor="#7F7F7F" strokeweight="0.50pt" coordsize="974,580" coordorigin="0,0" path="m2,4l971,575e">
            <v:stroke joinstyle="miter"/>
          </v:shape>
        </w:pict>
      </w:r>
      <w:r>
        <w:pict>
          <v:shape id="_x0000_s704" style="position:absolute;margin-left:304.404pt;margin-top:20.2683pt;mso-position-vertical-relative:text;mso-position-horizontal-relative:text;width:27.3pt;height:38.25pt;z-index:252270592;" filled="false" strokecolor="#7F7F7F" strokeweight="0.50pt" coordsize="545,765" coordorigin="0,0" path="m89,761l537,325m3,538l541,3e">
            <v:stroke dashstyle="dash" joinstyle="miter"/>
          </v:shape>
        </w:pict>
      </w:r>
      <w:r>
        <w:pict>
          <v:shape id="_x0000_s706" style="position:absolute;margin-left:308.781pt;margin-top:92.9454pt;mso-position-vertical-relative:text;mso-position-horizontal-relative:text;width:22.65pt;height:12.55pt;z-index:252241920;" filled="false" strokecolor="#7F7F7F" strokeweight="0.50pt" coordsize="452,251" coordorigin="0,0" path="m2,246l449,4e">
            <v:stroke dashstyle="dash" joinstyle="miter"/>
          </v:shape>
        </w:pict>
      </w:r>
      <w:r>
        <w:pict>
          <v:shape id="_x0000_s708" style="position:absolute;margin-left:301.409pt;margin-top:111.17pt;mso-position-vertical-relative:text;mso-position-horizontal-relative:text;width:30.2pt;height:20pt;z-index:252275712;" filled="false" strokecolor="#7F7F7F" strokeweight="0.50pt" coordsize="604,400" coordorigin="0,0" path="m63,197l601,4m1,268l600,394e">
            <v:stroke dashstyle="dash" joinstyle="miter"/>
          </v:shape>
        </w:pict>
      </w:r>
      <w:r>
        <w:rPr>
          <w:position w:val="-65"/>
        </w:rPr>
        <w:pict>
          <v:group id="_x0000_s710" style="mso-position-vertical-relative:line;mso-position-horizontal-relative:char;width:164.15pt;height:164.1pt;" filled="false" stroked="false" coordsize="3282,3282" coordorigin="0,0">
            <v:shape id="_x0000_s712" style="position:absolute;left:0;top:0;width:3282;height:3282;" filled="false" stroked="false" type="#_x0000_t75">
              <v:imagedata o:title="" r:id="rId197"/>
            </v:shape>
            <v:shape id="_x0000_s714" style="position:absolute;left:-20;top:-20;width:3322;height:3322;" filled="false" stroked="false" type="#_x0000_t202">
              <v:fill on="false"/>
              <v:stroke on="false"/>
              <v:path/>
              <v:imagedata o:title=""/>
              <o:lock v:ext="edit" aspectratio="false"/>
              <v:textbox inset="0mm,0mm,0mm,0mm">
                <w:txbxContent>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ind w:left="1491" w:right="1379" w:hanging="72"/>
                      <w:spacing w:before="78" w:line="180"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FFFFFF"/>
                        <w:spacing w:val="-6"/>
                      </w:rPr>
                      <w:t>电网侧</w:t>
                    </w:r>
                    <w:r>
                      <w:rPr>
                        <w:rFonts w:ascii="Microsoft YaHei" w:hAnsi="Microsoft YaHei" w:eastAsia="Microsoft YaHei" w:cs="Microsoft YaHei"/>
                        <w:sz w:val="18"/>
                        <w:szCs w:val="18"/>
                        <w:color w:val="FFFFFF"/>
                      </w:rPr>
                      <w:t xml:space="preserve"> </w:t>
                    </w:r>
                    <w:r>
                      <w:rPr>
                        <w:rFonts w:ascii="Microsoft YaHei" w:hAnsi="Microsoft YaHei" w:eastAsia="Microsoft YaHei" w:cs="Microsoft YaHei"/>
                        <w:sz w:val="18"/>
                        <w:szCs w:val="18"/>
                        <w:color w:val="FFFFFF"/>
                        <w:spacing w:val="-2"/>
                      </w:rPr>
                      <w:t>39%</w:t>
                    </w:r>
                  </w:p>
                  <w:p>
                    <w:pPr>
                      <w:ind w:left="2056"/>
                      <w:spacing w:before="192" w:line="177"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FFFFFF"/>
                      </w:rPr>
                      <w:t>用户侧</w:t>
                    </w:r>
                  </w:p>
                  <w:p>
                    <w:pPr>
                      <w:ind w:left="2157"/>
                      <w:spacing w:before="5" w:line="167" w:lineRule="exact"/>
                      <w:rPr>
                        <w:rFonts w:ascii="Microsoft YaHei" w:hAnsi="Microsoft YaHei" w:eastAsia="Microsoft YaHei" w:cs="Microsoft YaHei"/>
                        <w:sz w:val="18"/>
                        <w:szCs w:val="18"/>
                      </w:rPr>
                    </w:pPr>
                    <w:r>
                      <w:rPr>
                        <w:rFonts w:ascii="Microsoft YaHei" w:hAnsi="Microsoft YaHei" w:eastAsia="Microsoft YaHei" w:cs="Microsoft YaHei"/>
                        <w:sz w:val="18"/>
                        <w:szCs w:val="18"/>
                        <w:color w:val="FFFFFF"/>
                        <w:spacing w:val="-4"/>
                        <w:position w:val="-3"/>
                      </w:rPr>
                      <w:t>13%</w:t>
                    </w:r>
                  </w:p>
                  <w:p>
                    <w:pPr>
                      <w:ind w:left="1082" w:right="1787" w:hanging="88"/>
                      <w:spacing w:line="180"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FFFFFF"/>
                      </w:rPr>
                      <w:t>发电侧 </w:t>
                    </w:r>
                    <w:r>
                      <w:rPr>
                        <w:rFonts w:ascii="Microsoft YaHei" w:hAnsi="Microsoft YaHei" w:eastAsia="Microsoft YaHei" w:cs="Microsoft YaHei"/>
                        <w:sz w:val="18"/>
                        <w:szCs w:val="18"/>
                        <w:color w:val="FFFFFF"/>
                        <w:spacing w:val="-1"/>
                      </w:rPr>
                      <w:t>48%</w:t>
                    </w:r>
                  </w:p>
                </w:txbxContent>
              </v:textbox>
            </v:shape>
          </v:group>
        </w:pict>
      </w:r>
    </w:p>
    <w:p>
      <w:pPr>
        <w:pStyle w:val="BodyText"/>
        <w:spacing w:line="337" w:lineRule="auto"/>
        <w:rPr/>
      </w:pPr>
      <w:r/>
    </w:p>
    <w:p>
      <w:pPr>
        <w:ind w:left="510" w:right="1241" w:hanging="411"/>
        <w:spacing w:before="48" w:line="150"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50" w:lineRule="auto"/>
        <w:sectPr>
          <w:type w:val="continuous"/>
          <w:pgSz w:w="12245" w:h="17180"/>
          <w:pgMar w:top="400" w:right="0" w:bottom="0" w:left="1295" w:header="0" w:footer="0" w:gutter="0"/>
          <w:cols w:equalWidth="0" w:num="1">
            <w:col w:w="10949" w:space="0"/>
          </w:cols>
        </w:sectPr>
        <w:rPr>
          <w:rFonts w:ascii="Microsoft YaHei" w:hAnsi="Microsoft YaHei" w:eastAsia="Microsoft YaHei" w:cs="Microsoft YaHei"/>
          <w:sz w:val="11"/>
          <w:szCs w:val="11"/>
        </w:rPr>
      </w:pPr>
    </w:p>
    <w:p>
      <w:pPr>
        <w:spacing w:before="314" w:line="193" w:lineRule="auto"/>
        <w:rPr>
          <w:rFonts w:ascii="Microsoft YaHei" w:hAnsi="Microsoft YaHei" w:eastAsia="Microsoft YaHei" w:cs="Microsoft YaHei"/>
          <w:sz w:val="18"/>
          <w:szCs w:val="18"/>
        </w:rPr>
      </w:pPr>
      <w:r>
        <w:pict>
          <v:rect id="_x0000_s716" style="position:absolute;margin-left:611.99pt;margin-top:0pt;mso-position-vertical-relative:page;mso-position-horizontal-relative:page;width:0.25pt;height:859pt;z-index:252278784;" o:allowincell="f" fillcolor="#000000" filled="true" stroked="false"/>
        </w:pict>
      </w:r>
      <w:r>
        <w:rPr>
          <w:rFonts w:ascii="Microsoft YaHei" w:hAnsi="Microsoft YaHei" w:eastAsia="Microsoft YaHei" w:cs="Microsoft YaHei"/>
          <w:sz w:val="18"/>
          <w:szCs w:val="18"/>
          <w:b/>
          <w:bCs/>
          <w:color w:val="A8A8A8"/>
          <w:spacing w:val="-1"/>
        </w:rPr>
        <w:t>33</w:t>
      </w:r>
      <w:r>
        <w:rPr>
          <w:rFonts w:ascii="Microsoft YaHei" w:hAnsi="Microsoft YaHei" w:eastAsia="Microsoft YaHei" w:cs="Microsoft YaHei"/>
          <w:sz w:val="18"/>
          <w:szCs w:val="18"/>
          <w:b/>
          <w:bCs/>
          <w:color w:val="A8A8A8"/>
          <w:spacing w:val="14"/>
          <w:w w:val="101"/>
        </w:rPr>
        <w:t xml:space="preserve">  </w:t>
      </w:r>
      <w:r>
        <w:rPr>
          <w:sz w:val="18"/>
          <w:szCs w:val="18"/>
          <w:position w:val="-4"/>
        </w:rPr>
        <w:drawing>
          <wp:inline distT="0" distB="0" distL="0" distR="0">
            <wp:extent cx="6350" cy="130175"/>
            <wp:effectExtent l="0" t="0" r="0" b="0"/>
            <wp:docPr id="412" name="IM 412"/>
            <wp:cNvGraphicFramePr/>
            <a:graphic>
              <a:graphicData uri="http://schemas.openxmlformats.org/drawingml/2006/picture">
                <pic:pic>
                  <pic:nvPicPr>
                    <pic:cNvPr id="412" name="IM 412"/>
                    <pic:cNvPicPr/>
                  </pic:nvPicPr>
                  <pic:blipFill>
                    <a:blip r:embed="rId198"/>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A8A8A8"/>
          <w:spacing w:val="26"/>
          <w:w w:val="101"/>
        </w:rPr>
        <w:t xml:space="preserve">  </w:t>
      </w:r>
      <w:r>
        <w:rPr>
          <w:rFonts w:ascii="Microsoft YaHei" w:hAnsi="Microsoft YaHei" w:eastAsia="Microsoft YaHei" w:cs="Microsoft YaHei"/>
          <w:sz w:val="18"/>
          <w:szCs w:val="18"/>
          <w:color w:val="A8A8A8"/>
          <w:spacing w:val="-1"/>
        </w:rPr>
        <w:t>新型储能助力能源转型</w:t>
      </w:r>
    </w:p>
    <w:p>
      <w:pPr>
        <w:pStyle w:val="BodyText"/>
        <w:spacing w:line="270" w:lineRule="auto"/>
        <w:rPr/>
      </w:pPr>
      <w:r/>
    </w:p>
    <w:p>
      <w:pPr>
        <w:pStyle w:val="BodyText"/>
        <w:spacing w:line="270" w:lineRule="auto"/>
        <w:rPr/>
      </w:pPr>
      <w:r/>
    </w:p>
    <w:p>
      <w:pPr>
        <w:pStyle w:val="BodyText"/>
        <w:spacing w:line="270" w:lineRule="auto"/>
        <w:rPr/>
      </w:pPr>
      <w:r/>
    </w:p>
    <w:p>
      <w:pPr>
        <w:ind w:left="377"/>
        <w:spacing w:before="309" w:line="179" w:lineRule="auto"/>
        <w:outlineLvl w:val="0"/>
        <w:rPr>
          <w:rFonts w:ascii="Microsoft YaHei" w:hAnsi="Microsoft YaHei" w:eastAsia="Microsoft YaHei" w:cs="Microsoft YaHei"/>
          <w:sz w:val="72"/>
          <w:szCs w:val="72"/>
        </w:rPr>
      </w:pPr>
      <w:r>
        <w:rPr>
          <w:rFonts w:ascii="Microsoft YaHei" w:hAnsi="Microsoft YaHei" w:eastAsia="Microsoft YaHei" w:cs="Microsoft YaHei"/>
          <w:sz w:val="72"/>
          <w:szCs w:val="72"/>
          <w:b/>
          <w:bCs/>
          <w:color w:val="00338D"/>
          <w:spacing w:val="-4"/>
        </w:rPr>
        <w:t>发电侧</w:t>
      </w:r>
    </w:p>
    <w:p>
      <w:pPr>
        <w:ind w:left="345" w:right="2997" w:firstLine="1"/>
        <w:spacing w:before="208" w:line="218"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发电侧储能是指在火电厂、风电场、光伏电站等发电上网关口内建设的电储能设施或</w:t>
      </w:r>
      <w:r>
        <w:rPr>
          <w:rFonts w:ascii="Microsoft YaHei" w:hAnsi="Microsoft YaHei" w:eastAsia="Microsoft YaHei" w:cs="Microsoft YaHei"/>
          <w:sz w:val="21"/>
          <w:szCs w:val="21"/>
          <w:spacing w:val="18"/>
        </w:rPr>
        <w:t xml:space="preserve"> </w:t>
      </w:r>
      <w:r>
        <w:rPr>
          <w:rFonts w:ascii="Microsoft YaHei" w:hAnsi="Microsoft YaHei" w:eastAsia="Microsoft YaHei" w:cs="Microsoft YaHei"/>
          <w:sz w:val="21"/>
          <w:szCs w:val="21"/>
        </w:rPr>
        <w:t>汇集站发电上网关口内建设的电储能设施</w:t>
      </w:r>
      <w:r>
        <w:rPr>
          <w:rFonts w:ascii="Microsoft YaHei" w:hAnsi="Microsoft YaHei" w:eastAsia="Microsoft YaHei" w:cs="Microsoft YaHei"/>
          <w:sz w:val="13"/>
          <w:szCs w:val="13"/>
          <w:position w:val="6"/>
        </w:rPr>
        <w:t>21</w:t>
      </w:r>
      <w:r>
        <w:rPr>
          <w:rFonts w:ascii="Microsoft YaHei" w:hAnsi="Microsoft YaHei" w:eastAsia="Microsoft YaHei" w:cs="Microsoft YaHei"/>
          <w:sz w:val="21"/>
          <w:szCs w:val="21"/>
        </w:rPr>
        <w:t>。发电侧储能包括以抽水蓄能为主的传统储</w:t>
      </w:r>
      <w:r>
        <w:rPr>
          <w:rFonts w:ascii="Microsoft YaHei" w:hAnsi="Microsoft YaHei" w:eastAsia="Microsoft YaHei" w:cs="Microsoft YaHei"/>
          <w:sz w:val="21"/>
          <w:szCs w:val="21"/>
          <w:spacing w:val="9"/>
        </w:rPr>
        <w:t xml:space="preserve"> </w:t>
      </w:r>
      <w:r>
        <w:rPr>
          <w:rFonts w:ascii="Microsoft YaHei" w:hAnsi="Microsoft YaHei" w:eastAsia="Microsoft YaHei" w:cs="Microsoft YaHei"/>
          <w:sz w:val="21"/>
          <w:szCs w:val="21"/>
          <w:spacing w:val="4"/>
        </w:rPr>
        <w:t>能和以电化学储能为代表的新型储能</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4"/>
        </w:rPr>
        <w:t>，本节主要探讨</w:t>
      </w:r>
      <w:r>
        <w:rPr>
          <w:rFonts w:ascii="Microsoft YaHei" w:hAnsi="Microsoft YaHei" w:eastAsia="Microsoft YaHei" w:cs="Microsoft YaHei"/>
          <w:sz w:val="21"/>
          <w:szCs w:val="21"/>
          <w:spacing w:val="3"/>
        </w:rPr>
        <w:t>电化学储能在发电侧的应用场景</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5"/>
        </w:rPr>
        <w:t>和商业模式。</w:t>
      </w:r>
    </w:p>
    <w:p>
      <w:pPr>
        <w:ind w:left="373" w:right="2999" w:firstLine="8"/>
        <w:spacing w:before="367" w:line="174" w:lineRule="auto"/>
        <w:rPr>
          <w:rFonts w:ascii="Microsoft YaHei" w:hAnsi="Microsoft YaHei" w:eastAsia="Microsoft YaHei" w:cs="Microsoft YaHei"/>
          <w:sz w:val="36"/>
          <w:szCs w:val="36"/>
        </w:rPr>
      </w:pPr>
      <w:r>
        <w:rPr>
          <w:rFonts w:ascii="Microsoft YaHei" w:hAnsi="Microsoft YaHei" w:eastAsia="Microsoft YaHei" w:cs="Microsoft YaHei"/>
          <w:sz w:val="36"/>
          <w:szCs w:val="36"/>
          <w:b/>
          <w:bCs/>
          <w:color w:val="00338D"/>
          <w:spacing w:val="-1"/>
        </w:rPr>
        <w:t>多地出台新能源强制配储政策，新能源并网成为电</w:t>
      </w:r>
      <w:r>
        <w:rPr>
          <w:rFonts w:ascii="Microsoft YaHei" w:hAnsi="Microsoft YaHei" w:eastAsia="Microsoft YaHei" w:cs="Microsoft YaHei"/>
          <w:sz w:val="36"/>
          <w:szCs w:val="36"/>
          <w:b/>
          <w:bCs/>
          <w:color w:val="00338D"/>
          <w:spacing w:val="1"/>
        </w:rPr>
        <w:t xml:space="preserve"> </w:t>
      </w:r>
      <w:r>
        <w:rPr>
          <w:rFonts w:ascii="Microsoft YaHei" w:hAnsi="Microsoft YaHei" w:eastAsia="Microsoft YaHei" w:cs="Microsoft YaHei"/>
          <w:sz w:val="36"/>
          <w:szCs w:val="36"/>
          <w:b/>
          <w:bCs/>
          <w:color w:val="00338D"/>
          <w:spacing w:val="-2"/>
        </w:rPr>
        <w:t>化学储能主要应用场景</w:t>
      </w:r>
    </w:p>
    <w:p>
      <w:pPr>
        <w:ind w:left="346" w:right="2996" w:firstLine="1"/>
        <w:spacing w:before="229" w:line="218"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风电和光伏的间歇性和波动性很大</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，为保证电力系统的整体平衡</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，往往造成部分地区</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“弃风弃光”现象。</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电化学储能作为新能源的“稳定器”</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，能够平</w:t>
      </w:r>
      <w:r>
        <w:rPr>
          <w:rFonts w:ascii="Microsoft YaHei" w:hAnsi="Microsoft YaHei" w:eastAsia="Microsoft YaHei" w:cs="Microsoft YaHei"/>
          <w:sz w:val="21"/>
          <w:szCs w:val="21"/>
          <w:spacing w:val="1"/>
        </w:rPr>
        <w:t>抑波动</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1"/>
        </w:rPr>
        <w:t>，不仅可以</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提高能源在当地的消纳能力</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2"/>
        </w:rPr>
        <w:t>，也可以辅助新能源的异地消纳。</w:t>
      </w:r>
      <w:r>
        <w:rPr>
          <w:rFonts w:ascii="Microsoft YaHei" w:hAnsi="Microsoft YaHei" w:eastAsia="Microsoft YaHei" w:cs="Microsoft YaHei"/>
          <w:sz w:val="21"/>
          <w:szCs w:val="21"/>
          <w:spacing w:val="-22"/>
        </w:rPr>
        <w:t xml:space="preserve"> </w:t>
      </w:r>
      <w:r>
        <w:rPr>
          <w:rFonts w:ascii="Microsoft YaHei" w:hAnsi="Microsoft YaHei" w:eastAsia="Microsoft YaHei" w:cs="Microsoft YaHei"/>
          <w:sz w:val="21"/>
          <w:szCs w:val="21"/>
          <w:spacing w:val="2"/>
        </w:rPr>
        <w:t>目</w:t>
      </w:r>
      <w:r>
        <w:rPr>
          <w:rFonts w:ascii="Microsoft YaHei" w:hAnsi="Microsoft YaHei" w:eastAsia="Microsoft YaHei" w:cs="Microsoft YaHei"/>
          <w:sz w:val="21"/>
          <w:szCs w:val="21"/>
          <w:spacing w:val="1"/>
        </w:rPr>
        <w:t>前</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，新能源发电侧储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能仍处于探索阶段，国家密集出台政策促进发电侧储能的发展。</w:t>
      </w:r>
    </w:p>
    <w:p>
      <w:pPr>
        <w:ind w:left="347" w:right="2827" w:firstLine="1"/>
        <w:spacing w:before="254" w:line="218"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从全国性政策看，2021</w:t>
      </w:r>
      <w:r>
        <w:rPr>
          <w:rFonts w:ascii="Microsoft YaHei" w:hAnsi="Microsoft YaHei" w:eastAsia="Microsoft YaHei" w:cs="Microsoft YaHei"/>
          <w:sz w:val="21"/>
          <w:szCs w:val="21"/>
          <w:spacing w:val="19"/>
        </w:rPr>
        <w:t xml:space="preserve"> </w:t>
      </w:r>
      <w:r>
        <w:rPr>
          <w:rFonts w:ascii="Microsoft YaHei" w:hAnsi="Microsoft YaHei" w:eastAsia="Microsoft YaHei" w:cs="Microsoft YaHei"/>
          <w:sz w:val="21"/>
          <w:szCs w:val="21"/>
          <w:spacing w:val="-1"/>
        </w:rPr>
        <w:t>年</w:t>
      </w:r>
      <w:r>
        <w:rPr>
          <w:rFonts w:ascii="Microsoft YaHei" w:hAnsi="Microsoft YaHei" w:eastAsia="Microsoft YaHei" w:cs="Microsoft YaHei"/>
          <w:sz w:val="21"/>
          <w:szCs w:val="21"/>
          <w:spacing w:val="20"/>
          <w:w w:val="101"/>
        </w:rPr>
        <w:t xml:space="preserve"> </w:t>
      </w:r>
      <w:r>
        <w:rPr>
          <w:rFonts w:ascii="Microsoft YaHei" w:hAnsi="Microsoft YaHei" w:eastAsia="Microsoft YaHei" w:cs="Microsoft YaHei"/>
          <w:sz w:val="21"/>
          <w:szCs w:val="21"/>
          <w:spacing w:val="-1"/>
        </w:rPr>
        <w:t>7 月，国家能源局印发的《关</w:t>
      </w:r>
      <w:r>
        <w:rPr>
          <w:rFonts w:ascii="Microsoft YaHei" w:hAnsi="Microsoft YaHei" w:eastAsia="Microsoft YaHei" w:cs="Microsoft YaHei"/>
          <w:sz w:val="21"/>
          <w:szCs w:val="21"/>
          <w:spacing w:val="-2"/>
        </w:rPr>
        <w:t>于鼓励可再生能源发电企业自</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建或购买调峰能力增加并网规模的通知》</w:t>
      </w:r>
      <w:r>
        <w:rPr>
          <w:rFonts w:ascii="Microsoft YaHei" w:hAnsi="Microsoft YaHei" w:eastAsia="Microsoft YaHei" w:cs="Microsoft YaHei"/>
          <w:sz w:val="21"/>
          <w:szCs w:val="21"/>
          <w:spacing w:val="-8"/>
        </w:rPr>
        <w:t xml:space="preserve"> </w:t>
      </w:r>
      <w:r>
        <w:rPr>
          <w:rFonts w:ascii="Microsoft YaHei" w:hAnsi="Microsoft YaHei" w:eastAsia="Microsoft YaHei" w:cs="Microsoft YaHei"/>
          <w:sz w:val="21"/>
          <w:szCs w:val="21"/>
          <w:spacing w:val="3"/>
        </w:rPr>
        <w:t>，提出“为鼓励发电企业市场化参与调峰资</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源建设，超过电网企业保障性并网以外的规</w:t>
      </w:r>
      <w:r>
        <w:rPr>
          <w:rFonts w:ascii="Microsoft YaHei" w:hAnsi="Microsoft YaHei" w:eastAsia="Microsoft YaHei" w:cs="Microsoft YaHei"/>
          <w:sz w:val="21"/>
          <w:szCs w:val="21"/>
        </w:rPr>
        <w:t>模初期按照功率15%的挂钩比例（时长4小    </w:t>
      </w:r>
      <w:r>
        <w:rPr>
          <w:rFonts w:ascii="Microsoft YaHei" w:hAnsi="Microsoft YaHei" w:eastAsia="Microsoft YaHei" w:cs="Microsoft YaHei"/>
          <w:sz w:val="21"/>
          <w:szCs w:val="21"/>
          <w:spacing w:val="-1"/>
        </w:rPr>
        <w:t>时以上）</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1"/>
        </w:rPr>
        <w:t>配建调峰能力，</w:t>
      </w:r>
      <w:r>
        <w:rPr>
          <w:rFonts w:ascii="Microsoft YaHei" w:hAnsi="Microsoft YaHei" w:eastAsia="Microsoft YaHei" w:cs="Microsoft YaHei"/>
          <w:sz w:val="21"/>
          <w:szCs w:val="21"/>
          <w:spacing w:val="-41"/>
        </w:rPr>
        <w:t xml:space="preserve"> </w:t>
      </w:r>
      <w:r>
        <w:rPr>
          <w:rFonts w:ascii="Microsoft YaHei" w:hAnsi="Microsoft YaHei" w:eastAsia="Microsoft YaHei" w:cs="Microsoft YaHei"/>
          <w:sz w:val="21"/>
          <w:szCs w:val="21"/>
          <w:spacing w:val="-1"/>
        </w:rPr>
        <w:t>按照20%以上挂钩比例进行配建</w:t>
      </w:r>
      <w:r>
        <w:rPr>
          <w:rFonts w:ascii="Microsoft YaHei" w:hAnsi="Microsoft YaHei" w:eastAsia="Microsoft YaHei" w:cs="Microsoft YaHei"/>
          <w:sz w:val="21"/>
          <w:szCs w:val="21"/>
          <w:spacing w:val="-2"/>
        </w:rPr>
        <w:t>的优先并网。</w:t>
      </w:r>
      <w:r>
        <w:rPr>
          <w:rFonts w:ascii="Microsoft YaHei" w:hAnsi="Microsoft YaHei" w:eastAsia="Microsoft YaHei" w:cs="Microsoft YaHei"/>
          <w:sz w:val="21"/>
          <w:szCs w:val="21"/>
          <w:spacing w:val="-41"/>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51"/>
        </w:rPr>
        <w:t xml:space="preserve"> </w:t>
      </w:r>
      <w:r>
        <w:rPr>
          <w:rFonts w:ascii="Microsoft YaHei" w:hAnsi="Microsoft YaHei" w:eastAsia="Microsoft YaHei" w:cs="Microsoft YaHei"/>
          <w:sz w:val="21"/>
          <w:szCs w:val="21"/>
          <w:spacing w:val="-2"/>
        </w:rPr>
        <w:t>2021年7月，</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发改委、能源局发布《关于加快推动新型储能发展的指导意见》</w:t>
      </w:r>
      <w:r>
        <w:rPr>
          <w:rFonts w:ascii="Microsoft YaHei" w:hAnsi="Microsoft YaHei" w:eastAsia="Microsoft YaHei" w:cs="Microsoft YaHei"/>
          <w:sz w:val="21"/>
          <w:szCs w:val="21"/>
          <w:spacing w:val="-18"/>
        </w:rPr>
        <w:t xml:space="preserve"> </w:t>
      </w:r>
      <w:r>
        <w:rPr>
          <w:rFonts w:ascii="Microsoft YaHei" w:hAnsi="Microsoft YaHei" w:eastAsia="Microsoft YaHei" w:cs="Microsoft YaHei"/>
          <w:sz w:val="21"/>
          <w:szCs w:val="21"/>
          <w:spacing w:val="3"/>
        </w:rPr>
        <w:t>，提出</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46"/>
        </w:rPr>
        <w:t xml:space="preserve"> </w:t>
      </w:r>
      <w:r>
        <w:rPr>
          <w:rFonts w:ascii="Microsoft YaHei" w:hAnsi="Microsoft YaHei" w:eastAsia="Microsoft YaHei" w:cs="Microsoft YaHei"/>
          <w:sz w:val="21"/>
          <w:szCs w:val="21"/>
          <w:spacing w:val="2"/>
        </w:rPr>
        <w:t>要大力推进</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电源侧储能项目建设</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，结合系统实际需求</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，布局一批配置储能的系统友</w:t>
      </w:r>
      <w:r>
        <w:rPr>
          <w:rFonts w:ascii="Microsoft YaHei" w:hAnsi="Microsoft YaHei" w:eastAsia="Microsoft YaHei" w:cs="Microsoft YaHei"/>
          <w:sz w:val="21"/>
          <w:szCs w:val="21"/>
          <w:spacing w:val="2"/>
        </w:rPr>
        <w:t>好型新能源电</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站项目</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，通过储能协同优化运行保障新能源高效消纳利用</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w:t>
      </w:r>
      <w:r>
        <w:rPr>
          <w:rFonts w:ascii="Microsoft YaHei" w:hAnsi="Microsoft YaHei" w:eastAsia="Microsoft YaHei" w:cs="Microsoft YaHei"/>
          <w:sz w:val="21"/>
          <w:szCs w:val="21"/>
          <w:spacing w:val="2"/>
        </w:rPr>
        <w:t>为电力系统提供容量支撑</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2"/>
        </w:rPr>
        <w:t>及一定调峰能力。”</w:t>
      </w:r>
    </w:p>
    <w:p>
      <w:pPr>
        <w:ind w:left="347" w:right="2826" w:firstLine="2"/>
        <w:spacing w:before="265" w:line="217"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从地方性政策看</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，各地发电侧政策可主要分为两类。一是多数省（直辖市）</w:t>
      </w:r>
      <w:r>
        <w:rPr>
          <w:rFonts w:ascii="Microsoft YaHei" w:hAnsi="Microsoft YaHei" w:eastAsia="Microsoft YaHei" w:cs="Microsoft YaHei"/>
          <w:sz w:val="21"/>
          <w:szCs w:val="21"/>
          <w:spacing w:val="-41"/>
        </w:rPr>
        <w:t xml:space="preserve"> </w:t>
      </w:r>
      <w:r>
        <w:rPr>
          <w:rFonts w:ascii="Microsoft YaHei" w:hAnsi="Microsoft YaHei" w:eastAsia="Microsoft YaHei" w:cs="Microsoft YaHei"/>
          <w:sz w:val="21"/>
          <w:szCs w:val="21"/>
          <w:spacing w:val="3"/>
        </w:rPr>
        <w:t>要</w:t>
      </w:r>
      <w:r>
        <w:rPr>
          <w:rFonts w:ascii="Microsoft YaHei" w:hAnsi="Microsoft YaHei" w:eastAsia="Microsoft YaHei" w:cs="Microsoft YaHei"/>
          <w:sz w:val="21"/>
          <w:szCs w:val="21"/>
          <w:spacing w:val="2"/>
        </w:rPr>
        <w:t>求新能</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源项目必须按一定功率配比配置发电侧储能</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w:t>
      </w:r>
      <w:r>
        <w:rPr>
          <w:rFonts w:ascii="Microsoft YaHei" w:hAnsi="Microsoft YaHei" w:eastAsia="Microsoft YaHei" w:cs="Microsoft YaHei"/>
          <w:sz w:val="21"/>
          <w:szCs w:val="21"/>
          <w:spacing w:val="2"/>
        </w:rPr>
        <w:t>新能源配置储能比例为5%-20%</w:t>
      </w:r>
      <w:r>
        <w:rPr>
          <w:rFonts w:ascii="Microsoft YaHei" w:hAnsi="Microsoft YaHei" w:eastAsia="Microsoft YaHei" w:cs="Microsoft YaHei"/>
          <w:sz w:val="21"/>
          <w:szCs w:val="21"/>
          <w:spacing w:val="-26"/>
        </w:rPr>
        <w:t xml:space="preserve"> </w:t>
      </w:r>
      <w:r>
        <w:rPr>
          <w:rFonts w:ascii="Microsoft YaHei" w:hAnsi="Microsoft YaHei" w:eastAsia="Microsoft YaHei" w:cs="Microsoft YaHei"/>
          <w:sz w:val="21"/>
          <w:szCs w:val="21"/>
          <w:spacing w:val="2"/>
        </w:rPr>
        <w:t>，配置</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小时大多在2小时，部分省份要求1小时或者4小时（表</w:t>
      </w:r>
      <w:r>
        <w:rPr>
          <w:rFonts w:ascii="Microsoft YaHei" w:hAnsi="Microsoft YaHei" w:eastAsia="Microsoft YaHei" w:cs="Microsoft YaHei"/>
          <w:sz w:val="21"/>
          <w:szCs w:val="21"/>
          <w:spacing w:val="71"/>
        </w:rPr>
        <w:t xml:space="preserve"> </w:t>
      </w:r>
      <w:r>
        <w:rPr>
          <w:rFonts w:ascii="Microsoft YaHei" w:hAnsi="Microsoft YaHei" w:eastAsia="Microsoft YaHei" w:cs="Microsoft YaHei"/>
          <w:sz w:val="21"/>
          <w:szCs w:val="21"/>
          <w:spacing w:val="-2"/>
        </w:rPr>
        <w:t>7）。二是是给予储能项目补贴，</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补贴政策可分为投资补贴和运营补贴。全国已有近30个省份出台了“</w:t>
      </w:r>
      <w:r>
        <w:rPr>
          <w:rFonts w:ascii="Microsoft YaHei" w:hAnsi="Microsoft YaHei" w:eastAsia="Microsoft YaHei" w:cs="Microsoft YaHei"/>
          <w:sz w:val="21"/>
          <w:szCs w:val="21"/>
          <w:spacing w:val="-45"/>
        </w:rPr>
        <w:t xml:space="preserve"> </w:t>
      </w:r>
      <w:r>
        <w:rPr>
          <w:rFonts w:ascii="Microsoft YaHei" w:hAnsi="Microsoft YaHei" w:eastAsia="Microsoft YaHei" w:cs="Microsoft YaHei"/>
          <w:sz w:val="21"/>
          <w:szCs w:val="21"/>
          <w:spacing w:val="2"/>
        </w:rPr>
        <w:t>十四五”新型储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能规划或新能源配储文件，各省规划的新型储能发展目标合计超</w:t>
      </w:r>
      <w:r>
        <w:rPr>
          <w:rFonts w:ascii="Microsoft YaHei" w:hAnsi="Microsoft YaHei" w:eastAsia="Microsoft YaHei" w:cs="Microsoft YaHei"/>
          <w:sz w:val="21"/>
          <w:szCs w:val="21"/>
        </w:rPr>
        <w:t>过6,000万千瓦，是国    </w:t>
      </w:r>
      <w:r>
        <w:rPr>
          <w:rFonts w:ascii="Microsoft YaHei" w:hAnsi="Microsoft YaHei" w:eastAsia="Microsoft YaHei" w:cs="Microsoft YaHei"/>
          <w:sz w:val="21"/>
          <w:szCs w:val="21"/>
          <w:spacing w:val="-2"/>
        </w:rPr>
        <w:t>家能源局《关于加快推动新型储能发展的指导意见》文件中提出的</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2025</w:t>
      </w:r>
      <w:r>
        <w:rPr>
          <w:rFonts w:ascii="Microsoft YaHei" w:hAnsi="Microsoft YaHei" w:eastAsia="Microsoft YaHei" w:cs="Microsoft YaHei"/>
          <w:sz w:val="21"/>
          <w:szCs w:val="21"/>
          <w:spacing w:val="18"/>
          <w:w w:val="101"/>
        </w:rPr>
        <w:t xml:space="preserve"> </w:t>
      </w:r>
      <w:r>
        <w:rPr>
          <w:rFonts w:ascii="Microsoft YaHei" w:hAnsi="Microsoft YaHei" w:eastAsia="Microsoft YaHei" w:cs="Microsoft YaHei"/>
          <w:sz w:val="21"/>
          <w:szCs w:val="21"/>
          <w:spacing w:val="-2"/>
        </w:rPr>
        <w:t>年达到</w:t>
      </w:r>
      <w:r>
        <w:rPr>
          <w:rFonts w:ascii="Microsoft YaHei" w:hAnsi="Microsoft YaHei" w:eastAsia="Microsoft YaHei" w:cs="Microsoft YaHei"/>
          <w:sz w:val="21"/>
          <w:szCs w:val="21"/>
          <w:spacing w:val="16"/>
        </w:rPr>
        <w:t xml:space="preserve"> </w:t>
      </w:r>
      <w:r>
        <w:rPr>
          <w:rFonts w:ascii="Microsoft YaHei" w:hAnsi="Microsoft YaHei" w:eastAsia="Microsoft YaHei" w:cs="Microsoft YaHei"/>
          <w:sz w:val="21"/>
          <w:szCs w:val="21"/>
          <w:spacing w:val="-2"/>
        </w:rPr>
        <w:t>3,000</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万千瓦目标的两倍</w:t>
      </w:r>
      <w:r>
        <w:rPr>
          <w:rFonts w:ascii="Microsoft YaHei" w:hAnsi="Microsoft YaHei" w:eastAsia="Microsoft YaHei" w:cs="Microsoft YaHei"/>
          <w:sz w:val="13"/>
          <w:szCs w:val="13"/>
          <w:position w:val="5"/>
        </w:rPr>
        <w:t>22</w:t>
      </w:r>
      <w:r>
        <w:rPr>
          <w:rFonts w:ascii="Microsoft YaHei" w:hAnsi="Microsoft YaHei" w:eastAsia="Microsoft YaHei" w:cs="Microsoft YaHei"/>
          <w:sz w:val="21"/>
          <w:szCs w:val="21"/>
        </w:rPr>
        <w:t>。</w:t>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ict>
          <v:shape id="_x0000_s718" style="position:absolute;margin-left:17.119pt;margin-top:4.83098pt;mso-position-vertical-relative:text;mso-position-horizontal-relative:text;width:81.3pt;height:0.5pt;z-index:252279808;" filled="false" strokecolor="#000000" strokeweight="0.50pt" coordsize="1626,10" coordorigin="0,0" path="m0,5l1625,5e">
            <v:stroke joinstyle="miter"/>
          </v:shape>
        </w:pict>
      </w:r>
      <w:r/>
    </w:p>
    <w:p>
      <w:pPr>
        <w:ind w:left="351" w:right="3544" w:hanging="9"/>
        <w:spacing w:before="57" w:line="188"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6"/>
          <w:position w:val="4"/>
        </w:rPr>
        <w:t>21  </w:t>
      </w:r>
      <w:r>
        <w:rPr>
          <w:rFonts w:ascii="Microsoft YaHei" w:hAnsi="Microsoft YaHei" w:eastAsia="Microsoft YaHei" w:cs="Microsoft YaHei"/>
          <w:sz w:val="13"/>
          <w:szCs w:val="13"/>
          <w:spacing w:val="6"/>
        </w:rPr>
        <w:t>自治区发展改革委关于印发《新疆电网发电侧储能管理暂行规则》</w:t>
      </w:r>
      <w:r>
        <w:rPr>
          <w:rFonts w:ascii="Microsoft YaHei" w:hAnsi="Microsoft YaHei" w:eastAsia="Microsoft YaHei" w:cs="Microsoft YaHei"/>
          <w:sz w:val="13"/>
          <w:szCs w:val="13"/>
          <w:spacing w:val="-16"/>
        </w:rPr>
        <w:t xml:space="preserve"> </w:t>
      </w:r>
      <w:r>
        <w:rPr>
          <w:rFonts w:ascii="Microsoft YaHei" w:hAnsi="Microsoft YaHei" w:eastAsia="Microsoft YaHei" w:cs="Microsoft YaHei"/>
          <w:sz w:val="13"/>
          <w:szCs w:val="13"/>
          <w:spacing w:val="6"/>
        </w:rPr>
        <w:t>的通知，新疆自治区发展改革委，  2020年</w:t>
      </w:r>
      <w:r>
        <w:rPr>
          <w:rFonts w:ascii="Microsoft YaHei" w:hAnsi="Microsoft YaHei" w:eastAsia="Microsoft YaHei" w:cs="Microsoft YaHei"/>
          <w:sz w:val="13"/>
          <w:szCs w:val="13"/>
          <w:spacing w:val="5"/>
        </w:rPr>
        <w:t>6月28日，</w:t>
      </w:r>
      <w:r>
        <w:rPr>
          <w:rFonts w:ascii="Microsoft YaHei" w:hAnsi="Microsoft YaHei" w:eastAsia="Microsoft YaHei" w:cs="Microsoft YaHei"/>
          <w:sz w:val="13"/>
          <w:szCs w:val="13"/>
        </w:rPr>
        <w:t xml:space="preserve"> </w:t>
      </w:r>
      <w:hyperlink w:history="true" r:id="rId199">
        <w:r>
          <w:rPr>
            <w:rFonts w:ascii="Microsoft YaHei" w:hAnsi="Microsoft YaHei" w:eastAsia="Microsoft YaHei" w:cs="Microsoft YaHei"/>
            <w:sz w:val="13"/>
            <w:szCs w:val="13"/>
          </w:rPr>
          <w:t>http</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xjdrc</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xinjiang</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gov</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cn</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xjfgw</w:t>
        </w:r>
        <w:r>
          <w:rPr>
            <w:rFonts w:ascii="Microsoft YaHei" w:hAnsi="Microsoft YaHei" w:eastAsia="Microsoft YaHei" w:cs="Microsoft YaHei"/>
            <w:sz w:val="13"/>
            <w:szCs w:val="13"/>
            <w:spacing w:val="5"/>
          </w:rPr>
          <w:t>/c108361/202006/</w:t>
        </w:r>
        <w:r>
          <w:rPr>
            <w:rFonts w:ascii="Microsoft YaHei" w:hAnsi="Microsoft YaHei" w:eastAsia="Microsoft YaHei" w:cs="Microsoft YaHei"/>
            <w:sz w:val="13"/>
            <w:szCs w:val="13"/>
          </w:rPr>
          <w:t>eaaa</w:t>
        </w:r>
        <w:r>
          <w:rPr>
            <w:rFonts w:ascii="Microsoft YaHei" w:hAnsi="Microsoft YaHei" w:eastAsia="Microsoft YaHei" w:cs="Microsoft YaHei"/>
            <w:sz w:val="13"/>
            <w:szCs w:val="13"/>
            <w:spacing w:val="5"/>
          </w:rPr>
          <w:t>9a77</w:t>
        </w:r>
        <w:r>
          <w:rPr>
            <w:rFonts w:ascii="Microsoft YaHei" w:hAnsi="Microsoft YaHei" w:eastAsia="Microsoft YaHei" w:cs="Microsoft YaHei"/>
            <w:sz w:val="13"/>
            <w:szCs w:val="13"/>
          </w:rPr>
          <w:t>fbe</w:t>
        </w:r>
        <w:r>
          <w:rPr>
            <w:rFonts w:ascii="Microsoft YaHei" w:hAnsi="Microsoft YaHei" w:eastAsia="Microsoft YaHei" w:cs="Microsoft YaHei"/>
            <w:sz w:val="13"/>
            <w:szCs w:val="13"/>
            <w:spacing w:val="5"/>
          </w:rPr>
          <w:t>34d8d98c020</w:t>
        </w:r>
        <w:r>
          <w:rPr>
            <w:rFonts w:ascii="Microsoft YaHei" w:hAnsi="Microsoft YaHei" w:eastAsia="Microsoft YaHei" w:cs="Microsoft YaHei"/>
            <w:sz w:val="13"/>
            <w:szCs w:val="13"/>
          </w:rPr>
          <w:t>fa</w:t>
        </w:r>
        <w:r>
          <w:rPr>
            <w:rFonts w:ascii="Microsoft YaHei" w:hAnsi="Microsoft YaHei" w:eastAsia="Microsoft YaHei" w:cs="Microsoft YaHei"/>
            <w:sz w:val="13"/>
            <w:szCs w:val="13"/>
            <w:spacing w:val="5"/>
          </w:rPr>
          <w:t>9</w:t>
        </w:r>
        <w:r>
          <w:rPr>
            <w:rFonts w:ascii="Microsoft YaHei" w:hAnsi="Microsoft YaHei" w:eastAsia="Microsoft YaHei" w:cs="Microsoft YaHei"/>
            <w:sz w:val="13"/>
            <w:szCs w:val="13"/>
          </w:rPr>
          <w:t>cd</w:t>
        </w:r>
        <w:r>
          <w:rPr>
            <w:rFonts w:ascii="Microsoft YaHei" w:hAnsi="Microsoft YaHei" w:eastAsia="Microsoft YaHei" w:cs="Microsoft YaHei"/>
            <w:sz w:val="13"/>
            <w:szCs w:val="13"/>
            <w:spacing w:val="5"/>
          </w:rPr>
          <w:t>38</w:t>
        </w:r>
        <w:r>
          <w:rPr>
            <w:rFonts w:ascii="Microsoft YaHei" w:hAnsi="Microsoft YaHei" w:eastAsia="Microsoft YaHei" w:cs="Microsoft YaHei"/>
            <w:sz w:val="13"/>
            <w:szCs w:val="13"/>
          </w:rPr>
          <w:t>ef</w:t>
        </w:r>
        <w:r>
          <w:rPr>
            <w:rFonts w:ascii="Microsoft YaHei" w:hAnsi="Microsoft YaHei" w:eastAsia="Microsoft YaHei" w:cs="Microsoft YaHei"/>
            <w:sz w:val="13"/>
            <w:szCs w:val="13"/>
            <w:spacing w:val="5"/>
          </w:rPr>
          <w:t>2.</w:t>
        </w:r>
        <w:r>
          <w:rPr>
            <w:rFonts w:ascii="Microsoft YaHei" w:hAnsi="Microsoft YaHei" w:eastAsia="Microsoft YaHei" w:cs="Microsoft YaHei"/>
            <w:sz w:val="13"/>
            <w:szCs w:val="13"/>
          </w:rPr>
          <w:t>shtml</w:t>
        </w:r>
      </w:hyperlink>
    </w:p>
    <w:p>
      <w:pPr>
        <w:ind w:left="342"/>
        <w:spacing w:before="49" w:line="189"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3"/>
          <w:position w:val="4"/>
        </w:rPr>
        <w:t>22</w:t>
      </w:r>
      <w:r>
        <w:rPr>
          <w:rFonts w:ascii="Microsoft YaHei" w:hAnsi="Microsoft YaHei" w:eastAsia="Microsoft YaHei" w:cs="Microsoft YaHei"/>
          <w:sz w:val="9"/>
          <w:szCs w:val="9"/>
          <w:spacing w:val="36"/>
          <w:w w:val="103"/>
          <w:position w:val="4"/>
        </w:rPr>
        <w:t xml:space="preserve"> </w:t>
      </w:r>
      <w:r>
        <w:rPr>
          <w:rFonts w:ascii="Microsoft YaHei" w:hAnsi="Microsoft YaHei" w:eastAsia="Microsoft YaHei" w:cs="Microsoft YaHei"/>
          <w:sz w:val="13"/>
          <w:szCs w:val="13"/>
          <w:spacing w:val="3"/>
        </w:rPr>
        <w:t>中国电力企业联合会，</w:t>
      </w:r>
      <w:r>
        <w:rPr>
          <w:rFonts w:ascii="Microsoft YaHei" w:hAnsi="Microsoft YaHei" w:eastAsia="Microsoft YaHei" w:cs="Microsoft YaHei"/>
          <w:sz w:val="13"/>
          <w:szCs w:val="13"/>
          <w:spacing w:val="13"/>
          <w:w w:val="101"/>
        </w:rPr>
        <w:t xml:space="preserve">  </w:t>
      </w:r>
      <w:r>
        <w:rPr>
          <w:rFonts w:ascii="Microsoft YaHei" w:hAnsi="Microsoft YaHei" w:eastAsia="Microsoft YaHei" w:cs="Microsoft YaHei"/>
          <w:sz w:val="13"/>
          <w:szCs w:val="13"/>
          <w:spacing w:val="3"/>
        </w:rPr>
        <w:t>《新能源配储能运行情况调研报告》</w:t>
      </w:r>
      <w:r>
        <w:rPr>
          <w:rFonts w:ascii="Microsoft YaHei" w:hAnsi="Microsoft YaHei" w:eastAsia="Microsoft YaHei" w:cs="Microsoft YaHei"/>
          <w:sz w:val="13"/>
          <w:szCs w:val="13"/>
          <w:spacing w:val="-9"/>
        </w:rPr>
        <w:t xml:space="preserve"> </w:t>
      </w:r>
      <w:r>
        <w:rPr>
          <w:rFonts w:ascii="Microsoft YaHei" w:hAnsi="Microsoft YaHei" w:eastAsia="Microsoft YaHei" w:cs="Microsoft YaHei"/>
          <w:sz w:val="13"/>
          <w:szCs w:val="13"/>
          <w:spacing w:val="3"/>
        </w:rPr>
        <w:t>，2022年11月8日</w:t>
      </w:r>
    </w:p>
    <w:p>
      <w:pPr>
        <w:ind w:left="842" w:right="1241" w:hanging="411"/>
        <w:spacing w:before="213"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963" w:header="0" w:footer="0" w:gutter="0"/>
        </w:sectPr>
        <w:rPr>
          <w:rFonts w:ascii="Microsoft YaHei" w:hAnsi="Microsoft YaHei" w:eastAsia="Microsoft YaHei" w:cs="Microsoft YaHei"/>
          <w:sz w:val="11"/>
          <w:szCs w:val="11"/>
        </w:rPr>
      </w:pPr>
    </w:p>
    <w:p>
      <w:pPr>
        <w:ind w:left="7664"/>
        <w:spacing w:before="314" w:line="193" w:lineRule="auto"/>
        <w:rPr>
          <w:rFonts w:ascii="Microsoft YaHei" w:hAnsi="Microsoft YaHei" w:eastAsia="Microsoft YaHei" w:cs="Microsoft YaHei"/>
          <w:sz w:val="18"/>
          <w:szCs w:val="18"/>
        </w:rPr>
      </w:pPr>
      <w:r>
        <w:pict>
          <v:rect id="_x0000_s720" style="position:absolute;margin-left:611.99pt;margin-top:0pt;mso-position-vertical-relative:page;mso-position-horizontal-relative:page;width:0.25pt;height:859pt;z-index:252331008;" o:allowincell="f" fillcolor="#000000" filled="true" stroked="false"/>
        </w:pict>
      </w:r>
      <w:r>
        <w:rPr>
          <w:rFonts w:ascii="Microsoft YaHei" w:hAnsi="Microsoft YaHei" w:eastAsia="Microsoft YaHei" w:cs="Microsoft YaHei"/>
          <w:sz w:val="18"/>
          <w:szCs w:val="18"/>
          <w:color w:val="A8A8A8"/>
        </w:rPr>
        <w:t>新型储能助力能源转型</w:t>
      </w:r>
      <w:r>
        <w:rPr>
          <w:rFonts w:ascii="Microsoft YaHei" w:hAnsi="Microsoft YaHei" w:eastAsia="Microsoft YaHei" w:cs="Microsoft YaHei"/>
          <w:sz w:val="18"/>
          <w:szCs w:val="18"/>
          <w:color w:val="A8A8A8"/>
          <w:spacing w:val="20"/>
        </w:rPr>
        <w:t xml:space="preserve">  </w:t>
      </w:r>
      <w:r>
        <w:rPr>
          <w:sz w:val="18"/>
          <w:szCs w:val="18"/>
          <w:position w:val="-4"/>
        </w:rPr>
        <w:drawing>
          <wp:inline distT="0" distB="0" distL="0" distR="0">
            <wp:extent cx="6350" cy="130175"/>
            <wp:effectExtent l="0" t="0" r="0" b="0"/>
            <wp:docPr id="414" name="IM 414"/>
            <wp:cNvGraphicFramePr/>
            <a:graphic>
              <a:graphicData uri="http://schemas.openxmlformats.org/drawingml/2006/picture">
                <pic:pic>
                  <pic:nvPicPr>
                    <pic:cNvPr id="414" name="IM 414"/>
                    <pic:cNvPicPr/>
                  </pic:nvPicPr>
                  <pic:blipFill>
                    <a:blip r:embed="rId200"/>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spacing w:val="15"/>
          <w:w w:val="101"/>
        </w:rPr>
        <w:t xml:space="preserve">  </w:t>
      </w:r>
      <w:r>
        <w:rPr>
          <w:rFonts w:ascii="Microsoft YaHei" w:hAnsi="Microsoft YaHei" w:eastAsia="Microsoft YaHei" w:cs="Microsoft YaHei"/>
          <w:sz w:val="18"/>
          <w:szCs w:val="18"/>
          <w:b/>
          <w:bCs/>
          <w:color w:val="A8A8A8"/>
        </w:rPr>
        <w:t>34</w:t>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19"/>
        <w:spacing w:before="90" w:line="191" w:lineRule="auto"/>
        <w:outlineLvl w:val="0"/>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C0AE"/>
          <w:spacing w:val="-3"/>
        </w:rPr>
        <w:t>表 7 | 部分省市可再生能源储能配置要求</w:t>
      </w:r>
    </w:p>
    <w:p>
      <w:pPr>
        <w:spacing w:line="237" w:lineRule="exact"/>
        <w:rPr/>
      </w:pPr>
      <w:r/>
    </w:p>
    <w:tbl>
      <w:tblPr>
        <w:tblStyle w:val="TableNormal"/>
        <w:tblW w:w="9617" w:type="dxa"/>
        <w:tblInd w:w="14"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2324"/>
        <w:gridCol w:w="3088"/>
        <w:gridCol w:w="1622"/>
        <w:gridCol w:w="2583"/>
      </w:tblGrid>
      <w:tr>
        <w:trPr>
          <w:trHeight w:val="1063" w:hRule="atLeast"/>
        </w:trPr>
        <w:tc>
          <w:tcPr>
            <w:shd w:val="clear" w:fill="00C0AE"/>
            <w:tcW w:w="2324" w:type="dxa"/>
            <w:vAlign w:val="top"/>
            <w:tcBorders>
              <w:right w:val="single" w:color="FFFFFF" w:sz="6" w:space="0"/>
            </w:tcBorders>
          </w:tcPr>
          <w:p>
            <w:pPr>
              <w:spacing w:line="320" w:lineRule="auto"/>
              <w:rPr>
                <w:rFonts w:ascii="Arial"/>
                <w:sz w:val="21"/>
              </w:rPr>
            </w:pPr>
            <w:r/>
          </w:p>
          <w:p>
            <w:pPr>
              <w:pStyle w:val="TableText"/>
              <w:ind w:left="502"/>
              <w:spacing w:before="94" w:line="177" w:lineRule="auto"/>
              <w:rPr/>
            </w:pPr>
            <w:r>
              <w:rPr>
                <w:b/>
                <w:bCs/>
                <w:color w:val="FFFFFF"/>
                <w:spacing w:val="-6"/>
              </w:rPr>
              <w:t>省（直辖市）</w:t>
            </w:r>
          </w:p>
        </w:tc>
        <w:tc>
          <w:tcPr>
            <w:tcW w:w="3088" w:type="dxa"/>
            <w:vAlign w:val="top"/>
            <w:tcBorders>
              <w:left w:val="single" w:color="FFFFFF" w:sz="6" w:space="0"/>
            </w:tcBorders>
          </w:tcPr>
          <w:p>
            <w:pPr>
              <w:pStyle w:val="TableText"/>
              <w:ind w:left="1689"/>
              <w:spacing w:before="151" w:line="178" w:lineRule="auto"/>
              <w:rPr/>
            </w:pPr>
            <w:r>
              <mc:AlternateContent xmlns:mc="http://schemas.openxmlformats.org/markup-compatibility/2006">
                <mc:Choice Requires="wps">
                  <w:drawing>
                    <wp:anchor distT="0" distB="0" distL="0" distR="0" simplePos="0" relativeHeight="252329984" behindDoc="1" locked="0" layoutInCell="1" allowOverlap="1">
                      <wp:simplePos x="0" y="0"/>
                      <wp:positionH relativeFrom="column">
                        <wp:posOffset>-4872</wp:posOffset>
                      </wp:positionH>
                      <wp:positionV relativeFrom="paragraph">
                        <wp:posOffset>-337</wp:posOffset>
                      </wp:positionV>
                      <wp:extent cx="2991485" cy="338454"/>
                      <wp:effectExtent l="0" t="0" r="0" b="0"/>
                      <wp:wrapNone/>
                      <wp:docPr id="416" name="Rect 416"/>
                      <wp:cNvGraphicFramePr/>
                      <a:graphic>
                        <a:graphicData uri="http://schemas.microsoft.com/office/word/2010/wordprocessingShape">
                          <wps:wsp>
                            <wps:cNvPr id="416" name="Rect 416"/>
                            <wps:cNvSpPr/>
                            <wps:spPr>
                              <a:xfrm>
                                <a:off x="-4872" y="-337"/>
                                <a:ext cx="2991485" cy="338454"/>
                              </a:xfrm>
                              <a:prstGeom prst="rect">
                                <a:avLst/>
                              </a:prstGeom>
                              <a:solidFill>
                                <a:srgbClr val="00C0AE"/>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722" style="position:absolute;margin-left:-0.383652pt;margin-top:-0.026608pt;mso-position-vertical-relative:text;mso-position-horizontal-relative:text;width:235.55pt;height:26.65pt;z-index:-250986496;" fillcolor="#00C0AE" filled="true" stroked="false"/>
                  </w:pict>
                </mc:Fallback>
              </mc:AlternateContent>
            </w:r>
            <w:r>
              <w:rPr>
                <w:b/>
                <w:bCs/>
                <w:color w:val="FFFFFF"/>
              </w:rPr>
              <w:t>储能配置比例</w:t>
            </w:r>
          </w:p>
          <w:p>
            <w:pPr>
              <w:pStyle w:val="TableText"/>
              <w:ind w:left="955"/>
              <w:spacing w:before="101"/>
              <w:rPr/>
            </w:pPr>
            <w:r>
              <mc:AlternateContent xmlns:mc="http://schemas.openxmlformats.org/markup-compatibility/2006">
                <mc:Choice Requires="wps">
                  <w:drawing>
                    <wp:anchor distT="0" distB="0" distL="0" distR="0" simplePos="0" relativeHeight="252317696" behindDoc="1" locked="0" layoutInCell="1" allowOverlap="1">
                      <wp:simplePos x="0" y="0"/>
                      <wp:positionH relativeFrom="column">
                        <wp:posOffset>1490692</wp:posOffset>
                      </wp:positionH>
                      <wp:positionV relativeFrom="paragraph">
                        <wp:posOffset>64372</wp:posOffset>
                      </wp:positionV>
                      <wp:extent cx="1496060" cy="338454"/>
                      <wp:effectExtent l="0" t="0" r="0" b="0"/>
                      <wp:wrapNone/>
                      <wp:docPr id="418" name="Rect 418"/>
                      <wp:cNvGraphicFramePr/>
                      <a:graphic>
                        <a:graphicData uri="http://schemas.microsoft.com/office/word/2010/wordprocessingShape">
                          <wps:wsp>
                            <wps:cNvPr id="418" name="Rect 418"/>
                            <wps:cNvSpPr/>
                            <wps:spPr>
                              <a:xfrm>
                                <a:off x="1490692" y="64372"/>
                                <a:ext cx="1496060" cy="338454"/>
                              </a:xfrm>
                              <a:prstGeom prst="rect">
                                <a:avLst/>
                              </a:prstGeom>
                              <a:solidFill>
                                <a:srgbClr val="63EBDA">
                                  <a:alpha val="50196"/>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724" style="position:absolute;margin-left:117.377pt;margin-top:5.06866pt;mso-position-vertical-relative:text;mso-position-horizontal-relative:text;width:117.8pt;height:26.65pt;z-index:-250998784;" fillcolor="#63EBDA" filled="true" stroked="false">
                      <v:fill opacity="0.501961"/>
                    </v:rect>
                  </w:pict>
                </mc:Fallback>
              </mc:AlternateContent>
            </w:r>
            <w:r>
              <mc:AlternateContent xmlns:mc="http://schemas.openxmlformats.org/markup-compatibility/2006">
                <mc:Choice Requires="wps">
                  <w:drawing>
                    <wp:anchor distT="0" distB="0" distL="0" distR="0" simplePos="0" relativeHeight="252316672" behindDoc="1" locked="0" layoutInCell="1" allowOverlap="1">
                      <wp:simplePos x="0" y="0"/>
                      <wp:positionH relativeFrom="column">
                        <wp:posOffset>-4872</wp:posOffset>
                      </wp:positionH>
                      <wp:positionV relativeFrom="paragraph">
                        <wp:posOffset>64372</wp:posOffset>
                      </wp:positionV>
                      <wp:extent cx="1496060" cy="338454"/>
                      <wp:effectExtent l="0" t="0" r="0" b="0"/>
                      <wp:wrapNone/>
                      <wp:docPr id="420" name="Rect 420"/>
                      <wp:cNvGraphicFramePr/>
                      <a:graphic>
                        <a:graphicData uri="http://schemas.microsoft.com/office/word/2010/wordprocessingShape">
                          <wps:wsp>
                            <wps:cNvPr id="420" name="Rect 420"/>
                            <wps:cNvSpPr/>
                            <wps:spPr>
                              <a:xfrm>
                                <a:off x="-4872" y="64372"/>
                                <a:ext cx="1496060" cy="338454"/>
                              </a:xfrm>
                              <a:prstGeom prst="rect">
                                <a:avLst/>
                              </a:prstGeom>
                              <a:solidFill>
                                <a:srgbClr val="63EBDA">
                                  <a:alpha val="50196"/>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726" style="position:absolute;margin-left:-0.383652pt;margin-top:5.06866pt;mso-position-vertical-relative:text;mso-position-horizontal-relative:text;width:117.8pt;height:26.65pt;z-index:-250999808;" fillcolor="#63EBDA" filled="true" stroked="false">
                      <v:fill opacity="0.501961"/>
                    </v:rect>
                  </w:pict>
                </mc:Fallback>
              </mc:AlternateContent>
            </w:r>
            <w:r>
              <w:rPr>
                <w:color w:val="098E7E"/>
                <w:spacing w:val="-4"/>
              </w:rPr>
              <w:t>风电</w:t>
            </w:r>
            <w:r>
              <w:rPr>
                <w:color w:val="098E7E"/>
                <w:spacing w:val="2"/>
              </w:rPr>
              <w:t xml:space="preserve">              </w:t>
            </w:r>
            <w:r>
              <w:rPr>
                <w:position w:val="-18"/>
              </w:rPr>
              <w:drawing>
                <wp:inline distT="0" distB="0" distL="0" distR="0">
                  <wp:extent cx="9525" cy="330263"/>
                  <wp:effectExtent l="0" t="0" r="0" b="0"/>
                  <wp:docPr id="422" name="IM 422"/>
                  <wp:cNvGraphicFramePr/>
                  <a:graphic>
                    <a:graphicData uri="http://schemas.openxmlformats.org/drawingml/2006/picture">
                      <pic:pic>
                        <pic:nvPicPr>
                          <pic:cNvPr id="422" name="IM 422"/>
                          <pic:cNvPicPr/>
                        </pic:nvPicPr>
                        <pic:blipFill>
                          <a:blip r:embed="rId201"/>
                          <a:stretch>
                            <a:fillRect/>
                          </a:stretch>
                        </pic:blipFill>
                        <pic:spPr>
                          <a:xfrm rot="0">
                            <a:off x="0" y="0"/>
                            <a:ext cx="9525" cy="330263"/>
                          </a:xfrm>
                          <a:prstGeom prst="rect">
                            <a:avLst/>
                          </a:prstGeom>
                        </pic:spPr>
                      </pic:pic>
                    </a:graphicData>
                  </a:graphic>
                </wp:inline>
              </w:drawing>
            </w:r>
          </w:p>
        </w:tc>
        <w:tc>
          <w:tcPr>
            <w:tcW w:w="1622" w:type="dxa"/>
            <w:vAlign w:val="top"/>
            <w:tcBorders>
              <w:right w:val="single" w:color="FFFFFF" w:sz="6" w:space="0"/>
            </w:tcBorders>
          </w:tcPr>
          <w:p>
            <w:pPr>
              <w:spacing w:line="295" w:lineRule="auto"/>
              <w:rPr>
                <w:rFonts w:ascii="Arial"/>
                <w:sz w:val="21"/>
              </w:rPr>
            </w:pPr>
            <w:r/>
          </w:p>
          <w:p>
            <w:pPr>
              <w:spacing w:line="295" w:lineRule="auto"/>
              <w:rPr>
                <w:rFonts w:ascii="Arial"/>
                <w:sz w:val="21"/>
              </w:rPr>
            </w:pPr>
            <w:r/>
          </w:p>
          <w:p>
            <w:pPr>
              <w:pStyle w:val="TableText"/>
              <w:ind w:left="232"/>
              <w:spacing w:before="95" w:line="176" w:lineRule="auto"/>
              <w:rPr/>
            </w:pPr>
            <w:r>
              <w:rPr>
                <w:color w:val="098E7E"/>
                <w:spacing w:val="-3"/>
              </w:rPr>
              <w:t>光电</w:t>
            </w:r>
          </w:p>
        </w:tc>
        <w:tc>
          <w:tcPr>
            <w:shd w:val="clear" w:fill="00C0AE"/>
            <w:tcW w:w="2583" w:type="dxa"/>
            <w:vAlign w:val="top"/>
            <w:tcBorders>
              <w:left w:val="single" w:color="FFFFFF" w:sz="6" w:space="0"/>
            </w:tcBorders>
          </w:tcPr>
          <w:p>
            <w:pPr>
              <w:spacing w:line="320" w:lineRule="auto"/>
              <w:rPr>
                <w:rFonts w:ascii="Arial"/>
                <w:sz w:val="21"/>
              </w:rPr>
            </w:pPr>
            <w:r/>
          </w:p>
          <w:p>
            <w:pPr>
              <w:pStyle w:val="TableText"/>
              <w:ind w:left="182"/>
              <w:spacing w:before="94" w:line="177" w:lineRule="auto"/>
              <w:rPr/>
            </w:pPr>
            <w:r>
              <w:rPr>
                <w:b/>
                <w:bCs/>
                <w:color w:val="FFFFFF"/>
                <w:spacing w:val="-3"/>
              </w:rPr>
              <w:t>储能配置时长（小时）</w:t>
            </w:r>
          </w:p>
        </w:tc>
      </w:tr>
      <w:tr>
        <w:trPr>
          <w:trHeight w:val="532" w:hRule="atLeast"/>
        </w:trPr>
        <w:tc>
          <w:tcPr>
            <w:tcW w:w="2324" w:type="dxa"/>
            <w:vAlign w:val="top"/>
          </w:tcPr>
          <w:p>
            <w:pPr>
              <w:pStyle w:val="TableText"/>
              <w:ind w:left="954"/>
              <w:spacing w:before="161" w:line="178" w:lineRule="auto"/>
              <w:rPr>
                <w:sz w:val="21"/>
                <w:szCs w:val="21"/>
              </w:rPr>
            </w:pPr>
            <w:r>
              <w:rPr>
                <w:sz w:val="21"/>
                <w:szCs w:val="21"/>
                <w:b/>
                <w:bCs/>
                <w:color w:val="00C0AE"/>
                <w:spacing w:val="-2"/>
              </w:rPr>
              <w:t>天津</w:t>
            </w:r>
          </w:p>
        </w:tc>
        <w:tc>
          <w:tcPr>
            <w:tcW w:w="3088" w:type="dxa"/>
            <w:vAlign w:val="top"/>
          </w:tcPr>
          <w:p>
            <w:pPr>
              <w:pStyle w:val="TableText"/>
              <w:ind w:left="981"/>
              <w:spacing w:before="182" w:line="171" w:lineRule="auto"/>
              <w:rPr>
                <w:sz w:val="21"/>
                <w:szCs w:val="21"/>
              </w:rPr>
            </w:pPr>
            <w:r>
              <w:rPr>
                <w:sz w:val="21"/>
                <w:szCs w:val="21"/>
                <w:spacing w:val="-9"/>
              </w:rPr>
              <w:t>15%</w:t>
            </w:r>
          </w:p>
        </w:tc>
        <w:tc>
          <w:tcPr>
            <w:tcW w:w="1622" w:type="dxa"/>
            <w:vAlign w:val="top"/>
          </w:tcPr>
          <w:p>
            <w:pPr>
              <w:pStyle w:val="TableText"/>
              <w:ind w:left="248"/>
              <w:spacing w:before="182" w:line="171" w:lineRule="auto"/>
              <w:rPr>
                <w:sz w:val="21"/>
                <w:szCs w:val="21"/>
              </w:rPr>
            </w:pPr>
            <w:r>
              <w:rPr>
                <w:sz w:val="21"/>
                <w:szCs w:val="21"/>
                <w:spacing w:val="-9"/>
              </w:rPr>
              <w:t>10%</w:t>
            </w:r>
          </w:p>
        </w:tc>
        <w:tc>
          <w:tcPr>
            <w:tcW w:w="2583" w:type="dxa"/>
            <w:vAlign w:val="top"/>
          </w:tcPr>
          <w:p>
            <w:pPr>
              <w:pStyle w:val="TableText"/>
              <w:ind w:left="1266"/>
              <w:spacing w:before="275" w:line="167" w:lineRule="exact"/>
              <w:rPr>
                <w:sz w:val="21"/>
                <w:szCs w:val="21"/>
              </w:rPr>
            </w:pPr>
            <w:r>
              <w:rPr>
                <w:sz w:val="21"/>
                <w:szCs w:val="21"/>
                <w:position w:val="-1"/>
              </w:rPr>
              <w:t>-</w:t>
            </w:r>
          </w:p>
        </w:tc>
      </w:tr>
      <w:tr>
        <w:trPr>
          <w:trHeight w:val="532" w:hRule="atLeast"/>
        </w:trPr>
        <w:tc>
          <w:tcPr>
            <w:shd w:val="clear" w:fill="F1F1F1"/>
            <w:tcW w:w="2324" w:type="dxa"/>
            <w:vAlign w:val="top"/>
          </w:tcPr>
          <w:p>
            <w:pPr>
              <w:pStyle w:val="TableText"/>
              <w:ind w:left="955"/>
              <w:spacing w:before="161" w:line="179" w:lineRule="auto"/>
              <w:rPr>
                <w:sz w:val="21"/>
                <w:szCs w:val="21"/>
              </w:rPr>
            </w:pPr>
            <w:r>
              <w:rPr>
                <w:sz w:val="21"/>
                <w:szCs w:val="21"/>
                <w:b/>
                <w:bCs/>
                <w:color w:val="00C0AE"/>
                <w:spacing w:val="-2"/>
              </w:rPr>
              <w:t>湖南</w:t>
            </w:r>
          </w:p>
        </w:tc>
        <w:tc>
          <w:tcPr>
            <w:tcW w:w="3088" w:type="dxa"/>
            <w:vAlign w:val="top"/>
          </w:tcPr>
          <w:p>
            <w:pPr>
              <w:pStyle w:val="TableText"/>
              <w:spacing w:before="3" w:line="518" w:lineRule="exact"/>
              <w:rPr/>
            </w:pPr>
            <w:r>
              <w:rPr>
                <w:position w:val="-11"/>
              </w:rPr>
              <w:pict>
                <v:shape id="_x0000_s728" style="mso-position-vertical-relative:line;mso-position-horizontal-relative:char;width:117.8pt;height:26.65pt;" fillcolor="#F1F1F1" filled="true" stroked="false" type="#_x0000_t202">
                  <v:fill on="true"/>
                  <v:stroke on="false"/>
                  <v:path/>
                  <v:imagedata o:title=""/>
                  <o:lock v:ext="edit" aspectratio="false"/>
                  <v:textbox inset="0mm,0mm,0mm,0mm">
                    <w:txbxContent>
                      <w:p>
                        <w:pPr>
                          <w:ind w:left="982"/>
                          <w:spacing w:before="179" w:line="17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9"/>
                          </w:rPr>
                          <w:t>15%</w:t>
                        </w:r>
                      </w:p>
                    </w:txbxContent>
                  </v:textbox>
                </v:shape>
              </w:pict>
            </w:r>
          </w:p>
        </w:tc>
        <w:tc>
          <w:tcPr>
            <w:tcW w:w="1622" w:type="dxa"/>
            <w:vAlign w:val="top"/>
          </w:tcPr>
          <w:p>
            <w:pPr>
              <w:pStyle w:val="TableText"/>
              <w:ind w:left="294"/>
              <w:spacing w:before="182" w:line="171" w:lineRule="auto"/>
              <w:rPr>
                <w:sz w:val="21"/>
                <w:szCs w:val="21"/>
              </w:rPr>
            </w:pPr>
            <w:r>
              <mc:AlternateContent xmlns:mc="http://schemas.openxmlformats.org/markup-compatibility/2006">
                <mc:Choice Requires="wps">
                  <w:drawing>
                    <wp:anchor distT="0" distB="0" distL="0" distR="0" simplePos="0" relativeHeight="252328960" behindDoc="1" locked="0" layoutInCell="1" allowOverlap="1">
                      <wp:simplePos x="0" y="0"/>
                      <wp:positionH relativeFrom="column">
                        <wp:posOffset>-465425</wp:posOffset>
                      </wp:positionH>
                      <wp:positionV relativeFrom="paragraph">
                        <wp:posOffset>2138</wp:posOffset>
                      </wp:positionV>
                      <wp:extent cx="1496060" cy="338454"/>
                      <wp:effectExtent l="0" t="0" r="0" b="0"/>
                      <wp:wrapNone/>
                      <wp:docPr id="424" name="Rect 424"/>
                      <wp:cNvGraphicFramePr/>
                      <a:graphic>
                        <a:graphicData uri="http://schemas.microsoft.com/office/word/2010/wordprocessingShape">
                          <wps:wsp>
                            <wps:cNvPr id="424" name="Rect 424"/>
                            <wps:cNvSpPr/>
                            <wps:spPr>
                              <a:xfrm>
                                <a:off x="-465425" y="2138"/>
                                <a:ext cx="1496060" cy="338454"/>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730" style="position:absolute;margin-left:-36.6476pt;margin-top:0.168389pt;mso-position-vertical-relative:text;mso-position-horizontal-relative:text;width:117.8pt;height:26.65pt;z-index:-250987520;" fillcolor="#F1F1F1" filled="true" stroked="false"/>
                  </w:pict>
                </mc:Fallback>
              </mc:AlternateContent>
            </w:r>
            <w:r>
              <w:rPr>
                <w:sz w:val="21"/>
                <w:szCs w:val="21"/>
                <w:spacing w:val="-4"/>
              </w:rPr>
              <w:t>5%</w:t>
            </w:r>
          </w:p>
        </w:tc>
        <w:tc>
          <w:tcPr>
            <w:shd w:val="clear" w:fill="F1F1F1"/>
            <w:tcW w:w="2583" w:type="dxa"/>
            <w:vAlign w:val="top"/>
          </w:tcPr>
          <w:p>
            <w:pPr>
              <w:pStyle w:val="TableText"/>
              <w:ind w:left="1241"/>
              <w:spacing w:before="183" w:line="171" w:lineRule="auto"/>
              <w:rPr>
                <w:sz w:val="21"/>
                <w:szCs w:val="21"/>
              </w:rPr>
            </w:pPr>
            <w:r>
              <w:rPr>
                <w:sz w:val="21"/>
                <w:szCs w:val="21"/>
              </w:rPr>
              <w:t>2</w:t>
            </w:r>
          </w:p>
        </w:tc>
      </w:tr>
      <w:tr>
        <w:trPr>
          <w:trHeight w:val="532" w:hRule="atLeast"/>
        </w:trPr>
        <w:tc>
          <w:tcPr>
            <w:tcW w:w="2324" w:type="dxa"/>
            <w:vAlign w:val="top"/>
          </w:tcPr>
          <w:p>
            <w:pPr>
              <w:pStyle w:val="TableText"/>
              <w:ind w:left="954"/>
              <w:spacing w:before="162" w:line="180" w:lineRule="auto"/>
              <w:rPr>
                <w:sz w:val="21"/>
                <w:szCs w:val="21"/>
              </w:rPr>
            </w:pPr>
            <w:r>
              <w:rPr>
                <w:sz w:val="21"/>
                <w:szCs w:val="21"/>
                <w:b/>
                <w:bCs/>
                <w:color w:val="00C0AE"/>
                <w:spacing w:val="-1"/>
              </w:rPr>
              <w:t>广西</w:t>
            </w:r>
          </w:p>
        </w:tc>
        <w:tc>
          <w:tcPr>
            <w:tcW w:w="3088" w:type="dxa"/>
            <w:vAlign w:val="top"/>
          </w:tcPr>
          <w:p>
            <w:pPr>
              <w:pStyle w:val="TableText"/>
              <w:ind w:left="971"/>
              <w:spacing w:before="183" w:line="171" w:lineRule="auto"/>
              <w:rPr>
                <w:sz w:val="21"/>
                <w:szCs w:val="21"/>
              </w:rPr>
            </w:pPr>
            <w:r>
              <w:rPr>
                <w:sz w:val="21"/>
                <w:szCs w:val="21"/>
                <w:spacing w:val="-6"/>
              </w:rPr>
              <w:t>20%</w:t>
            </w:r>
          </w:p>
        </w:tc>
        <w:tc>
          <w:tcPr>
            <w:tcW w:w="1622" w:type="dxa"/>
            <w:vAlign w:val="top"/>
          </w:tcPr>
          <w:p>
            <w:pPr>
              <w:pStyle w:val="TableText"/>
              <w:ind w:left="249"/>
              <w:spacing w:before="183" w:line="171" w:lineRule="auto"/>
              <w:rPr>
                <w:sz w:val="21"/>
                <w:szCs w:val="21"/>
              </w:rPr>
            </w:pPr>
            <w:r>
              <w:rPr>
                <w:sz w:val="21"/>
                <w:szCs w:val="21"/>
                <w:spacing w:val="-9"/>
              </w:rPr>
              <w:t>15%</w:t>
            </w:r>
          </w:p>
        </w:tc>
        <w:tc>
          <w:tcPr>
            <w:tcW w:w="2583" w:type="dxa"/>
            <w:vAlign w:val="top"/>
          </w:tcPr>
          <w:p>
            <w:pPr>
              <w:pStyle w:val="TableText"/>
              <w:ind w:left="1241"/>
              <w:spacing w:before="184" w:line="171" w:lineRule="auto"/>
              <w:rPr>
                <w:sz w:val="21"/>
                <w:szCs w:val="21"/>
              </w:rPr>
            </w:pPr>
            <w:r>
              <w:rPr>
                <w:sz w:val="21"/>
                <w:szCs w:val="21"/>
              </w:rPr>
              <w:t>2</w:t>
            </w:r>
          </w:p>
        </w:tc>
      </w:tr>
      <w:tr>
        <w:trPr>
          <w:trHeight w:val="532" w:hRule="atLeast"/>
        </w:trPr>
        <w:tc>
          <w:tcPr>
            <w:shd w:val="clear" w:fill="F1F1F1"/>
            <w:tcW w:w="2324" w:type="dxa"/>
            <w:vAlign w:val="top"/>
          </w:tcPr>
          <w:p>
            <w:pPr>
              <w:pStyle w:val="TableText"/>
              <w:ind w:left="951"/>
              <w:spacing w:before="164" w:line="178" w:lineRule="auto"/>
              <w:rPr>
                <w:sz w:val="21"/>
                <w:szCs w:val="21"/>
              </w:rPr>
            </w:pPr>
            <w:r>
              <w:rPr>
                <w:sz w:val="21"/>
                <w:szCs w:val="21"/>
                <w:b/>
                <w:bCs/>
                <w:color w:val="00C0AE"/>
                <w:spacing w:val="-1"/>
              </w:rPr>
              <w:t>福建</w:t>
            </w:r>
          </w:p>
        </w:tc>
        <w:tc>
          <w:tcPr>
            <w:tcW w:w="3088" w:type="dxa"/>
            <w:vAlign w:val="top"/>
          </w:tcPr>
          <w:p>
            <w:pPr>
              <w:pStyle w:val="TableText"/>
              <w:spacing w:before="5" w:line="516" w:lineRule="exact"/>
              <w:rPr/>
            </w:pPr>
            <w:r>
              <w:rPr>
                <w:position w:val="-11"/>
              </w:rPr>
              <w:pict>
                <v:shape id="_x0000_s732" style="mso-position-vertical-relative:line;mso-position-horizontal-relative:char;width:117.8pt;height:26.65pt;" fillcolor="#F1F1F1" filled="true" stroked="false" type="#_x0000_t202">
                  <v:fill on="true"/>
                  <v:stroke on="false"/>
                  <v:path/>
                  <v:imagedata o:title=""/>
                  <o:lock v:ext="edit" aspectratio="false"/>
                  <v:textbox inset="0mm,0mm,0mm,0mm">
                    <w:txbxContent>
                      <w:p>
                        <w:pPr>
                          <w:ind w:left="1150"/>
                          <w:spacing w:before="272" w:line="16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position w:val="-1"/>
                          </w:rPr>
                          <w:t>-</w:t>
                        </w:r>
                      </w:p>
                    </w:txbxContent>
                  </v:textbox>
                </v:shape>
              </w:pict>
            </w:r>
          </w:p>
        </w:tc>
        <w:tc>
          <w:tcPr>
            <w:tcW w:w="1622" w:type="dxa"/>
            <w:vAlign w:val="top"/>
          </w:tcPr>
          <w:p>
            <w:pPr>
              <w:pStyle w:val="TableText"/>
              <w:ind w:left="249"/>
              <w:spacing w:before="184" w:line="171" w:lineRule="auto"/>
              <w:rPr>
                <w:sz w:val="21"/>
                <w:szCs w:val="21"/>
              </w:rPr>
            </w:pPr>
            <w:r>
              <mc:AlternateContent xmlns:mc="http://schemas.openxmlformats.org/markup-compatibility/2006">
                <mc:Choice Requires="wps">
                  <w:drawing>
                    <wp:anchor distT="0" distB="0" distL="0" distR="0" simplePos="0" relativeHeight="252326912" behindDoc="1" locked="0" layoutInCell="1" allowOverlap="1">
                      <wp:simplePos x="0" y="0"/>
                      <wp:positionH relativeFrom="column">
                        <wp:posOffset>-465425</wp:posOffset>
                      </wp:positionH>
                      <wp:positionV relativeFrom="paragraph">
                        <wp:posOffset>3347</wp:posOffset>
                      </wp:positionV>
                      <wp:extent cx="1496060" cy="338454"/>
                      <wp:effectExtent l="0" t="0" r="0" b="0"/>
                      <wp:wrapNone/>
                      <wp:docPr id="426" name="Rect 426"/>
                      <wp:cNvGraphicFramePr/>
                      <a:graphic>
                        <a:graphicData uri="http://schemas.microsoft.com/office/word/2010/wordprocessingShape">
                          <wps:wsp>
                            <wps:cNvPr id="426" name="Rect 426"/>
                            <wps:cNvSpPr/>
                            <wps:spPr>
                              <a:xfrm>
                                <a:off x="-465425" y="3347"/>
                                <a:ext cx="1496060" cy="338454"/>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734" style="position:absolute;margin-left:-36.6476pt;margin-top:0.263604pt;mso-position-vertical-relative:text;mso-position-horizontal-relative:text;width:117.8pt;height:26.65pt;z-index:-250989568;" fillcolor="#F1F1F1" filled="true" stroked="false"/>
                  </w:pict>
                </mc:Fallback>
              </mc:AlternateContent>
            </w:r>
            <w:r>
              <w:rPr>
                <w:sz w:val="21"/>
                <w:szCs w:val="21"/>
                <w:spacing w:val="-9"/>
              </w:rPr>
              <w:t>10%</w:t>
            </w:r>
          </w:p>
        </w:tc>
        <w:tc>
          <w:tcPr>
            <w:shd w:val="clear" w:fill="F1F1F1"/>
            <w:tcW w:w="2583" w:type="dxa"/>
            <w:vAlign w:val="top"/>
          </w:tcPr>
          <w:p>
            <w:pPr>
              <w:pStyle w:val="TableText"/>
              <w:ind w:left="1266"/>
              <w:spacing w:before="277" w:line="168" w:lineRule="exact"/>
              <w:rPr>
                <w:sz w:val="21"/>
                <w:szCs w:val="21"/>
              </w:rPr>
            </w:pPr>
            <w:r>
              <w:rPr>
                <w:sz w:val="21"/>
                <w:szCs w:val="21"/>
                <w:position w:val="-1"/>
              </w:rPr>
              <w:t>-</w:t>
            </w:r>
          </w:p>
        </w:tc>
      </w:tr>
      <w:tr>
        <w:trPr>
          <w:trHeight w:val="531" w:hRule="atLeast"/>
        </w:trPr>
        <w:tc>
          <w:tcPr>
            <w:tcW w:w="2324" w:type="dxa"/>
            <w:vAlign w:val="top"/>
          </w:tcPr>
          <w:p>
            <w:pPr>
              <w:pStyle w:val="TableText"/>
              <w:ind w:left="956"/>
              <w:spacing w:before="164" w:line="179" w:lineRule="auto"/>
              <w:rPr>
                <w:sz w:val="21"/>
                <w:szCs w:val="21"/>
              </w:rPr>
            </w:pPr>
            <w:r>
              <w:rPr>
                <w:sz w:val="21"/>
                <w:szCs w:val="21"/>
                <w:b/>
                <w:bCs/>
                <w:color w:val="00C0AE"/>
                <w:spacing w:val="-2"/>
              </w:rPr>
              <w:t>海南</w:t>
            </w:r>
          </w:p>
        </w:tc>
        <w:tc>
          <w:tcPr>
            <w:tcW w:w="3088" w:type="dxa"/>
            <w:vAlign w:val="top"/>
          </w:tcPr>
          <w:p>
            <w:pPr>
              <w:pStyle w:val="TableText"/>
              <w:ind w:left="1150"/>
              <w:spacing w:before="278" w:line="167" w:lineRule="exact"/>
              <w:rPr>
                <w:sz w:val="21"/>
                <w:szCs w:val="21"/>
              </w:rPr>
            </w:pPr>
            <w:r>
              <w:rPr>
                <w:sz w:val="21"/>
                <w:szCs w:val="21"/>
                <w:position w:val="-1"/>
              </w:rPr>
              <w:t>-</w:t>
            </w:r>
          </w:p>
        </w:tc>
        <w:tc>
          <w:tcPr>
            <w:tcW w:w="1622" w:type="dxa"/>
            <w:vAlign w:val="top"/>
          </w:tcPr>
          <w:p>
            <w:pPr>
              <w:pStyle w:val="TableText"/>
              <w:ind w:left="249"/>
              <w:spacing w:before="185" w:line="171" w:lineRule="auto"/>
              <w:rPr>
                <w:sz w:val="21"/>
                <w:szCs w:val="21"/>
              </w:rPr>
            </w:pPr>
            <w:r>
              <w:rPr>
                <w:sz w:val="21"/>
                <w:szCs w:val="21"/>
                <w:spacing w:val="-9"/>
              </w:rPr>
              <w:t>10%</w:t>
            </w:r>
          </w:p>
        </w:tc>
        <w:tc>
          <w:tcPr>
            <w:tcW w:w="2583" w:type="dxa"/>
            <w:vAlign w:val="top"/>
          </w:tcPr>
          <w:p>
            <w:pPr>
              <w:pStyle w:val="TableText"/>
              <w:ind w:left="1251"/>
              <w:spacing w:before="188" w:line="169" w:lineRule="auto"/>
              <w:rPr>
                <w:sz w:val="21"/>
                <w:szCs w:val="21"/>
              </w:rPr>
            </w:pPr>
            <w:r>
              <w:rPr>
                <w:sz w:val="21"/>
                <w:szCs w:val="21"/>
              </w:rPr>
              <w:t>1</w:t>
            </w:r>
          </w:p>
        </w:tc>
      </w:tr>
      <w:tr>
        <w:trPr>
          <w:trHeight w:val="532" w:hRule="atLeast"/>
        </w:trPr>
        <w:tc>
          <w:tcPr>
            <w:shd w:val="clear" w:fill="F1F1F1"/>
            <w:tcW w:w="2324" w:type="dxa"/>
            <w:vAlign w:val="top"/>
          </w:tcPr>
          <w:p>
            <w:pPr>
              <w:pStyle w:val="TableText"/>
              <w:ind w:left="955"/>
              <w:spacing w:before="169" w:line="177" w:lineRule="auto"/>
              <w:rPr>
                <w:sz w:val="21"/>
                <w:szCs w:val="21"/>
              </w:rPr>
            </w:pPr>
            <w:r>
              <w:rPr>
                <w:sz w:val="21"/>
                <w:szCs w:val="21"/>
                <w:b/>
                <w:bCs/>
                <w:color w:val="00C0AE"/>
                <w:spacing w:val="-2"/>
              </w:rPr>
              <w:t>湖北</w:t>
            </w:r>
          </w:p>
        </w:tc>
        <w:tc>
          <w:tcPr>
            <w:tcW w:w="3088" w:type="dxa"/>
            <w:vAlign w:val="top"/>
          </w:tcPr>
          <w:p>
            <w:pPr>
              <w:pStyle w:val="TableText"/>
              <w:spacing w:before="8" w:line="513" w:lineRule="exact"/>
              <w:rPr/>
            </w:pPr>
            <w:r>
              <w:rPr>
                <w:position w:val="-12"/>
              </w:rPr>
              <w:pict>
                <v:shape id="_x0000_s736" style="mso-position-vertical-relative:line;mso-position-horizontal-relative:char;width:117.8pt;height:26.65pt;" fillcolor="#F1F1F1" filled="true" stroked="false" type="#_x0000_t202">
                  <v:fill on="true"/>
                  <v:stroke on="false"/>
                  <v:path/>
                  <v:imagedata o:title=""/>
                  <o:lock v:ext="edit" aspectratio="false"/>
                  <v:textbox inset="0mm,0mm,0mm,0mm">
                    <w:txbxContent>
                      <w:p>
                        <w:pPr>
                          <w:ind w:left="982"/>
                          <w:spacing w:before="179" w:line="17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9"/>
                          </w:rPr>
                          <w:t>10%</w:t>
                        </w:r>
                      </w:p>
                    </w:txbxContent>
                  </v:textbox>
                </v:shape>
              </w:pict>
            </w:r>
          </w:p>
        </w:tc>
        <w:tc>
          <w:tcPr>
            <w:tcW w:w="1622" w:type="dxa"/>
            <w:vAlign w:val="top"/>
          </w:tcPr>
          <w:p>
            <w:pPr>
              <w:pStyle w:val="TableText"/>
              <w:ind w:left="249"/>
              <w:spacing w:before="187" w:line="171" w:lineRule="auto"/>
              <w:rPr>
                <w:sz w:val="21"/>
                <w:szCs w:val="21"/>
              </w:rPr>
            </w:pPr>
            <w:r>
              <mc:AlternateContent xmlns:mc="http://schemas.openxmlformats.org/markup-compatibility/2006">
                <mc:Choice Requires="wps">
                  <w:drawing>
                    <wp:anchor distT="0" distB="0" distL="0" distR="0" simplePos="0" relativeHeight="252319744" behindDoc="1" locked="0" layoutInCell="1" allowOverlap="1">
                      <wp:simplePos x="0" y="0"/>
                      <wp:positionH relativeFrom="column">
                        <wp:posOffset>-465425</wp:posOffset>
                      </wp:positionH>
                      <wp:positionV relativeFrom="paragraph">
                        <wp:posOffset>5125</wp:posOffset>
                      </wp:positionV>
                      <wp:extent cx="1496060" cy="338454"/>
                      <wp:effectExtent l="0" t="0" r="0" b="0"/>
                      <wp:wrapNone/>
                      <wp:docPr id="428" name="Rect 428"/>
                      <wp:cNvGraphicFramePr/>
                      <a:graphic>
                        <a:graphicData uri="http://schemas.microsoft.com/office/word/2010/wordprocessingShape">
                          <wps:wsp>
                            <wps:cNvPr id="428" name="Rect 428"/>
                            <wps:cNvSpPr/>
                            <wps:spPr>
                              <a:xfrm>
                                <a:off x="-465425" y="5125"/>
                                <a:ext cx="1496060" cy="338454"/>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738" style="position:absolute;margin-left:-36.6476pt;margin-top:0.403619pt;mso-position-vertical-relative:text;mso-position-horizontal-relative:text;width:117.8pt;height:26.65pt;z-index:-250996736;" fillcolor="#F1F1F1" filled="true" stroked="false"/>
                  </w:pict>
                </mc:Fallback>
              </mc:AlternateContent>
            </w:r>
            <w:r>
              <w:rPr>
                <w:sz w:val="21"/>
                <w:szCs w:val="21"/>
                <w:spacing w:val="-9"/>
              </w:rPr>
              <w:t>10%</w:t>
            </w:r>
          </w:p>
        </w:tc>
        <w:tc>
          <w:tcPr>
            <w:shd w:val="clear" w:fill="F1F1F1"/>
            <w:tcW w:w="2583" w:type="dxa"/>
            <w:vAlign w:val="top"/>
          </w:tcPr>
          <w:p>
            <w:pPr>
              <w:pStyle w:val="TableText"/>
              <w:ind w:left="1241"/>
              <w:spacing w:before="187" w:line="171" w:lineRule="auto"/>
              <w:rPr>
                <w:sz w:val="21"/>
                <w:szCs w:val="21"/>
              </w:rPr>
            </w:pPr>
            <w:r>
              <w:rPr>
                <w:sz w:val="21"/>
                <w:szCs w:val="21"/>
              </w:rPr>
              <w:t>2</w:t>
            </w:r>
          </w:p>
        </w:tc>
      </w:tr>
      <w:tr>
        <w:trPr>
          <w:trHeight w:val="531" w:hRule="atLeast"/>
        </w:trPr>
        <w:tc>
          <w:tcPr>
            <w:tcW w:w="2324" w:type="dxa"/>
            <w:vAlign w:val="top"/>
          </w:tcPr>
          <w:p>
            <w:pPr>
              <w:pStyle w:val="TableText"/>
              <w:ind w:left="968"/>
              <w:spacing w:before="165" w:line="180" w:lineRule="auto"/>
              <w:rPr>
                <w:sz w:val="21"/>
                <w:szCs w:val="21"/>
              </w:rPr>
            </w:pPr>
            <w:r>
              <w:rPr>
                <w:sz w:val="21"/>
                <w:szCs w:val="21"/>
                <w:b/>
                <w:bCs/>
                <w:color w:val="00C0AE"/>
                <w:spacing w:val="-5"/>
              </w:rPr>
              <w:t>山东</w:t>
            </w:r>
          </w:p>
        </w:tc>
        <w:tc>
          <w:tcPr>
            <w:tcW w:w="3088" w:type="dxa"/>
            <w:vAlign w:val="top"/>
          </w:tcPr>
          <w:p>
            <w:pPr>
              <w:pStyle w:val="TableText"/>
              <w:ind w:left="982"/>
              <w:spacing w:before="188" w:line="171" w:lineRule="auto"/>
              <w:rPr>
                <w:sz w:val="21"/>
                <w:szCs w:val="21"/>
              </w:rPr>
            </w:pPr>
            <w:r>
              <w:rPr>
                <w:sz w:val="21"/>
                <w:szCs w:val="21"/>
                <w:spacing w:val="-9"/>
              </w:rPr>
              <w:t>10%</w:t>
            </w:r>
          </w:p>
        </w:tc>
        <w:tc>
          <w:tcPr>
            <w:tcW w:w="1622" w:type="dxa"/>
            <w:vAlign w:val="top"/>
          </w:tcPr>
          <w:p>
            <w:pPr>
              <w:pStyle w:val="TableText"/>
              <w:ind w:left="249"/>
              <w:spacing w:before="188" w:line="171" w:lineRule="auto"/>
              <w:rPr>
                <w:sz w:val="21"/>
                <w:szCs w:val="21"/>
              </w:rPr>
            </w:pPr>
            <w:r>
              <w:rPr>
                <w:sz w:val="21"/>
                <w:szCs w:val="21"/>
                <w:spacing w:val="-9"/>
              </w:rPr>
              <w:t>10%</w:t>
            </w:r>
          </w:p>
        </w:tc>
        <w:tc>
          <w:tcPr>
            <w:tcW w:w="2583" w:type="dxa"/>
            <w:vAlign w:val="top"/>
          </w:tcPr>
          <w:p>
            <w:pPr>
              <w:pStyle w:val="TableText"/>
              <w:ind w:left="1241"/>
              <w:spacing w:before="188" w:line="171" w:lineRule="auto"/>
              <w:rPr>
                <w:sz w:val="21"/>
                <w:szCs w:val="21"/>
              </w:rPr>
            </w:pPr>
            <w:r>
              <w:rPr>
                <w:sz w:val="21"/>
                <w:szCs w:val="21"/>
              </w:rPr>
              <w:t>2</w:t>
            </w:r>
          </w:p>
        </w:tc>
      </w:tr>
      <w:tr>
        <w:trPr>
          <w:trHeight w:val="531" w:hRule="atLeast"/>
        </w:trPr>
        <w:tc>
          <w:tcPr>
            <w:shd w:val="clear" w:fill="F1F1F1"/>
            <w:tcW w:w="2324" w:type="dxa"/>
            <w:vAlign w:val="top"/>
          </w:tcPr>
          <w:p>
            <w:pPr>
              <w:pStyle w:val="TableText"/>
              <w:ind w:left="960"/>
              <w:spacing w:before="168" w:line="180" w:lineRule="auto"/>
              <w:rPr>
                <w:sz w:val="21"/>
                <w:szCs w:val="21"/>
              </w:rPr>
            </w:pPr>
            <w:r>
              <w:rPr>
                <w:sz w:val="21"/>
                <w:szCs w:val="21"/>
                <w:b/>
                <w:bCs/>
                <w:color w:val="00C0AE"/>
                <w:spacing w:val="-3"/>
              </w:rPr>
              <w:t>青海</w:t>
            </w:r>
          </w:p>
        </w:tc>
        <w:tc>
          <w:tcPr>
            <w:tcW w:w="3088" w:type="dxa"/>
            <w:vAlign w:val="top"/>
          </w:tcPr>
          <w:p>
            <w:pPr>
              <w:pStyle w:val="TableText"/>
              <w:spacing w:before="11" w:line="509" w:lineRule="exact"/>
              <w:rPr/>
            </w:pPr>
            <w:r>
              <w:rPr>
                <w:position w:val="-12"/>
              </w:rPr>
              <w:pict>
                <v:shape id="_x0000_s740" style="mso-position-vertical-relative:line;mso-position-horizontal-relative:char;width:117.8pt;height:26.65pt;" fillcolor="#F1F1F1" filled="true" stroked="false" type="#_x0000_t202">
                  <v:fill on="true"/>
                  <v:stroke on="false"/>
                  <v:path/>
                  <v:imagedata o:title=""/>
                  <o:lock v:ext="edit" aspectratio="false"/>
                  <v:textbox inset="0mm,0mm,0mm,0mm">
                    <w:txbxContent>
                      <w:p>
                        <w:pPr>
                          <w:ind w:left="982"/>
                          <w:spacing w:before="179" w:line="17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9"/>
                          </w:rPr>
                          <w:t>10%</w:t>
                        </w:r>
                      </w:p>
                    </w:txbxContent>
                  </v:textbox>
                </v:shape>
              </w:pict>
            </w:r>
          </w:p>
        </w:tc>
        <w:tc>
          <w:tcPr>
            <w:tcW w:w="1622" w:type="dxa"/>
            <w:vAlign w:val="top"/>
          </w:tcPr>
          <w:p>
            <w:pPr>
              <w:pStyle w:val="TableText"/>
              <w:ind w:left="249"/>
              <w:spacing w:before="190" w:line="171" w:lineRule="auto"/>
              <w:rPr>
                <w:sz w:val="21"/>
                <w:szCs w:val="21"/>
              </w:rPr>
            </w:pPr>
            <w:r>
              <mc:AlternateContent xmlns:mc="http://schemas.openxmlformats.org/markup-compatibility/2006">
                <mc:Choice Requires="wps">
                  <w:drawing>
                    <wp:anchor distT="0" distB="0" distL="0" distR="0" simplePos="0" relativeHeight="252324864" behindDoc="1" locked="0" layoutInCell="1" allowOverlap="1">
                      <wp:simplePos x="0" y="0"/>
                      <wp:positionH relativeFrom="column">
                        <wp:posOffset>-465425</wp:posOffset>
                      </wp:positionH>
                      <wp:positionV relativeFrom="paragraph">
                        <wp:posOffset>6904</wp:posOffset>
                      </wp:positionV>
                      <wp:extent cx="1496060" cy="338454"/>
                      <wp:effectExtent l="0" t="0" r="0" b="0"/>
                      <wp:wrapNone/>
                      <wp:docPr id="430" name="Rect 430"/>
                      <wp:cNvGraphicFramePr/>
                      <a:graphic>
                        <a:graphicData uri="http://schemas.microsoft.com/office/word/2010/wordprocessingShape">
                          <wps:wsp>
                            <wps:cNvPr id="430" name="Rect 430"/>
                            <wps:cNvSpPr/>
                            <wps:spPr>
                              <a:xfrm>
                                <a:off x="-465425" y="6904"/>
                                <a:ext cx="1496060" cy="338454"/>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742" style="position:absolute;margin-left:-36.6476pt;margin-top:0.543695pt;mso-position-vertical-relative:text;mso-position-horizontal-relative:text;width:117.8pt;height:26.65pt;z-index:-250991616;" fillcolor="#F1F1F1" filled="true" stroked="false"/>
                  </w:pict>
                </mc:Fallback>
              </mc:AlternateContent>
            </w:r>
            <w:r>
              <w:rPr>
                <w:sz w:val="21"/>
                <w:szCs w:val="21"/>
                <w:spacing w:val="-9"/>
              </w:rPr>
              <w:t>10%</w:t>
            </w:r>
          </w:p>
        </w:tc>
        <w:tc>
          <w:tcPr>
            <w:shd w:val="clear" w:fill="F1F1F1"/>
            <w:tcW w:w="2583" w:type="dxa"/>
            <w:vAlign w:val="top"/>
          </w:tcPr>
          <w:p>
            <w:pPr>
              <w:pStyle w:val="TableText"/>
              <w:ind w:left="1241"/>
              <w:spacing w:before="190" w:line="171" w:lineRule="auto"/>
              <w:rPr>
                <w:sz w:val="21"/>
                <w:szCs w:val="21"/>
              </w:rPr>
            </w:pPr>
            <w:r>
              <w:rPr>
                <w:sz w:val="21"/>
                <w:szCs w:val="21"/>
              </w:rPr>
              <w:t>2</w:t>
            </w:r>
          </w:p>
        </w:tc>
      </w:tr>
      <w:tr>
        <w:trPr>
          <w:trHeight w:val="531" w:hRule="atLeast"/>
        </w:trPr>
        <w:tc>
          <w:tcPr>
            <w:tcW w:w="2324" w:type="dxa"/>
            <w:vAlign w:val="top"/>
          </w:tcPr>
          <w:p>
            <w:pPr>
              <w:pStyle w:val="TableText"/>
              <w:ind w:left="963"/>
              <w:spacing w:before="168" w:line="180" w:lineRule="auto"/>
              <w:rPr>
                <w:sz w:val="21"/>
                <w:szCs w:val="21"/>
              </w:rPr>
            </w:pPr>
            <w:r>
              <w:rPr>
                <w:sz w:val="21"/>
                <w:szCs w:val="21"/>
                <w:b/>
                <w:bCs/>
                <w:color w:val="00C0AE"/>
                <w:spacing w:val="-4"/>
              </w:rPr>
              <w:t>宁夏</w:t>
            </w:r>
          </w:p>
        </w:tc>
        <w:tc>
          <w:tcPr>
            <w:tcW w:w="3088" w:type="dxa"/>
            <w:vAlign w:val="top"/>
          </w:tcPr>
          <w:p>
            <w:pPr>
              <w:pStyle w:val="TableText"/>
              <w:ind w:left="982"/>
              <w:spacing w:before="192" w:line="171" w:lineRule="auto"/>
              <w:rPr>
                <w:sz w:val="21"/>
                <w:szCs w:val="21"/>
              </w:rPr>
            </w:pPr>
            <w:r>
              <w:rPr>
                <w:sz w:val="21"/>
                <w:szCs w:val="21"/>
                <w:spacing w:val="-9"/>
              </w:rPr>
              <w:t>10%</w:t>
            </w:r>
          </w:p>
        </w:tc>
        <w:tc>
          <w:tcPr>
            <w:tcW w:w="1622" w:type="dxa"/>
            <w:vAlign w:val="top"/>
          </w:tcPr>
          <w:p>
            <w:pPr>
              <w:pStyle w:val="TableText"/>
              <w:ind w:left="249"/>
              <w:spacing w:before="192" w:line="171" w:lineRule="auto"/>
              <w:rPr>
                <w:sz w:val="21"/>
                <w:szCs w:val="21"/>
              </w:rPr>
            </w:pPr>
            <w:r>
              <w:rPr>
                <w:sz w:val="21"/>
                <w:szCs w:val="21"/>
                <w:spacing w:val="-9"/>
              </w:rPr>
              <w:t>10%</w:t>
            </w:r>
          </w:p>
        </w:tc>
        <w:tc>
          <w:tcPr>
            <w:tcW w:w="2583" w:type="dxa"/>
            <w:vAlign w:val="top"/>
          </w:tcPr>
          <w:p>
            <w:pPr>
              <w:pStyle w:val="TableText"/>
              <w:ind w:left="1241"/>
              <w:spacing w:before="192" w:line="171" w:lineRule="auto"/>
              <w:rPr>
                <w:sz w:val="21"/>
                <w:szCs w:val="21"/>
              </w:rPr>
            </w:pPr>
            <w:r>
              <w:rPr>
                <w:sz w:val="21"/>
                <w:szCs w:val="21"/>
              </w:rPr>
              <w:t>2</w:t>
            </w:r>
          </w:p>
        </w:tc>
      </w:tr>
      <w:tr>
        <w:trPr>
          <w:trHeight w:val="531" w:hRule="atLeast"/>
        </w:trPr>
        <w:tc>
          <w:tcPr>
            <w:shd w:val="clear" w:fill="F1F1F1"/>
            <w:tcW w:w="2324" w:type="dxa"/>
            <w:vAlign w:val="top"/>
          </w:tcPr>
          <w:p>
            <w:pPr>
              <w:pStyle w:val="TableText"/>
              <w:ind w:left="958"/>
              <w:spacing w:before="173" w:line="178" w:lineRule="auto"/>
              <w:rPr>
                <w:sz w:val="21"/>
                <w:szCs w:val="21"/>
              </w:rPr>
            </w:pPr>
            <w:r>
              <w:rPr>
                <w:sz w:val="21"/>
                <w:szCs w:val="21"/>
                <w:b/>
                <w:bCs/>
                <w:color w:val="00C0AE"/>
                <w:spacing w:val="-2"/>
              </w:rPr>
              <w:t>上海</w:t>
            </w:r>
          </w:p>
        </w:tc>
        <w:tc>
          <w:tcPr>
            <w:tcW w:w="3088" w:type="dxa"/>
            <w:vAlign w:val="top"/>
          </w:tcPr>
          <w:p>
            <w:pPr>
              <w:pStyle w:val="TableText"/>
              <w:spacing w:before="14" w:line="506" w:lineRule="exact"/>
              <w:rPr/>
            </w:pPr>
            <w:r>
              <w:rPr>
                <w:position w:val="-12"/>
              </w:rPr>
              <w:pict>
                <v:shape id="_x0000_s744" style="mso-position-vertical-relative:line;mso-position-horizontal-relative:char;width:117.8pt;height:26.65pt;" fillcolor="#F1F1F1" filled="true" stroked="false" type="#_x0000_t202">
                  <v:fill on="true"/>
                  <v:stroke on="false"/>
                  <v:path/>
                  <v:imagedata o:title=""/>
                  <o:lock v:ext="edit" aspectratio="false"/>
                  <v:textbox inset="0mm,0mm,0mm,0mm">
                    <w:txbxContent>
                      <w:p>
                        <w:pPr>
                          <w:ind w:left="972"/>
                          <w:spacing w:before="179" w:line="17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6"/>
                          </w:rPr>
                          <w:t>20%</w:t>
                        </w:r>
                      </w:p>
                    </w:txbxContent>
                  </v:textbox>
                </v:shape>
              </w:pict>
            </w:r>
          </w:p>
        </w:tc>
        <w:tc>
          <w:tcPr>
            <w:tcW w:w="1622" w:type="dxa"/>
            <w:vAlign w:val="top"/>
          </w:tcPr>
          <w:p>
            <w:pPr>
              <w:pStyle w:val="TableText"/>
              <w:ind w:left="418"/>
              <w:spacing w:before="286" w:line="168" w:lineRule="exact"/>
              <w:rPr>
                <w:sz w:val="21"/>
                <w:szCs w:val="21"/>
              </w:rPr>
            </w:pPr>
            <w:r>
              <mc:AlternateContent xmlns:mc="http://schemas.openxmlformats.org/markup-compatibility/2006">
                <mc:Choice Requires="wps">
                  <w:drawing>
                    <wp:anchor distT="0" distB="0" distL="0" distR="0" simplePos="0" relativeHeight="252327936" behindDoc="1" locked="0" layoutInCell="1" allowOverlap="1">
                      <wp:simplePos x="0" y="0"/>
                      <wp:positionH relativeFrom="column">
                        <wp:posOffset>-465425</wp:posOffset>
                      </wp:positionH>
                      <wp:positionV relativeFrom="paragraph">
                        <wp:posOffset>9463</wp:posOffset>
                      </wp:positionV>
                      <wp:extent cx="1496060" cy="338454"/>
                      <wp:effectExtent l="0" t="0" r="0" b="0"/>
                      <wp:wrapNone/>
                      <wp:docPr id="432" name="Rect 432"/>
                      <wp:cNvGraphicFramePr/>
                      <a:graphic>
                        <a:graphicData uri="http://schemas.microsoft.com/office/word/2010/wordprocessingShape">
                          <wps:wsp>
                            <wps:cNvPr id="432" name="Rect 432"/>
                            <wps:cNvSpPr/>
                            <wps:spPr>
                              <a:xfrm>
                                <a:off x="-465425" y="9463"/>
                                <a:ext cx="1496060" cy="338454"/>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746" style="position:absolute;margin-left:-36.6476pt;margin-top:0.745148pt;mso-position-vertical-relative:text;mso-position-horizontal-relative:text;width:117.8pt;height:26.65pt;z-index:-250988544;" fillcolor="#F1F1F1" filled="true" stroked="false"/>
                  </w:pict>
                </mc:Fallback>
              </mc:AlternateContent>
            </w:r>
            <w:r>
              <w:rPr>
                <w:sz w:val="21"/>
                <w:szCs w:val="21"/>
                <w:position w:val="-1"/>
              </w:rPr>
              <w:t>-</w:t>
            </w:r>
          </w:p>
        </w:tc>
        <w:tc>
          <w:tcPr>
            <w:shd w:val="clear" w:fill="F1F1F1"/>
            <w:tcW w:w="2583" w:type="dxa"/>
            <w:vAlign w:val="top"/>
          </w:tcPr>
          <w:p>
            <w:pPr>
              <w:pStyle w:val="TableText"/>
              <w:ind w:left="1237"/>
              <w:spacing w:before="197" w:line="169" w:lineRule="auto"/>
              <w:rPr>
                <w:sz w:val="21"/>
                <w:szCs w:val="21"/>
              </w:rPr>
            </w:pPr>
            <w:r>
              <w:rPr>
                <w:sz w:val="21"/>
                <w:szCs w:val="21"/>
              </w:rPr>
              <w:t>4</w:t>
            </w:r>
          </w:p>
        </w:tc>
      </w:tr>
      <w:tr>
        <w:trPr>
          <w:trHeight w:val="532" w:hRule="atLeast"/>
        </w:trPr>
        <w:tc>
          <w:tcPr>
            <w:tcW w:w="2324" w:type="dxa"/>
            <w:vAlign w:val="top"/>
          </w:tcPr>
          <w:p>
            <w:pPr>
              <w:pStyle w:val="TableText"/>
              <w:ind w:left="956"/>
              <w:spacing w:before="177" w:line="176" w:lineRule="auto"/>
              <w:rPr>
                <w:sz w:val="21"/>
                <w:szCs w:val="21"/>
              </w:rPr>
            </w:pPr>
            <w:r>
              <w:rPr>
                <w:sz w:val="21"/>
                <w:szCs w:val="21"/>
                <w:b/>
                <w:bCs/>
                <w:color w:val="00C0AE"/>
                <w:spacing w:val="-2"/>
              </w:rPr>
              <w:t>江西</w:t>
            </w:r>
          </w:p>
        </w:tc>
        <w:tc>
          <w:tcPr>
            <w:tcW w:w="3088" w:type="dxa"/>
            <w:vAlign w:val="top"/>
          </w:tcPr>
          <w:p>
            <w:pPr>
              <w:pStyle w:val="TableText"/>
              <w:ind w:left="1150"/>
              <w:spacing w:before="288" w:line="168" w:lineRule="exact"/>
              <w:rPr>
                <w:sz w:val="21"/>
                <w:szCs w:val="21"/>
              </w:rPr>
            </w:pPr>
            <w:r>
              <w:rPr>
                <w:sz w:val="21"/>
                <w:szCs w:val="21"/>
                <w:position w:val="-1"/>
              </w:rPr>
              <w:t>-</w:t>
            </w:r>
          </w:p>
        </w:tc>
        <w:tc>
          <w:tcPr>
            <w:tcW w:w="1622" w:type="dxa"/>
            <w:vAlign w:val="top"/>
          </w:tcPr>
          <w:p>
            <w:pPr>
              <w:pStyle w:val="TableText"/>
              <w:ind w:left="249"/>
              <w:spacing w:before="195" w:line="171" w:lineRule="auto"/>
              <w:rPr>
                <w:sz w:val="21"/>
                <w:szCs w:val="21"/>
              </w:rPr>
            </w:pPr>
            <w:r>
              <w:rPr>
                <w:sz w:val="21"/>
                <w:szCs w:val="21"/>
                <w:spacing w:val="-9"/>
              </w:rPr>
              <w:t>10%</w:t>
            </w:r>
          </w:p>
        </w:tc>
        <w:tc>
          <w:tcPr>
            <w:tcW w:w="2583" w:type="dxa"/>
            <w:vAlign w:val="top"/>
          </w:tcPr>
          <w:p>
            <w:pPr>
              <w:pStyle w:val="TableText"/>
              <w:ind w:left="1251"/>
              <w:spacing w:before="198" w:line="169" w:lineRule="auto"/>
              <w:rPr>
                <w:sz w:val="21"/>
                <w:szCs w:val="21"/>
              </w:rPr>
            </w:pPr>
            <w:r>
              <w:rPr>
                <w:sz w:val="21"/>
                <w:szCs w:val="21"/>
              </w:rPr>
              <w:t>1</w:t>
            </w:r>
          </w:p>
        </w:tc>
      </w:tr>
      <w:tr>
        <w:trPr>
          <w:trHeight w:val="532" w:hRule="atLeast"/>
        </w:trPr>
        <w:tc>
          <w:tcPr>
            <w:shd w:val="clear" w:fill="F1F1F1"/>
            <w:tcW w:w="2324" w:type="dxa"/>
            <w:vAlign w:val="top"/>
          </w:tcPr>
          <w:p>
            <w:pPr>
              <w:pStyle w:val="TableText"/>
              <w:ind w:left="862"/>
              <w:spacing w:before="174" w:line="180" w:lineRule="auto"/>
              <w:rPr>
                <w:sz w:val="21"/>
                <w:szCs w:val="21"/>
              </w:rPr>
            </w:pPr>
            <w:r>
              <w:rPr>
                <w:sz w:val="21"/>
                <w:szCs w:val="21"/>
                <w:b/>
                <w:bCs/>
                <w:color w:val="00C0AE"/>
                <w:spacing w:val="-4"/>
              </w:rPr>
              <w:t>内蒙古</w:t>
            </w:r>
          </w:p>
        </w:tc>
        <w:tc>
          <w:tcPr>
            <w:tcW w:w="3088" w:type="dxa"/>
            <w:vAlign w:val="top"/>
          </w:tcPr>
          <w:p>
            <w:pPr>
              <w:pStyle w:val="TableText"/>
              <w:spacing w:before="17" w:line="505" w:lineRule="exact"/>
              <w:rPr/>
            </w:pPr>
            <w:r>
              <w:rPr>
                <w:position w:val="-12"/>
              </w:rPr>
              <w:pict>
                <v:shape id="_x0000_s748" style="mso-position-vertical-relative:line;mso-position-horizontal-relative:char;width:117.8pt;height:26.65pt;" fillcolor="#F1F1F1" filled="true" stroked="false" type="#_x0000_t202">
                  <v:fill on="true"/>
                  <v:stroke on="false"/>
                  <v:path/>
                  <v:imagedata o:title=""/>
                  <o:lock v:ext="edit" aspectratio="false"/>
                  <v:textbox inset="0mm,0mm,0mm,0mm">
                    <w:txbxContent>
                      <w:p>
                        <w:pPr>
                          <w:ind w:left="982"/>
                          <w:spacing w:before="178" w:line="17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9"/>
                          </w:rPr>
                          <w:t>15%</w:t>
                        </w:r>
                      </w:p>
                    </w:txbxContent>
                  </v:textbox>
                </v:shape>
              </w:pict>
            </w:r>
          </w:p>
        </w:tc>
        <w:tc>
          <w:tcPr>
            <w:tcW w:w="1622" w:type="dxa"/>
            <w:vAlign w:val="top"/>
          </w:tcPr>
          <w:p>
            <w:pPr>
              <w:pStyle w:val="TableText"/>
              <w:ind w:left="249"/>
              <w:spacing w:before="196" w:line="171" w:lineRule="auto"/>
              <w:rPr>
                <w:sz w:val="21"/>
                <w:szCs w:val="21"/>
              </w:rPr>
            </w:pPr>
            <w:r>
              <mc:AlternateContent xmlns:mc="http://schemas.openxmlformats.org/markup-compatibility/2006">
                <mc:Choice Requires="wps">
                  <w:drawing>
                    <wp:anchor distT="0" distB="0" distL="0" distR="0" simplePos="0" relativeHeight="252318720" behindDoc="1" locked="0" layoutInCell="1" allowOverlap="1">
                      <wp:simplePos x="0" y="0"/>
                      <wp:positionH relativeFrom="column">
                        <wp:posOffset>-465425</wp:posOffset>
                      </wp:positionH>
                      <wp:positionV relativeFrom="paragraph">
                        <wp:posOffset>11043</wp:posOffset>
                      </wp:positionV>
                      <wp:extent cx="1496060" cy="338454"/>
                      <wp:effectExtent l="0" t="0" r="0" b="0"/>
                      <wp:wrapNone/>
                      <wp:docPr id="434" name="Rect 434"/>
                      <wp:cNvGraphicFramePr/>
                      <a:graphic>
                        <a:graphicData uri="http://schemas.microsoft.com/office/word/2010/wordprocessingShape">
                          <wps:wsp>
                            <wps:cNvPr id="434" name="Rect 434"/>
                            <wps:cNvSpPr/>
                            <wps:spPr>
                              <a:xfrm>
                                <a:off x="-465425" y="11043"/>
                                <a:ext cx="1496060" cy="338454"/>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750" style="position:absolute;margin-left:-36.6476pt;margin-top:0.869592pt;mso-position-vertical-relative:text;mso-position-horizontal-relative:text;width:117.8pt;height:26.65pt;z-index:-250997760;" fillcolor="#F1F1F1" filled="true" stroked="false"/>
                  </w:pict>
                </mc:Fallback>
              </mc:AlternateContent>
            </w:r>
            <w:r>
              <w:rPr>
                <w:sz w:val="21"/>
                <w:szCs w:val="21"/>
                <w:spacing w:val="-9"/>
              </w:rPr>
              <w:t>15%</w:t>
            </w:r>
          </w:p>
        </w:tc>
        <w:tc>
          <w:tcPr>
            <w:shd w:val="clear" w:fill="F1F1F1"/>
            <w:tcW w:w="2583" w:type="dxa"/>
            <w:vAlign w:val="top"/>
          </w:tcPr>
          <w:p>
            <w:pPr>
              <w:pStyle w:val="TableText"/>
              <w:ind w:left="1078"/>
              <w:spacing w:before="177" w:line="176" w:lineRule="auto"/>
              <w:rPr>
                <w:sz w:val="21"/>
                <w:szCs w:val="21"/>
              </w:rPr>
            </w:pPr>
            <w:r>
              <w:rPr>
                <w:sz w:val="21"/>
                <w:szCs w:val="21"/>
                <w:spacing w:val="-6"/>
              </w:rPr>
              <w:t>2或4</w:t>
            </w:r>
          </w:p>
        </w:tc>
      </w:tr>
      <w:tr>
        <w:trPr>
          <w:trHeight w:val="532" w:hRule="atLeast"/>
        </w:trPr>
        <w:tc>
          <w:tcPr>
            <w:tcW w:w="2324" w:type="dxa"/>
            <w:vAlign w:val="top"/>
          </w:tcPr>
          <w:p>
            <w:pPr>
              <w:pStyle w:val="TableText"/>
              <w:ind w:left="954"/>
              <w:spacing w:before="173" w:line="182" w:lineRule="auto"/>
              <w:rPr>
                <w:sz w:val="21"/>
                <w:szCs w:val="21"/>
              </w:rPr>
            </w:pPr>
            <w:r>
              <w:rPr>
                <w:sz w:val="21"/>
                <w:szCs w:val="21"/>
                <w:b/>
                <w:bCs/>
                <w:color w:val="00C0AE"/>
                <w:spacing w:val="-1"/>
              </w:rPr>
              <w:t>辽宁</w:t>
            </w:r>
          </w:p>
        </w:tc>
        <w:tc>
          <w:tcPr>
            <w:tcW w:w="3088" w:type="dxa"/>
            <w:vAlign w:val="top"/>
          </w:tcPr>
          <w:p>
            <w:pPr>
              <w:pStyle w:val="TableText"/>
              <w:ind w:left="982"/>
              <w:spacing w:before="197" w:line="171" w:lineRule="auto"/>
              <w:rPr>
                <w:sz w:val="21"/>
                <w:szCs w:val="21"/>
              </w:rPr>
            </w:pPr>
            <w:r>
              <w:rPr>
                <w:sz w:val="21"/>
                <w:szCs w:val="21"/>
                <w:spacing w:val="-9"/>
              </w:rPr>
              <w:t>15%</w:t>
            </w:r>
          </w:p>
        </w:tc>
        <w:tc>
          <w:tcPr>
            <w:tcW w:w="1622" w:type="dxa"/>
            <w:vAlign w:val="top"/>
          </w:tcPr>
          <w:p>
            <w:pPr>
              <w:pStyle w:val="TableText"/>
              <w:ind w:left="249"/>
              <w:spacing w:before="197" w:line="171" w:lineRule="auto"/>
              <w:rPr>
                <w:sz w:val="21"/>
                <w:szCs w:val="21"/>
              </w:rPr>
            </w:pPr>
            <w:r>
              <w:rPr>
                <w:sz w:val="21"/>
                <w:szCs w:val="21"/>
                <w:spacing w:val="-9"/>
              </w:rPr>
              <w:t>10%</w:t>
            </w:r>
          </w:p>
        </w:tc>
        <w:tc>
          <w:tcPr>
            <w:tcW w:w="2583" w:type="dxa"/>
            <w:vAlign w:val="top"/>
          </w:tcPr>
          <w:p>
            <w:pPr>
              <w:pStyle w:val="TableText"/>
              <w:ind w:left="1239"/>
              <w:spacing w:before="197" w:line="171" w:lineRule="auto"/>
              <w:rPr>
                <w:sz w:val="21"/>
                <w:szCs w:val="21"/>
              </w:rPr>
            </w:pPr>
            <w:r>
              <w:rPr>
                <w:sz w:val="21"/>
                <w:szCs w:val="21"/>
              </w:rPr>
              <w:t>3</w:t>
            </w:r>
          </w:p>
        </w:tc>
      </w:tr>
      <w:tr>
        <w:trPr>
          <w:trHeight w:val="532" w:hRule="atLeast"/>
        </w:trPr>
        <w:tc>
          <w:tcPr>
            <w:shd w:val="clear" w:fill="F1F1F1"/>
            <w:tcW w:w="2324" w:type="dxa"/>
            <w:vAlign w:val="top"/>
          </w:tcPr>
          <w:p>
            <w:pPr>
              <w:pStyle w:val="TableText"/>
              <w:ind w:left="961"/>
              <w:spacing w:before="177" w:line="179" w:lineRule="auto"/>
              <w:rPr>
                <w:sz w:val="21"/>
                <w:szCs w:val="21"/>
              </w:rPr>
            </w:pPr>
            <w:r>
              <w:rPr>
                <w:sz w:val="21"/>
                <w:szCs w:val="21"/>
                <w:b/>
                <w:bCs/>
                <w:color w:val="00C0AE"/>
                <w:spacing w:val="-3"/>
              </w:rPr>
              <w:t>安徽</w:t>
            </w:r>
          </w:p>
        </w:tc>
        <w:tc>
          <w:tcPr>
            <w:tcW w:w="3088" w:type="dxa"/>
            <w:vAlign w:val="top"/>
          </w:tcPr>
          <w:p>
            <w:pPr>
              <w:pStyle w:val="TableText"/>
              <w:spacing w:before="19" w:line="503" w:lineRule="exact"/>
              <w:rPr/>
            </w:pPr>
            <w:r>
              <w:rPr>
                <w:position w:val="-13"/>
              </w:rPr>
              <w:pict>
                <v:shape id="_x0000_s752" style="mso-position-vertical-relative:line;mso-position-horizontal-relative:char;width:117.8pt;height:26.65pt;" fillcolor="#F1F1F1" filled="true" stroked="false" type="#_x0000_t202">
                  <v:fill on="true"/>
                  <v:stroke on="false"/>
                  <v:path/>
                  <v:imagedata o:title=""/>
                  <o:lock v:ext="edit" aspectratio="false"/>
                  <v:textbox inset="0mm,0mm,0mm,0mm">
                    <w:txbxContent>
                      <w:p>
                        <w:pPr>
                          <w:ind w:left="982"/>
                          <w:spacing w:before="178" w:line="17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9"/>
                          </w:rPr>
                          <w:t>10%</w:t>
                        </w:r>
                      </w:p>
                    </w:txbxContent>
                  </v:textbox>
                </v:shape>
              </w:pict>
            </w:r>
          </w:p>
        </w:tc>
        <w:tc>
          <w:tcPr>
            <w:tcW w:w="1622" w:type="dxa"/>
            <w:vAlign w:val="top"/>
          </w:tcPr>
          <w:p>
            <w:pPr>
              <w:pStyle w:val="TableText"/>
              <w:ind w:left="249"/>
              <w:spacing w:before="198" w:line="171" w:lineRule="auto"/>
              <w:rPr>
                <w:sz w:val="21"/>
                <w:szCs w:val="21"/>
              </w:rPr>
            </w:pPr>
            <w:r>
              <mc:AlternateContent xmlns:mc="http://schemas.openxmlformats.org/markup-compatibility/2006">
                <mc:Choice Requires="wps">
                  <w:drawing>
                    <wp:anchor distT="0" distB="0" distL="0" distR="0" simplePos="0" relativeHeight="252323840" behindDoc="1" locked="0" layoutInCell="1" allowOverlap="1">
                      <wp:simplePos x="0" y="0"/>
                      <wp:positionH relativeFrom="column">
                        <wp:posOffset>-465425</wp:posOffset>
                      </wp:positionH>
                      <wp:positionV relativeFrom="paragraph">
                        <wp:posOffset>12251</wp:posOffset>
                      </wp:positionV>
                      <wp:extent cx="1496060" cy="338454"/>
                      <wp:effectExtent l="0" t="0" r="0" b="0"/>
                      <wp:wrapNone/>
                      <wp:docPr id="436" name="Rect 436"/>
                      <wp:cNvGraphicFramePr/>
                      <a:graphic>
                        <a:graphicData uri="http://schemas.microsoft.com/office/word/2010/wordprocessingShape">
                          <wps:wsp>
                            <wps:cNvPr id="436" name="Rect 436"/>
                            <wps:cNvSpPr/>
                            <wps:spPr>
                              <a:xfrm>
                                <a:off x="-465425" y="12251"/>
                                <a:ext cx="1496060" cy="338454"/>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754" style="position:absolute;margin-left:-36.6476pt;margin-top:0.964715pt;mso-position-vertical-relative:text;mso-position-horizontal-relative:text;width:117.8pt;height:26.65pt;z-index:-250992640;" fillcolor="#F1F1F1" filled="true" stroked="false"/>
                  </w:pict>
                </mc:Fallback>
              </mc:AlternateContent>
            </w:r>
            <w:r>
              <w:rPr>
                <w:sz w:val="21"/>
                <w:szCs w:val="21"/>
                <w:spacing w:val="-9"/>
              </w:rPr>
              <w:t>10%</w:t>
            </w:r>
          </w:p>
        </w:tc>
        <w:tc>
          <w:tcPr>
            <w:shd w:val="clear" w:fill="F1F1F1"/>
            <w:tcW w:w="2583" w:type="dxa"/>
            <w:vAlign w:val="top"/>
          </w:tcPr>
          <w:p>
            <w:pPr>
              <w:pStyle w:val="TableText"/>
              <w:ind w:left="1251"/>
              <w:spacing w:before="201" w:line="169" w:lineRule="auto"/>
              <w:rPr>
                <w:sz w:val="21"/>
                <w:szCs w:val="21"/>
              </w:rPr>
            </w:pPr>
            <w:r>
              <w:rPr>
                <w:sz w:val="21"/>
                <w:szCs w:val="21"/>
              </w:rPr>
              <w:t>1</w:t>
            </w:r>
          </w:p>
        </w:tc>
      </w:tr>
      <w:tr>
        <w:trPr>
          <w:trHeight w:val="532" w:hRule="atLeast"/>
        </w:trPr>
        <w:tc>
          <w:tcPr>
            <w:tcW w:w="2324" w:type="dxa"/>
            <w:vAlign w:val="top"/>
          </w:tcPr>
          <w:p>
            <w:pPr>
              <w:pStyle w:val="TableText"/>
              <w:ind w:left="968"/>
              <w:spacing w:before="179" w:line="178" w:lineRule="auto"/>
              <w:rPr>
                <w:sz w:val="21"/>
                <w:szCs w:val="21"/>
              </w:rPr>
            </w:pPr>
            <w:r>
              <w:rPr>
                <w:sz w:val="21"/>
                <w:szCs w:val="21"/>
                <w:b/>
                <w:bCs/>
                <w:color w:val="00C0AE"/>
                <w:spacing w:val="-5"/>
              </w:rPr>
              <w:t>山西</w:t>
            </w:r>
          </w:p>
        </w:tc>
        <w:tc>
          <w:tcPr>
            <w:tcW w:w="3088" w:type="dxa"/>
            <w:vAlign w:val="top"/>
          </w:tcPr>
          <w:p>
            <w:pPr>
              <w:pStyle w:val="TableText"/>
              <w:ind w:left="982"/>
              <w:spacing w:before="199" w:line="171" w:lineRule="auto"/>
              <w:rPr>
                <w:sz w:val="21"/>
                <w:szCs w:val="21"/>
              </w:rPr>
            </w:pPr>
            <w:r>
              <w:rPr>
                <w:sz w:val="21"/>
                <w:szCs w:val="21"/>
                <w:spacing w:val="-9"/>
              </w:rPr>
              <w:t>10%</w:t>
            </w:r>
          </w:p>
        </w:tc>
        <w:tc>
          <w:tcPr>
            <w:tcW w:w="1622" w:type="dxa"/>
            <w:vAlign w:val="top"/>
          </w:tcPr>
          <w:p>
            <w:pPr>
              <w:pStyle w:val="TableText"/>
              <w:ind w:left="95"/>
              <w:spacing w:before="199" w:line="171" w:lineRule="auto"/>
              <w:rPr>
                <w:sz w:val="21"/>
                <w:szCs w:val="21"/>
              </w:rPr>
            </w:pPr>
            <w:r>
              <w:rPr>
                <w:sz w:val="21"/>
                <w:szCs w:val="21"/>
                <w:spacing w:val="-11"/>
              </w:rPr>
              <w:t>10-15%</w:t>
            </w:r>
          </w:p>
        </w:tc>
        <w:tc>
          <w:tcPr>
            <w:tcW w:w="2583" w:type="dxa"/>
            <w:vAlign w:val="top"/>
          </w:tcPr>
          <w:p>
            <w:pPr>
              <w:pStyle w:val="TableText"/>
              <w:ind w:left="1266"/>
              <w:spacing w:before="292" w:line="167" w:lineRule="exact"/>
              <w:rPr>
                <w:sz w:val="21"/>
                <w:szCs w:val="21"/>
              </w:rPr>
            </w:pPr>
            <w:r>
              <w:rPr>
                <w:sz w:val="21"/>
                <w:szCs w:val="21"/>
                <w:position w:val="-1"/>
              </w:rPr>
              <w:t>-</w:t>
            </w:r>
          </w:p>
        </w:tc>
      </w:tr>
      <w:tr>
        <w:trPr>
          <w:trHeight w:val="532" w:hRule="atLeast"/>
        </w:trPr>
        <w:tc>
          <w:tcPr>
            <w:shd w:val="clear" w:fill="F1F1F1"/>
            <w:tcW w:w="2324" w:type="dxa"/>
            <w:vAlign w:val="top"/>
          </w:tcPr>
          <w:p>
            <w:pPr>
              <w:pStyle w:val="TableText"/>
              <w:ind w:left="962"/>
              <w:spacing w:before="178" w:line="179" w:lineRule="auto"/>
              <w:rPr>
                <w:sz w:val="21"/>
                <w:szCs w:val="21"/>
              </w:rPr>
            </w:pPr>
            <w:r>
              <w:rPr>
                <w:sz w:val="21"/>
                <w:szCs w:val="21"/>
                <w:b/>
                <w:bCs/>
                <w:color w:val="00C0AE"/>
                <w:spacing w:val="-3"/>
              </w:rPr>
              <w:t>陕西</w:t>
            </w:r>
          </w:p>
        </w:tc>
        <w:tc>
          <w:tcPr>
            <w:tcW w:w="3088" w:type="dxa"/>
            <w:vAlign w:val="top"/>
          </w:tcPr>
          <w:p>
            <w:pPr>
              <w:pStyle w:val="TableText"/>
              <w:spacing w:before="21" w:line="501" w:lineRule="exact"/>
              <w:rPr/>
            </w:pPr>
            <w:r>
              <w:rPr>
                <w:position w:val="-13"/>
              </w:rPr>
              <w:pict>
                <v:shape id="_x0000_s756" style="mso-position-vertical-relative:line;mso-position-horizontal-relative:char;width:117.8pt;height:26.65pt;" fillcolor="#F1F1F1" filled="true" stroked="false" type="#_x0000_t202">
                  <v:fill on="true"/>
                  <v:stroke on="false"/>
                  <v:path/>
                  <v:imagedata o:title=""/>
                  <o:lock v:ext="edit" aspectratio="false"/>
                  <v:textbox inset="0mm,0mm,0mm,0mm">
                    <w:txbxContent>
                      <w:p>
                        <w:pPr>
                          <w:ind w:left="828"/>
                          <w:spacing w:before="178" w:line="17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1"/>
                          </w:rPr>
                          <w:t>10-20%</w:t>
                        </w:r>
                      </w:p>
                    </w:txbxContent>
                  </v:textbox>
                </v:shape>
              </w:pict>
            </w:r>
          </w:p>
        </w:tc>
        <w:tc>
          <w:tcPr>
            <w:tcW w:w="1622" w:type="dxa"/>
            <w:vAlign w:val="top"/>
          </w:tcPr>
          <w:p>
            <w:pPr>
              <w:pStyle w:val="TableText"/>
              <w:ind w:left="96"/>
              <w:spacing w:before="200" w:line="171" w:lineRule="auto"/>
              <w:rPr>
                <w:sz w:val="21"/>
                <w:szCs w:val="21"/>
              </w:rPr>
            </w:pPr>
            <w:r>
              <mc:AlternateContent xmlns:mc="http://schemas.openxmlformats.org/markup-compatibility/2006">
                <mc:Choice Requires="wps">
                  <w:drawing>
                    <wp:anchor distT="0" distB="0" distL="0" distR="0" simplePos="0" relativeHeight="252322816" behindDoc="1" locked="0" layoutInCell="1" allowOverlap="1">
                      <wp:simplePos x="0" y="0"/>
                      <wp:positionH relativeFrom="column">
                        <wp:posOffset>-465425</wp:posOffset>
                      </wp:positionH>
                      <wp:positionV relativeFrom="paragraph">
                        <wp:posOffset>13394</wp:posOffset>
                      </wp:positionV>
                      <wp:extent cx="1496060" cy="338454"/>
                      <wp:effectExtent l="0" t="0" r="0" b="0"/>
                      <wp:wrapNone/>
                      <wp:docPr id="438" name="Rect 438"/>
                      <wp:cNvGraphicFramePr/>
                      <a:graphic>
                        <a:graphicData uri="http://schemas.microsoft.com/office/word/2010/wordprocessingShape">
                          <wps:wsp>
                            <wps:cNvPr id="438" name="Rect 438"/>
                            <wps:cNvSpPr/>
                            <wps:spPr>
                              <a:xfrm>
                                <a:off x="-465425" y="13394"/>
                                <a:ext cx="1496060" cy="338454"/>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758" style="position:absolute;margin-left:-36.6476pt;margin-top:1.05471pt;mso-position-vertical-relative:text;mso-position-horizontal-relative:text;width:117.8pt;height:26.65pt;z-index:-250993664;" fillcolor="#F1F1F1" filled="true" stroked="false"/>
                  </w:pict>
                </mc:Fallback>
              </mc:AlternateContent>
            </w:r>
            <w:r>
              <w:rPr>
                <w:sz w:val="21"/>
                <w:szCs w:val="21"/>
                <w:spacing w:val="-11"/>
              </w:rPr>
              <w:t>10-20%</w:t>
            </w:r>
          </w:p>
        </w:tc>
        <w:tc>
          <w:tcPr>
            <w:shd w:val="clear" w:fill="F1F1F1"/>
            <w:tcW w:w="2583" w:type="dxa"/>
            <w:vAlign w:val="top"/>
          </w:tcPr>
          <w:p>
            <w:pPr>
              <w:pStyle w:val="TableText"/>
              <w:ind w:left="1241"/>
              <w:spacing w:before="200" w:line="171" w:lineRule="auto"/>
              <w:rPr>
                <w:sz w:val="21"/>
                <w:szCs w:val="21"/>
              </w:rPr>
            </w:pPr>
            <w:r>
              <w:rPr>
                <w:sz w:val="21"/>
                <w:szCs w:val="21"/>
              </w:rPr>
              <w:t>2</w:t>
            </w:r>
          </w:p>
        </w:tc>
      </w:tr>
      <w:tr>
        <w:trPr>
          <w:trHeight w:val="531" w:hRule="atLeast"/>
        </w:trPr>
        <w:tc>
          <w:tcPr>
            <w:tcW w:w="2324" w:type="dxa"/>
            <w:vAlign w:val="top"/>
          </w:tcPr>
          <w:p>
            <w:pPr>
              <w:pStyle w:val="TableText"/>
              <w:ind w:left="956"/>
              <w:spacing w:before="180" w:line="178" w:lineRule="auto"/>
              <w:rPr>
                <w:sz w:val="21"/>
                <w:szCs w:val="21"/>
              </w:rPr>
            </w:pPr>
            <w:r>
              <w:rPr>
                <w:sz w:val="21"/>
                <w:szCs w:val="21"/>
                <w:b/>
                <w:bCs/>
                <w:color w:val="00C0AE"/>
                <w:spacing w:val="-2"/>
              </w:rPr>
              <w:t>江苏</w:t>
            </w:r>
          </w:p>
        </w:tc>
        <w:tc>
          <w:tcPr>
            <w:tcW w:w="3088" w:type="dxa"/>
            <w:vAlign w:val="top"/>
          </w:tcPr>
          <w:p>
            <w:pPr>
              <w:pStyle w:val="TableText"/>
              <w:ind w:left="1151"/>
              <w:spacing w:before="293" w:line="168" w:lineRule="exact"/>
              <w:rPr>
                <w:sz w:val="21"/>
                <w:szCs w:val="21"/>
              </w:rPr>
            </w:pPr>
            <w:r>
              <w:rPr>
                <w:sz w:val="21"/>
                <w:szCs w:val="21"/>
                <w:position w:val="-1"/>
              </w:rPr>
              <w:t>-</w:t>
            </w:r>
          </w:p>
        </w:tc>
        <w:tc>
          <w:tcPr>
            <w:tcW w:w="1622" w:type="dxa"/>
            <w:vAlign w:val="top"/>
          </w:tcPr>
          <w:p>
            <w:pPr>
              <w:pStyle w:val="TableText"/>
              <w:ind w:left="144"/>
              <w:spacing w:before="200" w:line="171" w:lineRule="auto"/>
              <w:rPr>
                <w:sz w:val="21"/>
                <w:szCs w:val="21"/>
              </w:rPr>
            </w:pPr>
            <w:r>
              <w:rPr>
                <w:sz w:val="21"/>
                <w:szCs w:val="21"/>
                <w:spacing w:val="-9"/>
              </w:rPr>
              <w:t>8-10%</w:t>
            </w:r>
          </w:p>
        </w:tc>
        <w:tc>
          <w:tcPr>
            <w:tcW w:w="2583" w:type="dxa"/>
            <w:vAlign w:val="top"/>
          </w:tcPr>
          <w:p>
            <w:pPr>
              <w:pStyle w:val="TableText"/>
              <w:ind w:left="1241"/>
              <w:spacing w:before="201" w:line="171" w:lineRule="auto"/>
              <w:rPr>
                <w:sz w:val="21"/>
                <w:szCs w:val="21"/>
              </w:rPr>
            </w:pPr>
            <w:r>
              <w:rPr>
                <w:sz w:val="21"/>
                <w:szCs w:val="21"/>
              </w:rPr>
              <w:t>2</w:t>
            </w:r>
          </w:p>
        </w:tc>
      </w:tr>
      <w:tr>
        <w:trPr>
          <w:trHeight w:val="532" w:hRule="atLeast"/>
        </w:trPr>
        <w:tc>
          <w:tcPr>
            <w:shd w:val="clear" w:fill="F1F1F1"/>
            <w:tcW w:w="2324" w:type="dxa"/>
            <w:vAlign w:val="top"/>
          </w:tcPr>
          <w:p>
            <w:pPr>
              <w:pStyle w:val="TableText"/>
              <w:ind w:left="953"/>
              <w:spacing w:before="184" w:line="177" w:lineRule="auto"/>
              <w:rPr>
                <w:sz w:val="21"/>
                <w:szCs w:val="21"/>
              </w:rPr>
            </w:pPr>
            <w:r>
              <w:rPr>
                <w:sz w:val="21"/>
                <w:szCs w:val="21"/>
                <w:b/>
                <w:bCs/>
                <w:color w:val="00C0AE"/>
                <w:spacing w:val="-1"/>
              </w:rPr>
              <w:t>河北</w:t>
            </w:r>
          </w:p>
        </w:tc>
        <w:tc>
          <w:tcPr>
            <w:tcW w:w="3088" w:type="dxa"/>
            <w:vAlign w:val="top"/>
          </w:tcPr>
          <w:p>
            <w:pPr>
              <w:pStyle w:val="TableText"/>
              <w:spacing w:before="24" w:line="497" w:lineRule="exact"/>
              <w:rPr/>
            </w:pPr>
            <w:r>
              <w:rPr>
                <w:position w:val="-13"/>
              </w:rPr>
              <w:pict>
                <v:shape id="_x0000_s760" style="mso-position-vertical-relative:line;mso-position-horizontal-relative:char;width:117.8pt;height:26.65pt;" fillcolor="#F1F1F1" filled="true" stroked="false" type="#_x0000_t202">
                  <v:fill on="true"/>
                  <v:stroke on="false"/>
                  <v:path/>
                  <v:imagedata o:title=""/>
                  <o:lock v:ext="edit" aspectratio="false"/>
                  <v:textbox inset="0mm,0mm,0mm,0mm">
                    <w:txbxContent>
                      <w:p>
                        <w:pPr>
                          <w:ind w:left="828"/>
                          <w:spacing w:before="178" w:line="17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1"/>
                          </w:rPr>
                          <w:t>10-15%</w:t>
                        </w:r>
                      </w:p>
                    </w:txbxContent>
                  </v:textbox>
                </v:shape>
              </w:pict>
            </w:r>
          </w:p>
        </w:tc>
        <w:tc>
          <w:tcPr>
            <w:tcW w:w="1622" w:type="dxa"/>
            <w:vAlign w:val="top"/>
          </w:tcPr>
          <w:p>
            <w:pPr>
              <w:pStyle w:val="TableText"/>
              <w:ind w:left="95"/>
              <w:spacing w:before="202" w:line="171" w:lineRule="auto"/>
              <w:rPr>
                <w:sz w:val="21"/>
                <w:szCs w:val="21"/>
              </w:rPr>
            </w:pPr>
            <w:r>
              <mc:AlternateContent xmlns:mc="http://schemas.openxmlformats.org/markup-compatibility/2006">
                <mc:Choice Requires="wps">
                  <w:drawing>
                    <wp:anchor distT="0" distB="0" distL="0" distR="0" simplePos="0" relativeHeight="252321792" behindDoc="1" locked="0" layoutInCell="1" allowOverlap="1">
                      <wp:simplePos x="0" y="0"/>
                      <wp:positionH relativeFrom="column">
                        <wp:posOffset>-465425</wp:posOffset>
                      </wp:positionH>
                      <wp:positionV relativeFrom="paragraph">
                        <wp:posOffset>15107</wp:posOffset>
                      </wp:positionV>
                      <wp:extent cx="1496060" cy="338454"/>
                      <wp:effectExtent l="0" t="0" r="0" b="0"/>
                      <wp:wrapNone/>
                      <wp:docPr id="440" name="Rect 440"/>
                      <wp:cNvGraphicFramePr/>
                      <a:graphic>
                        <a:graphicData uri="http://schemas.microsoft.com/office/word/2010/wordprocessingShape">
                          <wps:wsp>
                            <wps:cNvPr id="440" name="Rect 440"/>
                            <wps:cNvSpPr/>
                            <wps:spPr>
                              <a:xfrm>
                                <a:off x="-465425" y="15107"/>
                                <a:ext cx="1496060" cy="338454"/>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762" style="position:absolute;margin-left:-36.6476pt;margin-top:1.18957pt;mso-position-vertical-relative:text;mso-position-horizontal-relative:text;width:117.8pt;height:26.65pt;z-index:-250994688;" fillcolor="#F1F1F1" filled="true" stroked="false"/>
                  </w:pict>
                </mc:Fallback>
              </mc:AlternateContent>
            </w:r>
            <w:r>
              <w:rPr>
                <w:sz w:val="21"/>
                <w:szCs w:val="21"/>
                <w:spacing w:val="-11"/>
              </w:rPr>
              <w:t>10-15%</w:t>
            </w:r>
          </w:p>
        </w:tc>
        <w:tc>
          <w:tcPr>
            <w:shd w:val="clear" w:fill="F1F1F1"/>
            <w:tcW w:w="2583" w:type="dxa"/>
            <w:vAlign w:val="top"/>
          </w:tcPr>
          <w:p>
            <w:pPr>
              <w:pStyle w:val="TableText"/>
              <w:ind w:left="1241"/>
              <w:spacing w:before="202" w:line="171" w:lineRule="auto"/>
              <w:rPr>
                <w:sz w:val="21"/>
                <w:szCs w:val="21"/>
              </w:rPr>
            </w:pPr>
            <w:r>
              <w:rPr>
                <w:sz w:val="21"/>
                <w:szCs w:val="21"/>
              </w:rPr>
              <w:t>2</w:t>
            </w:r>
          </w:p>
        </w:tc>
      </w:tr>
      <w:tr>
        <w:trPr>
          <w:trHeight w:val="532" w:hRule="atLeast"/>
        </w:trPr>
        <w:tc>
          <w:tcPr>
            <w:tcW w:w="2324" w:type="dxa"/>
            <w:vAlign w:val="top"/>
          </w:tcPr>
          <w:p>
            <w:pPr>
              <w:pStyle w:val="TableText"/>
              <w:ind w:left="953"/>
              <w:spacing w:before="182" w:line="179" w:lineRule="auto"/>
              <w:rPr>
                <w:sz w:val="21"/>
                <w:szCs w:val="21"/>
              </w:rPr>
            </w:pPr>
            <w:r>
              <w:rPr>
                <w:sz w:val="21"/>
                <w:szCs w:val="21"/>
                <w:b/>
                <w:bCs/>
                <w:color w:val="00C0AE"/>
                <w:spacing w:val="-1"/>
              </w:rPr>
              <w:t>河南</w:t>
            </w:r>
          </w:p>
        </w:tc>
        <w:tc>
          <w:tcPr>
            <w:tcW w:w="3088" w:type="dxa"/>
            <w:vAlign w:val="top"/>
          </w:tcPr>
          <w:p>
            <w:pPr>
              <w:pStyle w:val="TableText"/>
              <w:ind w:left="828"/>
              <w:spacing w:before="203" w:line="171" w:lineRule="auto"/>
              <w:rPr>
                <w:sz w:val="21"/>
                <w:szCs w:val="21"/>
              </w:rPr>
            </w:pPr>
            <w:r>
              <w:rPr>
                <w:sz w:val="21"/>
                <w:szCs w:val="21"/>
                <w:spacing w:val="-11"/>
              </w:rPr>
              <w:t>10-20%</w:t>
            </w:r>
          </w:p>
        </w:tc>
        <w:tc>
          <w:tcPr>
            <w:tcW w:w="1622" w:type="dxa"/>
            <w:vAlign w:val="top"/>
          </w:tcPr>
          <w:p>
            <w:pPr>
              <w:pStyle w:val="TableText"/>
              <w:ind w:left="95"/>
              <w:spacing w:before="203" w:line="171" w:lineRule="auto"/>
              <w:rPr>
                <w:sz w:val="21"/>
                <w:szCs w:val="21"/>
              </w:rPr>
            </w:pPr>
            <w:r>
              <w:rPr>
                <w:sz w:val="21"/>
                <w:szCs w:val="21"/>
                <w:spacing w:val="-11"/>
              </w:rPr>
              <w:t>10-20%</w:t>
            </w:r>
          </w:p>
        </w:tc>
        <w:tc>
          <w:tcPr>
            <w:tcW w:w="2583" w:type="dxa"/>
            <w:vAlign w:val="top"/>
          </w:tcPr>
          <w:p>
            <w:pPr>
              <w:pStyle w:val="TableText"/>
              <w:ind w:left="1241"/>
              <w:spacing w:before="203" w:line="171" w:lineRule="auto"/>
              <w:rPr>
                <w:sz w:val="21"/>
                <w:szCs w:val="21"/>
              </w:rPr>
            </w:pPr>
            <w:r>
              <w:rPr>
                <w:sz w:val="21"/>
                <w:szCs w:val="21"/>
              </w:rPr>
              <w:t>2</w:t>
            </w:r>
          </w:p>
        </w:tc>
      </w:tr>
      <w:tr>
        <w:trPr>
          <w:trHeight w:val="532" w:hRule="atLeast"/>
        </w:trPr>
        <w:tc>
          <w:tcPr>
            <w:shd w:val="clear" w:fill="F1F1F1"/>
            <w:tcW w:w="2324" w:type="dxa"/>
            <w:vAlign w:val="top"/>
          </w:tcPr>
          <w:p>
            <w:pPr>
              <w:pStyle w:val="TableText"/>
              <w:ind w:left="957"/>
              <w:spacing w:before="182" w:line="177" w:lineRule="auto"/>
              <w:rPr>
                <w:sz w:val="21"/>
                <w:szCs w:val="21"/>
              </w:rPr>
            </w:pPr>
            <w:r>
              <w:rPr>
                <w:sz w:val="21"/>
                <w:szCs w:val="21"/>
                <w:b/>
                <w:bCs/>
                <w:color w:val="00C0AE"/>
                <w:spacing w:val="-2"/>
              </w:rPr>
              <w:t>甘肃</w:t>
            </w:r>
          </w:p>
        </w:tc>
        <w:tc>
          <w:tcPr>
            <w:tcW w:w="3088" w:type="dxa"/>
            <w:vAlign w:val="top"/>
          </w:tcPr>
          <w:p>
            <w:pPr>
              <w:pStyle w:val="TableText"/>
              <w:spacing w:before="25" w:line="497" w:lineRule="exact"/>
              <w:rPr/>
            </w:pPr>
            <w:r>
              <w:rPr>
                <w:position w:val="-13"/>
              </w:rPr>
              <w:pict>
                <v:shape id="_x0000_s764" style="mso-position-vertical-relative:line;mso-position-horizontal-relative:char;width:117.8pt;height:26.65pt;" fillcolor="#F1F1F1" filled="true" stroked="false" type="#_x0000_t202">
                  <v:fill on="true"/>
                  <v:stroke on="false"/>
                  <v:path/>
                  <v:imagedata o:title=""/>
                  <o:lock v:ext="edit" aspectratio="false"/>
                  <v:textbox inset="0mm,0mm,0mm,0mm">
                    <w:txbxContent>
                      <w:p>
                        <w:pPr>
                          <w:ind w:left="873"/>
                          <w:spacing w:before="178" w:line="17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9"/>
                          </w:rPr>
                          <w:t>5-10%</w:t>
                        </w:r>
                      </w:p>
                    </w:txbxContent>
                  </v:textbox>
                </v:shape>
              </w:pict>
            </w:r>
          </w:p>
        </w:tc>
        <w:tc>
          <w:tcPr>
            <w:tcW w:w="1622" w:type="dxa"/>
            <w:vAlign w:val="top"/>
          </w:tcPr>
          <w:p>
            <w:pPr>
              <w:pStyle w:val="TableText"/>
              <w:ind w:left="140"/>
              <w:spacing w:before="204" w:line="171" w:lineRule="auto"/>
              <w:rPr>
                <w:sz w:val="21"/>
                <w:szCs w:val="21"/>
              </w:rPr>
            </w:pPr>
            <w:r>
              <mc:AlternateContent xmlns:mc="http://schemas.openxmlformats.org/markup-compatibility/2006">
                <mc:Choice Requires="wps">
                  <w:drawing>
                    <wp:anchor distT="0" distB="0" distL="0" distR="0" simplePos="0" relativeHeight="252320768" behindDoc="1" locked="0" layoutInCell="1" allowOverlap="1">
                      <wp:simplePos x="0" y="0"/>
                      <wp:positionH relativeFrom="column">
                        <wp:posOffset>-465425</wp:posOffset>
                      </wp:positionH>
                      <wp:positionV relativeFrom="paragraph">
                        <wp:posOffset>16250</wp:posOffset>
                      </wp:positionV>
                      <wp:extent cx="1496060" cy="338454"/>
                      <wp:effectExtent l="0" t="0" r="0" b="0"/>
                      <wp:wrapNone/>
                      <wp:docPr id="442" name="Rect 442"/>
                      <wp:cNvGraphicFramePr/>
                      <a:graphic>
                        <a:graphicData uri="http://schemas.microsoft.com/office/word/2010/wordprocessingShape">
                          <wps:wsp>
                            <wps:cNvPr id="442" name="Rect 442"/>
                            <wps:cNvSpPr/>
                            <wps:spPr>
                              <a:xfrm>
                                <a:off x="-465425" y="16250"/>
                                <a:ext cx="1496060" cy="338454"/>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766" style="position:absolute;margin-left:-36.6476pt;margin-top:1.27958pt;mso-position-vertical-relative:text;mso-position-horizontal-relative:text;width:117.8pt;height:26.65pt;z-index:-250995712;" fillcolor="#F1F1F1" filled="true" stroked="false"/>
                  </w:pict>
                </mc:Fallback>
              </mc:AlternateContent>
            </w:r>
            <w:r>
              <w:rPr>
                <w:sz w:val="21"/>
                <w:szCs w:val="21"/>
                <w:spacing w:val="-9"/>
              </w:rPr>
              <w:t>5-10%</w:t>
            </w:r>
          </w:p>
        </w:tc>
        <w:tc>
          <w:tcPr>
            <w:shd w:val="clear" w:fill="F1F1F1"/>
            <w:tcW w:w="2583" w:type="dxa"/>
            <w:vAlign w:val="top"/>
          </w:tcPr>
          <w:p>
            <w:pPr>
              <w:pStyle w:val="TableText"/>
              <w:ind w:left="1241"/>
              <w:spacing w:before="204" w:line="171" w:lineRule="auto"/>
              <w:rPr>
                <w:sz w:val="21"/>
                <w:szCs w:val="21"/>
              </w:rPr>
            </w:pPr>
            <w:r>
              <w:rPr>
                <w:sz w:val="21"/>
                <w:szCs w:val="21"/>
              </w:rPr>
              <w:t>2</w:t>
            </w:r>
          </w:p>
        </w:tc>
      </w:tr>
      <w:tr>
        <w:trPr>
          <w:trHeight w:val="532" w:hRule="atLeast"/>
        </w:trPr>
        <w:tc>
          <w:tcPr>
            <w:tcW w:w="2324" w:type="dxa"/>
            <w:vAlign w:val="top"/>
          </w:tcPr>
          <w:p>
            <w:pPr>
              <w:pStyle w:val="TableText"/>
              <w:ind w:left="954"/>
              <w:spacing w:before="183" w:line="179" w:lineRule="auto"/>
              <w:rPr>
                <w:sz w:val="21"/>
                <w:szCs w:val="21"/>
              </w:rPr>
            </w:pPr>
            <w:r>
              <w:rPr>
                <w:sz w:val="21"/>
                <w:szCs w:val="21"/>
                <w:b/>
                <w:bCs/>
                <w:color w:val="00C0AE"/>
                <w:spacing w:val="-1"/>
              </w:rPr>
              <w:t>浙江</w:t>
            </w:r>
          </w:p>
        </w:tc>
        <w:tc>
          <w:tcPr>
            <w:tcW w:w="3088" w:type="dxa"/>
            <w:vAlign w:val="top"/>
          </w:tcPr>
          <w:p>
            <w:pPr>
              <w:pStyle w:val="TableText"/>
              <w:ind w:left="828"/>
              <w:spacing w:before="205" w:line="171" w:lineRule="auto"/>
              <w:rPr>
                <w:sz w:val="21"/>
                <w:szCs w:val="21"/>
              </w:rPr>
            </w:pPr>
            <w:r>
              <w:rPr>
                <w:sz w:val="21"/>
                <w:szCs w:val="21"/>
                <w:spacing w:val="-11"/>
              </w:rPr>
              <w:t>10-20%</w:t>
            </w:r>
          </w:p>
        </w:tc>
        <w:tc>
          <w:tcPr>
            <w:tcW w:w="1622" w:type="dxa"/>
            <w:vAlign w:val="top"/>
          </w:tcPr>
          <w:p>
            <w:pPr>
              <w:pStyle w:val="TableText"/>
              <w:ind w:left="95"/>
              <w:spacing w:before="205" w:line="171" w:lineRule="auto"/>
              <w:rPr>
                <w:sz w:val="21"/>
                <w:szCs w:val="21"/>
              </w:rPr>
            </w:pPr>
            <w:r>
              <w:rPr>
                <w:sz w:val="21"/>
                <w:szCs w:val="21"/>
                <w:spacing w:val="-11"/>
              </w:rPr>
              <w:t>10-20%</w:t>
            </w:r>
          </w:p>
        </w:tc>
        <w:tc>
          <w:tcPr>
            <w:tcW w:w="2583" w:type="dxa"/>
            <w:vAlign w:val="top"/>
          </w:tcPr>
          <w:p>
            <w:pPr>
              <w:pStyle w:val="TableText"/>
              <w:ind w:left="1241"/>
              <w:spacing w:before="205" w:line="171" w:lineRule="auto"/>
              <w:rPr>
                <w:sz w:val="21"/>
                <w:szCs w:val="21"/>
              </w:rPr>
            </w:pPr>
            <w:r>
              <w:rPr>
                <w:sz w:val="21"/>
                <w:szCs w:val="21"/>
              </w:rPr>
              <w:t>2</w:t>
            </w:r>
          </w:p>
        </w:tc>
      </w:tr>
      <w:tr>
        <w:trPr>
          <w:trHeight w:val="532" w:hRule="atLeast"/>
        </w:trPr>
        <w:tc>
          <w:tcPr>
            <w:shd w:val="clear" w:fill="F1F1F1"/>
            <w:tcW w:w="2324" w:type="dxa"/>
            <w:vAlign w:val="top"/>
          </w:tcPr>
          <w:p>
            <w:pPr>
              <w:pStyle w:val="TableText"/>
              <w:ind w:left="956"/>
              <w:spacing w:before="184" w:line="179" w:lineRule="auto"/>
              <w:rPr>
                <w:sz w:val="21"/>
                <w:szCs w:val="21"/>
              </w:rPr>
            </w:pPr>
            <w:r>
              <w:rPr>
                <w:sz w:val="21"/>
                <w:szCs w:val="21"/>
                <w:b/>
                <w:bCs/>
                <w:color w:val="00C0AE"/>
                <w:spacing w:val="-2"/>
              </w:rPr>
              <w:t>海南</w:t>
            </w:r>
          </w:p>
        </w:tc>
        <w:tc>
          <w:tcPr>
            <w:tcW w:w="3088" w:type="dxa"/>
            <w:vAlign w:val="top"/>
          </w:tcPr>
          <w:p>
            <w:pPr>
              <w:pStyle w:val="TableText"/>
              <w:spacing w:before="27" w:line="494" w:lineRule="exact"/>
              <w:rPr/>
            </w:pPr>
            <w:r>
              <w:rPr>
                <w:position w:val="-13"/>
              </w:rPr>
              <w:pict>
                <v:shape id="_x0000_s768" style="mso-position-vertical-relative:line;mso-position-horizontal-relative:char;width:117.8pt;height:26.65pt;" fillcolor="#F1F1F1" filled="true" stroked="false" type="#_x0000_t202">
                  <v:fill on="true"/>
                  <v:stroke on="false"/>
                  <v:path/>
                  <v:imagedata o:title=""/>
                  <o:lock v:ext="edit" aspectratio="false"/>
                  <v:textbox inset="0mm,0mm,0mm,0mm">
                    <w:txbxContent>
                      <w:p>
                        <w:pPr>
                          <w:ind w:left="1150"/>
                          <w:spacing w:before="271" w:line="16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position w:val="-1"/>
                          </w:rPr>
                          <w:t>-</w:t>
                        </w:r>
                      </w:p>
                    </w:txbxContent>
                  </v:textbox>
                </v:shape>
              </w:pict>
            </w:r>
          </w:p>
        </w:tc>
        <w:tc>
          <w:tcPr>
            <w:tcW w:w="1622" w:type="dxa"/>
            <w:vAlign w:val="top"/>
          </w:tcPr>
          <w:p>
            <w:pPr>
              <w:pStyle w:val="TableText"/>
              <w:ind w:left="85"/>
              <w:spacing w:before="206" w:line="171" w:lineRule="auto"/>
              <w:rPr>
                <w:sz w:val="21"/>
                <w:szCs w:val="21"/>
              </w:rPr>
            </w:pPr>
            <w:r>
              <mc:AlternateContent xmlns:mc="http://schemas.openxmlformats.org/markup-compatibility/2006">
                <mc:Choice Requires="wps">
                  <w:drawing>
                    <wp:anchor distT="0" distB="0" distL="0" distR="0" simplePos="0" relativeHeight="252325888" behindDoc="1" locked="0" layoutInCell="1" allowOverlap="1">
                      <wp:simplePos x="0" y="0"/>
                      <wp:positionH relativeFrom="column">
                        <wp:posOffset>-465425</wp:posOffset>
                      </wp:positionH>
                      <wp:positionV relativeFrom="paragraph">
                        <wp:posOffset>17393</wp:posOffset>
                      </wp:positionV>
                      <wp:extent cx="1496060" cy="338454"/>
                      <wp:effectExtent l="0" t="0" r="0" b="0"/>
                      <wp:wrapNone/>
                      <wp:docPr id="444" name="Rect 444"/>
                      <wp:cNvGraphicFramePr/>
                      <a:graphic>
                        <a:graphicData uri="http://schemas.microsoft.com/office/word/2010/wordprocessingShape">
                          <wps:wsp>
                            <wps:cNvPr id="444" name="Rect 444"/>
                            <wps:cNvSpPr/>
                            <wps:spPr>
                              <a:xfrm>
                                <a:off x="-465425" y="17393"/>
                                <a:ext cx="1496060" cy="338454"/>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770" style="position:absolute;margin-left:-36.6476pt;margin-top:1.36956pt;mso-position-vertical-relative:text;mso-position-horizontal-relative:text;width:117.8pt;height:26.65pt;z-index:-250990592;" fillcolor="#F1F1F1" filled="true" stroked="false"/>
                  </w:pict>
                </mc:Fallback>
              </mc:AlternateContent>
            </w:r>
            <w:r>
              <w:rPr>
                <w:sz w:val="21"/>
                <w:szCs w:val="21"/>
                <w:spacing w:val="-9"/>
              </w:rPr>
              <w:t>20-25%</w:t>
            </w:r>
          </w:p>
        </w:tc>
        <w:tc>
          <w:tcPr>
            <w:shd w:val="clear" w:fill="F1F1F1"/>
            <w:tcW w:w="2583" w:type="dxa"/>
            <w:vAlign w:val="top"/>
          </w:tcPr>
          <w:p>
            <w:pPr>
              <w:pStyle w:val="TableText"/>
              <w:ind w:left="1241"/>
              <w:spacing w:before="206" w:line="171" w:lineRule="auto"/>
              <w:rPr>
                <w:sz w:val="21"/>
                <w:szCs w:val="21"/>
              </w:rPr>
            </w:pPr>
            <w:r>
              <w:rPr>
                <w:sz w:val="21"/>
                <w:szCs w:val="21"/>
              </w:rPr>
              <w:t>2</w:t>
            </w:r>
          </w:p>
        </w:tc>
      </w:tr>
      <w:tr>
        <w:trPr>
          <w:trHeight w:val="546" w:hRule="atLeast"/>
        </w:trPr>
        <w:tc>
          <w:tcPr>
            <w:tcW w:w="2324" w:type="dxa"/>
            <w:vAlign w:val="top"/>
            <w:tcBorders>
              <w:bottom w:val="single" w:color="00C0AE" w:sz="12" w:space="0"/>
            </w:tcBorders>
          </w:tcPr>
          <w:p>
            <w:pPr>
              <w:pStyle w:val="TableText"/>
              <w:ind w:left="954"/>
              <w:spacing w:before="184" w:line="178" w:lineRule="auto"/>
              <w:rPr>
                <w:sz w:val="21"/>
                <w:szCs w:val="21"/>
              </w:rPr>
            </w:pPr>
            <w:r>
              <w:rPr>
                <w:sz w:val="21"/>
                <w:szCs w:val="21"/>
                <w:b/>
                <w:bCs/>
                <w:color w:val="00C0AE"/>
                <w:spacing w:val="-1"/>
              </w:rPr>
              <w:t>新疆</w:t>
            </w:r>
          </w:p>
        </w:tc>
        <w:tc>
          <w:tcPr>
            <w:tcW w:w="3088" w:type="dxa"/>
            <w:vAlign w:val="top"/>
            <w:tcBorders>
              <w:bottom w:val="single" w:color="00C0AE" w:sz="12" w:space="0"/>
            </w:tcBorders>
          </w:tcPr>
          <w:p>
            <w:pPr>
              <w:pStyle w:val="TableText"/>
              <w:ind w:left="1150"/>
              <w:spacing w:before="299" w:line="168" w:lineRule="exact"/>
              <w:rPr>
                <w:sz w:val="21"/>
                <w:szCs w:val="21"/>
              </w:rPr>
            </w:pPr>
            <w:r>
              <w:rPr>
                <w:sz w:val="21"/>
                <w:szCs w:val="21"/>
                <w:position w:val="-1"/>
              </w:rPr>
              <w:t>-</w:t>
            </w:r>
          </w:p>
        </w:tc>
        <w:tc>
          <w:tcPr>
            <w:tcW w:w="1622" w:type="dxa"/>
            <w:vAlign w:val="top"/>
            <w:tcBorders>
              <w:bottom w:val="single" w:color="00C0AE" w:sz="12" w:space="0"/>
            </w:tcBorders>
          </w:tcPr>
          <w:p>
            <w:pPr>
              <w:pStyle w:val="TableText"/>
              <w:ind w:left="95"/>
              <w:spacing w:before="206" w:line="171" w:lineRule="auto"/>
              <w:rPr>
                <w:sz w:val="21"/>
                <w:szCs w:val="21"/>
              </w:rPr>
            </w:pPr>
            <w:r>
              <w:rPr>
                <w:sz w:val="21"/>
                <w:szCs w:val="21"/>
                <w:spacing w:val="-11"/>
              </w:rPr>
              <w:t>15-20%</w:t>
            </w:r>
          </w:p>
        </w:tc>
        <w:tc>
          <w:tcPr>
            <w:tcW w:w="2583" w:type="dxa"/>
            <w:vAlign w:val="top"/>
            <w:tcBorders>
              <w:bottom w:val="single" w:color="00C0AE" w:sz="12" w:space="0"/>
            </w:tcBorders>
          </w:tcPr>
          <w:p>
            <w:pPr>
              <w:pStyle w:val="TableText"/>
              <w:ind w:left="1266"/>
              <w:spacing w:before="299" w:line="168" w:lineRule="exact"/>
              <w:rPr>
                <w:sz w:val="21"/>
                <w:szCs w:val="21"/>
              </w:rPr>
            </w:pPr>
            <w:r>
              <w:rPr>
                <w:sz w:val="21"/>
                <w:szCs w:val="21"/>
                <w:position w:val="-1"/>
              </w:rPr>
              <w:t>-</w:t>
            </w:r>
          </w:p>
        </w:tc>
      </w:tr>
    </w:tbl>
    <w:p>
      <w:pPr>
        <w:spacing w:before="254" w:line="17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9"/>
        </w:rPr>
        <w:t>资料来源：根据各省级政府、能源局政策整理</w:t>
      </w:r>
      <w:r>
        <w:rPr>
          <w:rFonts w:ascii="Microsoft YaHei" w:hAnsi="Microsoft YaHei" w:eastAsia="Microsoft YaHei" w:cs="Microsoft YaHei"/>
          <w:sz w:val="15"/>
          <w:szCs w:val="15"/>
          <w:spacing w:val="8"/>
        </w:rPr>
        <w:t>，毕马威分析</w:t>
      </w:r>
    </w:p>
    <w:p>
      <w:pPr>
        <w:ind w:left="1"/>
        <w:spacing w:line="183"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6"/>
        </w:rPr>
        <w:t>*各省新能源配储政策收集截止时间为2022年10月</w:t>
      </w:r>
    </w:p>
    <w:p>
      <w:pPr>
        <w:ind w:left="494" w:right="1241" w:hanging="411"/>
        <w:spacing w:before="139"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1310" w:header="0" w:footer="0" w:gutter="0"/>
        </w:sectPr>
        <w:rPr>
          <w:rFonts w:ascii="Microsoft YaHei" w:hAnsi="Microsoft YaHei" w:eastAsia="Microsoft YaHei" w:cs="Microsoft YaHei"/>
          <w:sz w:val="11"/>
          <w:szCs w:val="11"/>
        </w:rPr>
      </w:pPr>
    </w:p>
    <w:p>
      <w:pPr>
        <w:ind w:left="337"/>
        <w:spacing w:before="314" w:line="193" w:lineRule="auto"/>
        <w:rPr>
          <w:rFonts w:ascii="Microsoft YaHei" w:hAnsi="Microsoft YaHei" w:eastAsia="Microsoft YaHei" w:cs="Microsoft YaHei"/>
          <w:sz w:val="18"/>
          <w:szCs w:val="18"/>
        </w:rPr>
      </w:pPr>
      <w:r>
        <mc:AlternateContent xmlns:mc="http://schemas.openxmlformats.org/markup-compatibility/2006">
          <mc:Choice Requires="wps">
            <w:drawing>
              <wp:anchor distT="0" distB="0" distL="0" distR="0" simplePos="0" relativeHeight="252369920" behindDoc="1" locked="0" layoutInCell="0" allowOverlap="1">
                <wp:simplePos x="0" y="0"/>
                <wp:positionH relativeFrom="page">
                  <wp:posOffset>7772272</wp:posOffset>
                </wp:positionH>
                <wp:positionV relativeFrom="page">
                  <wp:posOffset>0</wp:posOffset>
                </wp:positionV>
                <wp:extent cx="3175" cy="10909300"/>
                <wp:effectExtent l="0" t="0" r="0" b="0"/>
                <wp:wrapNone/>
                <wp:docPr id="446" name="Rect 446"/>
                <wp:cNvGraphicFramePr/>
                <a:graphic>
                  <a:graphicData uri="http://schemas.microsoft.com/office/word/2010/wordprocessingShape">
                    <wps:wsp>
                      <wps:cNvPr id="446" name="Rect 446"/>
                      <wps:cNvSpPr/>
                      <wps:spPr>
                        <a:xfrm>
                          <a:off x="7772272" y="0"/>
                          <a:ext cx="3175" cy="109093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772" style="position:absolute;margin-left:611.99pt;margin-top:0pt;mso-position-vertical-relative:page;mso-position-horizontal-relative:page;width:0.25pt;height:859pt;z-index:-250946560;" o:allowincell="f" fillcolor="#000000" filled="true" stroked="false"/>
            </w:pict>
          </mc:Fallback>
        </mc:AlternateContent>
      </w:r>
      <w:r>
        <w:pict>
          <v:shape id="_x0000_s774" style="position:absolute;margin-left:-1pt;margin-top:15.9436pt;mso-position-vertical-relative:text;mso-position-horizontal-relative:text;width:12.1pt;height:13.05pt;z-index:252383232;" filled="false" stroked="false" type="#_x0000_t202">
            <v:fill on="false"/>
            <v:stroke on="false"/>
            <v:path/>
            <v:imagedata o:title=""/>
            <o:lock v:ext="edit" aspectratio="false"/>
            <v:textbox inset="0mm,0mm,0mm,0mm">
              <w:txbxContent>
                <w:p>
                  <w:pPr>
                    <w:ind w:left="20"/>
                    <w:spacing w:before="19" w:line="172" w:lineRule="auto"/>
                    <w:outlineLvl w:val="0"/>
                    <w:rPr>
                      <w:rFonts w:ascii="Microsoft YaHei" w:hAnsi="Microsoft YaHei" w:eastAsia="Microsoft YaHei" w:cs="Microsoft YaHei"/>
                      <w:sz w:val="18"/>
                      <w:szCs w:val="18"/>
                    </w:rPr>
                  </w:pPr>
                  <w:r>
                    <w:rPr>
                      <w:rFonts w:ascii="Microsoft YaHei" w:hAnsi="Microsoft YaHei" w:eastAsia="Microsoft YaHei" w:cs="Microsoft YaHei"/>
                      <w:sz w:val="18"/>
                      <w:szCs w:val="18"/>
                      <w:b/>
                      <w:bCs/>
                      <w:color w:val="A8A8A8"/>
                      <w:spacing w:val="-6"/>
                    </w:rPr>
                    <w:t>35</w:t>
                  </w:r>
                </w:p>
              </w:txbxContent>
            </v:textbox>
          </v:shape>
        </w:pict>
      </w:r>
      <w:r>
        <w:rPr>
          <w:rFonts w:ascii="Microsoft YaHei" w:hAnsi="Microsoft YaHei" w:eastAsia="Microsoft YaHei" w:cs="Microsoft YaHei"/>
          <w:sz w:val="18"/>
          <w:szCs w:val="18"/>
          <w:color w:val="A8A8A8"/>
          <w:position w:val="-4"/>
        </w:rPr>
        <w:drawing>
          <wp:inline distT="0" distB="0" distL="0" distR="0">
            <wp:extent cx="6350" cy="130175"/>
            <wp:effectExtent l="0" t="0" r="0" b="0"/>
            <wp:docPr id="448" name="IM 448"/>
            <wp:cNvGraphicFramePr/>
            <a:graphic>
              <a:graphicData uri="http://schemas.openxmlformats.org/drawingml/2006/picture">
                <pic:pic>
                  <pic:nvPicPr>
                    <pic:cNvPr id="448" name="IM 448"/>
                    <pic:cNvPicPr/>
                  </pic:nvPicPr>
                  <pic:blipFill>
                    <a:blip r:embed="rId202"/>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rPr>
        <w:t xml:space="preserve">   </w:t>
      </w:r>
      <w:r>
        <w:rPr>
          <w:rFonts w:ascii="Microsoft YaHei" w:hAnsi="Microsoft YaHei" w:eastAsia="Microsoft YaHei" w:cs="Microsoft YaHei"/>
          <w:sz w:val="18"/>
          <w:szCs w:val="18"/>
          <w:color w:val="A8A8A8"/>
          <w:spacing w:val="1"/>
        </w:rPr>
        <w:t>新型储能助力能源转型</w:t>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60" w:lineRule="auto"/>
        <w:rPr/>
      </w:pPr>
      <w:r/>
    </w:p>
    <w:p>
      <w:pPr>
        <w:ind w:left="345"/>
        <w:spacing w:before="103" w:line="176" w:lineRule="auto"/>
        <w:rPr>
          <w:rFonts w:ascii="Microsoft YaHei" w:hAnsi="Microsoft YaHei" w:eastAsia="Microsoft YaHei" w:cs="Microsoft YaHei"/>
          <w:sz w:val="24"/>
          <w:szCs w:val="24"/>
        </w:rPr>
      </w:pPr>
      <w:r>
        <w:rPr>
          <w:rFonts w:ascii="Microsoft YaHei" w:hAnsi="Microsoft YaHei" w:eastAsia="Microsoft YaHei" w:cs="Microsoft YaHei"/>
          <w:sz w:val="24"/>
          <w:szCs w:val="24"/>
          <w:b/>
          <w:bCs/>
          <w:color w:val="00338D"/>
          <w:spacing w:val="-1"/>
        </w:rPr>
        <w:t>运营模式：新型储能电站以工程总承包（EPC）为主</w:t>
      </w:r>
    </w:p>
    <w:p>
      <w:pPr>
        <w:ind w:left="345" w:right="2998" w:firstLine="4"/>
        <w:spacing w:before="183" w:line="21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工程总承包指能源公司或公用事业公司通过框架协议直接向电池厂商采购电池系统</w:t>
      </w:r>
      <w:r>
        <w:rPr>
          <w:rFonts w:ascii="Microsoft YaHei" w:hAnsi="Microsoft YaHei" w:eastAsia="Microsoft YaHei" w:cs="Microsoft YaHei"/>
          <w:sz w:val="21"/>
          <w:szCs w:val="21"/>
          <w:spacing w:val="-12"/>
        </w:rPr>
        <w:t xml:space="preserve"> </w:t>
      </w:r>
      <w:r>
        <w:rPr>
          <w:rFonts w:ascii="Microsoft YaHei" w:hAnsi="Microsoft YaHei" w:eastAsia="Microsoft YaHei" w:cs="Microsoft YaHei"/>
          <w:sz w:val="21"/>
          <w:szCs w:val="21"/>
          <w:spacing w:val="3"/>
        </w:rPr>
        <w:t>，</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项目所有者/开发商直接与电池厂商签订协议，以</w:t>
      </w:r>
      <w:r>
        <w:rPr>
          <w:rFonts w:ascii="Microsoft YaHei" w:hAnsi="Microsoft YaHei" w:eastAsia="Microsoft YaHei" w:cs="Microsoft YaHei"/>
          <w:sz w:val="21"/>
          <w:szCs w:val="21"/>
        </w:rPr>
        <w:t>维护电池系统的稳定供应。</w:t>
      </w:r>
      <w:r>
        <w:rPr>
          <w:rFonts w:ascii="Microsoft YaHei" w:hAnsi="Microsoft YaHei" w:eastAsia="Microsoft YaHei" w:cs="Microsoft YaHei"/>
          <w:sz w:val="21"/>
          <w:szCs w:val="21"/>
          <w:spacing w:val="-23"/>
        </w:rPr>
        <w:t xml:space="preserve"> </w:t>
      </w:r>
      <w:r>
        <w:rPr>
          <w:rFonts w:ascii="Microsoft YaHei" w:hAnsi="Microsoft YaHei" w:eastAsia="Microsoft YaHei" w:cs="Microsoft YaHei"/>
          <w:sz w:val="21"/>
          <w:szCs w:val="21"/>
        </w:rPr>
        <w:t>由于以风 </w:t>
      </w:r>
      <w:r>
        <w:rPr>
          <w:rFonts w:ascii="Microsoft YaHei" w:hAnsi="Microsoft YaHei" w:eastAsia="Microsoft YaHei" w:cs="Microsoft YaHei"/>
          <w:sz w:val="21"/>
          <w:szCs w:val="21"/>
          <w:spacing w:val="1"/>
        </w:rPr>
        <w:t>电、光伏为代表的新能源发电站</w:t>
      </w:r>
      <w:r>
        <w:rPr>
          <w:rFonts w:ascii="Microsoft YaHei" w:hAnsi="Microsoft YaHei" w:eastAsia="Microsoft YaHei" w:cs="Microsoft YaHei"/>
          <w:sz w:val="21"/>
          <w:szCs w:val="21"/>
        </w:rPr>
        <w:t>EPC</w:t>
      </w:r>
      <w:r>
        <w:rPr>
          <w:rFonts w:ascii="Microsoft YaHei" w:hAnsi="Microsoft YaHei" w:eastAsia="Microsoft YaHei" w:cs="Microsoft YaHei"/>
          <w:sz w:val="21"/>
          <w:szCs w:val="21"/>
          <w:spacing w:val="1"/>
        </w:rPr>
        <w:t>项目，业主在建设期或者建设期+运营</w:t>
      </w:r>
      <w:r>
        <w:rPr>
          <w:rFonts w:ascii="Microsoft YaHei" w:hAnsi="Microsoft YaHei" w:eastAsia="Microsoft YaHei" w:cs="Microsoft YaHei"/>
          <w:sz w:val="21"/>
          <w:szCs w:val="21"/>
        </w:rPr>
        <w:t>期有融资需 </w:t>
      </w:r>
      <w:r>
        <w:rPr>
          <w:rFonts w:ascii="Microsoft YaHei" w:hAnsi="Microsoft YaHei" w:eastAsia="Microsoft YaHei" w:cs="Microsoft YaHei"/>
          <w:sz w:val="21"/>
          <w:szCs w:val="21"/>
          <w:spacing w:val="3"/>
        </w:rPr>
        <w:t>求</w:t>
      </w:r>
      <w:r>
        <w:rPr>
          <w:rFonts w:ascii="Microsoft YaHei" w:hAnsi="Microsoft YaHei" w:eastAsia="Microsoft YaHei" w:cs="Microsoft YaHei"/>
          <w:sz w:val="21"/>
          <w:szCs w:val="21"/>
          <w:spacing w:val="-24"/>
        </w:rPr>
        <w:t xml:space="preserve"> </w:t>
      </w:r>
      <w:r>
        <w:rPr>
          <w:rFonts w:ascii="Microsoft YaHei" w:hAnsi="Microsoft YaHei" w:eastAsia="Microsoft YaHei" w:cs="Microsoft YaHei"/>
          <w:sz w:val="21"/>
          <w:szCs w:val="21"/>
          <w:spacing w:val="3"/>
        </w:rPr>
        <w:t>，在项目开发中</w:t>
      </w:r>
      <w:r>
        <w:rPr>
          <w:rFonts w:ascii="Microsoft YaHei" w:hAnsi="Microsoft YaHei" w:eastAsia="Microsoft YaHei" w:cs="Microsoft YaHei"/>
          <w:sz w:val="21"/>
          <w:szCs w:val="21"/>
          <w:spacing w:val="-24"/>
        </w:rPr>
        <w:t xml:space="preserve"> </w:t>
      </w:r>
      <w:r>
        <w:rPr>
          <w:rFonts w:ascii="Microsoft YaHei" w:hAnsi="Microsoft YaHei" w:eastAsia="Microsoft YaHei" w:cs="Microsoft YaHei"/>
          <w:sz w:val="21"/>
          <w:szCs w:val="21"/>
          <w:spacing w:val="3"/>
        </w:rPr>
        <w:t>，往往引入融资租赁</w:t>
      </w:r>
      <w:r>
        <w:rPr>
          <w:rFonts w:ascii="Microsoft YaHei" w:hAnsi="Microsoft YaHei" w:eastAsia="Microsoft YaHei" w:cs="Microsoft YaHei"/>
          <w:sz w:val="13"/>
          <w:szCs w:val="13"/>
          <w:spacing w:val="3"/>
          <w:position w:val="6"/>
        </w:rPr>
        <w:t>23  </w:t>
      </w:r>
      <w:r>
        <w:rPr>
          <w:rFonts w:ascii="Microsoft YaHei" w:hAnsi="Microsoft YaHei" w:eastAsia="Microsoft YaHei" w:cs="Microsoft YaHei"/>
          <w:sz w:val="21"/>
          <w:szCs w:val="21"/>
          <w:spacing w:val="3"/>
        </w:rPr>
        <w:t>。“</w:t>
      </w:r>
      <w:r>
        <w:rPr>
          <w:rFonts w:ascii="Microsoft YaHei" w:hAnsi="Microsoft YaHei" w:eastAsia="Microsoft YaHei" w:cs="Microsoft YaHei"/>
          <w:sz w:val="21"/>
          <w:szCs w:val="21"/>
          <w:spacing w:val="-32"/>
        </w:rPr>
        <w:t xml:space="preserve"> </w:t>
      </w:r>
      <w:r>
        <w:rPr>
          <w:rFonts w:ascii="Microsoft YaHei" w:hAnsi="Microsoft YaHei" w:eastAsia="Microsoft YaHei" w:cs="Microsoft YaHei"/>
          <w:sz w:val="21"/>
          <w:szCs w:val="21"/>
        </w:rPr>
        <w:t>EPC</w:t>
      </w:r>
      <w:r>
        <w:rPr>
          <w:rFonts w:ascii="Microsoft YaHei" w:hAnsi="Microsoft YaHei" w:eastAsia="Microsoft YaHei" w:cs="Microsoft YaHei"/>
          <w:sz w:val="21"/>
          <w:szCs w:val="21"/>
          <w:spacing w:val="3"/>
        </w:rPr>
        <w:t>+融资租赁”</w:t>
      </w:r>
      <w:r>
        <w:rPr>
          <w:rFonts w:ascii="Microsoft YaHei" w:hAnsi="Microsoft YaHei" w:eastAsia="Microsoft YaHei" w:cs="Microsoft YaHei"/>
          <w:sz w:val="21"/>
          <w:szCs w:val="21"/>
          <w:spacing w:val="-45"/>
        </w:rPr>
        <w:t xml:space="preserve"> </w:t>
      </w:r>
      <w:r>
        <w:rPr>
          <w:rFonts w:ascii="Microsoft YaHei" w:hAnsi="Microsoft YaHei" w:eastAsia="Microsoft YaHei" w:cs="Microsoft YaHei"/>
          <w:sz w:val="21"/>
          <w:szCs w:val="21"/>
          <w:spacing w:val="3"/>
        </w:rPr>
        <w:t>模式中</w:t>
      </w:r>
      <w:r>
        <w:rPr>
          <w:rFonts w:ascii="Microsoft YaHei" w:hAnsi="Microsoft YaHei" w:eastAsia="Microsoft YaHei" w:cs="Microsoft YaHei"/>
          <w:sz w:val="21"/>
          <w:szCs w:val="21"/>
          <w:spacing w:val="2"/>
        </w:rPr>
        <w:t>融资租赁公司</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（出租人）</w:t>
      </w:r>
      <w:r>
        <w:rPr>
          <w:rFonts w:ascii="Microsoft YaHei" w:hAnsi="Microsoft YaHei" w:eastAsia="Microsoft YaHei" w:cs="Microsoft YaHei"/>
          <w:sz w:val="21"/>
          <w:szCs w:val="21"/>
          <w:spacing w:val="-27"/>
        </w:rPr>
        <w:t xml:space="preserve"> </w:t>
      </w:r>
      <w:r>
        <w:rPr>
          <w:rFonts w:ascii="Microsoft YaHei" w:hAnsi="Microsoft YaHei" w:eastAsia="Microsoft YaHei" w:cs="Microsoft YaHei"/>
          <w:sz w:val="21"/>
          <w:szCs w:val="21"/>
          <w:spacing w:val="3"/>
        </w:rPr>
        <w:t>根据业主（承租人）</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的需求出资向</w:t>
      </w:r>
      <w:r>
        <w:rPr>
          <w:rFonts w:ascii="Microsoft YaHei" w:hAnsi="Microsoft YaHei" w:eastAsia="Microsoft YaHei" w:cs="Microsoft YaHei"/>
          <w:sz w:val="21"/>
          <w:szCs w:val="21"/>
        </w:rPr>
        <w:t>EPC</w:t>
      </w:r>
      <w:r>
        <w:rPr>
          <w:rFonts w:ascii="Microsoft YaHei" w:hAnsi="Microsoft YaHei" w:eastAsia="Microsoft YaHei" w:cs="Microsoft YaHei"/>
          <w:sz w:val="21"/>
          <w:szCs w:val="21"/>
          <w:spacing w:val="3"/>
        </w:rPr>
        <w:t>方（供应商）</w:t>
      </w:r>
      <w:r>
        <w:rPr>
          <w:rFonts w:ascii="Microsoft YaHei" w:hAnsi="Microsoft YaHei" w:eastAsia="Microsoft YaHei" w:cs="Microsoft YaHei"/>
          <w:sz w:val="21"/>
          <w:szCs w:val="21"/>
          <w:spacing w:val="-40"/>
        </w:rPr>
        <w:t xml:space="preserve"> </w:t>
      </w:r>
      <w:r>
        <w:rPr>
          <w:rFonts w:ascii="Microsoft YaHei" w:hAnsi="Microsoft YaHei" w:eastAsia="Microsoft YaHei" w:cs="Microsoft YaHei"/>
          <w:sz w:val="21"/>
          <w:szCs w:val="21"/>
          <w:spacing w:val="3"/>
        </w:rPr>
        <w:t>购买全部或部分新能</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源电站设备</w:t>
      </w:r>
      <w:r>
        <w:rPr>
          <w:rFonts w:ascii="Microsoft YaHei" w:hAnsi="Microsoft YaHei" w:eastAsia="Microsoft YaHei" w:cs="Microsoft YaHei"/>
          <w:sz w:val="21"/>
          <w:szCs w:val="21"/>
          <w:spacing w:val="-21"/>
        </w:rPr>
        <w:t xml:space="preserve"> </w:t>
      </w:r>
      <w:r>
        <w:rPr>
          <w:rFonts w:ascii="Microsoft YaHei" w:hAnsi="Microsoft YaHei" w:eastAsia="Microsoft YaHei" w:cs="Microsoft YaHei"/>
          <w:sz w:val="21"/>
          <w:szCs w:val="21"/>
          <w:spacing w:val="1"/>
        </w:rPr>
        <w:t>，然后出租给业主</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1"/>
        </w:rPr>
        <w:t>，而业主在合同约定的租赁期限内</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spacing w:val="-42"/>
        </w:rPr>
        <w:t xml:space="preserve"> </w:t>
      </w:r>
      <w:r>
        <w:rPr>
          <w:rFonts w:ascii="Microsoft YaHei" w:hAnsi="Microsoft YaHei" w:eastAsia="Microsoft YaHei" w:cs="Microsoft YaHei"/>
          <w:sz w:val="21"/>
          <w:szCs w:val="21"/>
          <w:spacing w:val="1"/>
        </w:rPr>
        <w:t>向融资租赁公司支</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5"/>
        </w:rPr>
        <w:t>付租金（图 15）。</w:t>
      </w:r>
    </w:p>
    <w:p>
      <w:pPr>
        <w:pStyle w:val="BodyText"/>
        <w:spacing w:line="432" w:lineRule="auto"/>
        <w:rPr/>
      </w:pPr>
      <w:r>
        <w:pict>
          <v:rect id="_x0000_s776" style="position:absolute;margin-left:16.989pt;margin-top:16.9099pt;mso-position-vertical-relative:text;mso-position-horizontal-relative:text;width:30.5pt;height:5pt;z-index:252381184;" fillcolor="#00C0AE" filled="true" stroked="false"/>
        </w:pict>
      </w:r>
      <w:r/>
    </w:p>
    <w:p>
      <w:pPr>
        <w:ind w:left="497"/>
        <w:spacing w:before="90" w:line="215" w:lineRule="auto"/>
        <w:rPr>
          <w:sz w:val="21"/>
          <w:szCs w:val="21"/>
        </w:rPr>
      </w:pPr>
      <w:r>
        <mc:AlternateContent xmlns:mc="http://schemas.openxmlformats.org/markup-compatibility/2006">
          <mc:Choice Requires="wps">
            <w:drawing>
              <wp:anchor distT="0" distB="0" distL="0" distR="0" simplePos="0" relativeHeight="252368896" behindDoc="1" locked="0" layoutInCell="1" allowOverlap="1">
                <wp:simplePos x="0" y="0"/>
                <wp:positionH relativeFrom="column">
                  <wp:posOffset>214236</wp:posOffset>
                </wp:positionH>
                <wp:positionV relativeFrom="paragraph">
                  <wp:posOffset>-18838</wp:posOffset>
                </wp:positionV>
                <wp:extent cx="6123940" cy="332740"/>
                <wp:effectExtent l="0" t="0" r="0" b="0"/>
                <wp:wrapNone/>
                <wp:docPr id="450" name="Rect 450"/>
                <wp:cNvGraphicFramePr/>
                <a:graphic>
                  <a:graphicData uri="http://schemas.microsoft.com/office/word/2010/wordprocessingShape">
                    <wps:wsp>
                      <wps:cNvPr id="450" name="Rect 450"/>
                      <wps:cNvSpPr/>
                      <wps:spPr>
                        <a:xfrm>
                          <a:off x="214236" y="-18838"/>
                          <a:ext cx="6123940" cy="332740"/>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778" style="position:absolute;margin-left:16.869pt;margin-top:-1.48335pt;mso-position-vertical-relative:text;mso-position-horizontal-relative:text;width:482.2pt;height:26.2pt;z-index:-250947584;" fillcolor="#F1F1F1" filled="true" stroked="false"/>
            </w:pict>
          </mc:Fallback>
        </mc:AlternateContent>
      </w:r>
      <w:r>
        <w:pict>
          <v:shape id="_x0000_s780" style="position:absolute;margin-left:62.6641pt;margin-top:5.33007pt;mso-position-vertical-relative:text;mso-position-horizontal-relative:text;width:133.15pt;height:15.6pt;z-index:252376064;" filled="false" stroked="false" type="#_x0000_t202">
            <v:fill on="false"/>
            <v:stroke on="false"/>
            <v:path/>
            <v:imagedata o:title=""/>
            <o:lock v:ext="edit" aspectratio="false"/>
            <v:textbox inset="0mm,0mm,0mm,0mm">
              <w:txbxContent>
                <w:p>
                  <w:pPr>
                    <w:ind w:left="20"/>
                    <w:spacing w:before="20" w:line="18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C0AE"/>
                      <w:spacing w:val="-5"/>
                    </w:rPr>
                    <w:t>“</w:t>
                  </w:r>
                  <w:r>
                    <w:rPr>
                      <w:rFonts w:ascii="Microsoft YaHei" w:hAnsi="Microsoft YaHei" w:eastAsia="Microsoft YaHei" w:cs="Microsoft YaHei"/>
                      <w:sz w:val="21"/>
                      <w:szCs w:val="21"/>
                      <w:b/>
                      <w:bCs/>
                      <w:color w:val="00C0AE"/>
                      <w:spacing w:val="-31"/>
                    </w:rPr>
                    <w:t xml:space="preserve"> </w:t>
                  </w:r>
                  <w:r>
                    <w:rPr>
                      <w:rFonts w:ascii="Microsoft YaHei" w:hAnsi="Microsoft YaHei" w:eastAsia="Microsoft YaHei" w:cs="Microsoft YaHei"/>
                      <w:sz w:val="21"/>
                      <w:szCs w:val="21"/>
                      <w:b/>
                      <w:bCs/>
                      <w:color w:val="00C0AE"/>
                      <w:spacing w:val="-5"/>
                    </w:rPr>
                    <w:t>EPC+融资租赁”运行模式</w:t>
                  </w:r>
                </w:p>
              </w:txbxContent>
            </v:textbox>
          </v:shape>
        </w:pict>
      </w:r>
      <w:r>
        <w:rPr>
          <w:rFonts w:ascii="Microsoft YaHei" w:hAnsi="Microsoft YaHei" w:eastAsia="Microsoft YaHei" w:cs="Microsoft YaHei"/>
          <w:sz w:val="21"/>
          <w:szCs w:val="21"/>
          <w:b/>
          <w:bCs/>
          <w:color w:val="00C0AE"/>
          <w:spacing w:val="-14"/>
        </w:rPr>
        <w:t>图</w:t>
      </w:r>
      <w:r>
        <w:rPr>
          <w:rFonts w:ascii="Microsoft YaHei" w:hAnsi="Microsoft YaHei" w:eastAsia="Microsoft YaHei" w:cs="Microsoft YaHei"/>
          <w:sz w:val="21"/>
          <w:szCs w:val="21"/>
          <w:b/>
          <w:bCs/>
          <w:color w:val="00C0AE"/>
          <w:spacing w:val="2"/>
        </w:rPr>
        <w:t xml:space="preserve"> </w:t>
      </w:r>
      <w:r>
        <w:rPr>
          <w:rFonts w:ascii="Microsoft YaHei" w:hAnsi="Microsoft YaHei" w:eastAsia="Microsoft YaHei" w:cs="Microsoft YaHei"/>
          <w:sz w:val="21"/>
          <w:szCs w:val="21"/>
          <w:b/>
          <w:bCs/>
          <w:color w:val="00C0AE"/>
          <w:spacing w:val="-14"/>
        </w:rPr>
        <w:t>15</w:t>
      </w:r>
      <w:r>
        <w:rPr>
          <w:rFonts w:ascii="Microsoft YaHei" w:hAnsi="Microsoft YaHei" w:eastAsia="Microsoft YaHei" w:cs="Microsoft YaHei"/>
          <w:sz w:val="21"/>
          <w:szCs w:val="21"/>
          <w:b/>
          <w:bCs/>
          <w:color w:val="00C0AE"/>
          <w:spacing w:val="13"/>
        </w:rPr>
        <w:t xml:space="preserve"> </w:t>
      </w:r>
      <w:r>
        <w:rPr>
          <w:sz w:val="21"/>
          <w:szCs w:val="21"/>
          <w:position w:val="-5"/>
        </w:rPr>
        <w:drawing>
          <wp:inline distT="0" distB="0" distL="0" distR="0">
            <wp:extent cx="12700" cy="175666"/>
            <wp:effectExtent l="0" t="0" r="0" b="0"/>
            <wp:docPr id="452" name="IM 452"/>
            <wp:cNvGraphicFramePr/>
            <a:graphic>
              <a:graphicData uri="http://schemas.openxmlformats.org/drawingml/2006/picture">
                <pic:pic>
                  <pic:nvPicPr>
                    <pic:cNvPr id="452" name="IM 452"/>
                    <pic:cNvPicPr/>
                  </pic:nvPicPr>
                  <pic:blipFill>
                    <a:blip r:embed="rId203"/>
                    <a:stretch>
                      <a:fillRect/>
                    </a:stretch>
                  </pic:blipFill>
                  <pic:spPr>
                    <a:xfrm rot="0">
                      <a:off x="0" y="0"/>
                      <a:ext cx="12700" cy="175666"/>
                    </a:xfrm>
                    <a:prstGeom prst="rect">
                      <a:avLst/>
                    </a:prstGeom>
                  </pic:spPr>
                </pic:pic>
              </a:graphicData>
            </a:graphic>
          </wp:inline>
        </w:drawing>
      </w:r>
    </w:p>
    <w:p>
      <w:pPr>
        <w:pStyle w:val="BodyText"/>
        <w:spacing w:line="380" w:lineRule="auto"/>
        <w:rPr/>
      </w:pPr>
      <w:r/>
    </w:p>
    <w:p>
      <w:pPr>
        <w:ind w:firstLine="4455"/>
        <w:spacing w:line="1324" w:lineRule="exact"/>
        <w:rPr/>
      </w:pPr>
      <w:r>
        <w:drawing>
          <wp:anchor distT="0" distB="0" distL="0" distR="0" simplePos="0" relativeHeight="252370944" behindDoc="1" locked="0" layoutInCell="1" allowOverlap="1">
            <wp:simplePos x="0" y="0"/>
            <wp:positionH relativeFrom="column">
              <wp:posOffset>3768200</wp:posOffset>
            </wp:positionH>
            <wp:positionV relativeFrom="paragraph">
              <wp:posOffset>418360</wp:posOffset>
            </wp:positionV>
            <wp:extent cx="1823245" cy="783124"/>
            <wp:effectExtent l="0" t="0" r="0" b="0"/>
            <wp:wrapNone/>
            <wp:docPr id="454" name="IM 454"/>
            <wp:cNvGraphicFramePr/>
            <a:graphic>
              <a:graphicData uri="http://schemas.openxmlformats.org/drawingml/2006/picture">
                <pic:pic>
                  <pic:nvPicPr>
                    <pic:cNvPr id="454" name="IM 454"/>
                    <pic:cNvPicPr/>
                  </pic:nvPicPr>
                  <pic:blipFill>
                    <a:blip r:embed="rId204"/>
                    <a:stretch>
                      <a:fillRect/>
                    </a:stretch>
                  </pic:blipFill>
                  <pic:spPr>
                    <a:xfrm rot="0">
                      <a:off x="0" y="0"/>
                      <a:ext cx="1823245" cy="783124"/>
                    </a:xfrm>
                    <a:prstGeom prst="rect">
                      <a:avLst/>
                    </a:prstGeom>
                  </pic:spPr>
                </pic:pic>
              </a:graphicData>
            </a:graphic>
          </wp:anchor>
        </w:drawing>
      </w:r>
      <w:r>
        <w:drawing>
          <wp:anchor distT="0" distB="0" distL="0" distR="0" simplePos="0" relativeHeight="252371968" behindDoc="0" locked="0" layoutInCell="1" allowOverlap="1">
            <wp:simplePos x="0" y="0"/>
            <wp:positionH relativeFrom="column">
              <wp:posOffset>957046</wp:posOffset>
            </wp:positionH>
            <wp:positionV relativeFrom="paragraph">
              <wp:posOffset>341398</wp:posOffset>
            </wp:positionV>
            <wp:extent cx="1805263" cy="978472"/>
            <wp:effectExtent l="0" t="0" r="0" b="0"/>
            <wp:wrapNone/>
            <wp:docPr id="456" name="IM 456"/>
            <wp:cNvGraphicFramePr/>
            <a:graphic>
              <a:graphicData uri="http://schemas.openxmlformats.org/drawingml/2006/picture">
                <pic:pic>
                  <pic:nvPicPr>
                    <pic:cNvPr id="456" name="IM 456"/>
                    <pic:cNvPicPr/>
                  </pic:nvPicPr>
                  <pic:blipFill>
                    <a:blip r:embed="rId205"/>
                    <a:stretch>
                      <a:fillRect/>
                    </a:stretch>
                  </pic:blipFill>
                  <pic:spPr>
                    <a:xfrm rot="0">
                      <a:off x="0" y="0"/>
                      <a:ext cx="1805263" cy="978472"/>
                    </a:xfrm>
                    <a:prstGeom prst="rect">
                      <a:avLst/>
                    </a:prstGeom>
                  </pic:spPr>
                </pic:pic>
              </a:graphicData>
            </a:graphic>
          </wp:anchor>
        </w:drawing>
      </w:r>
      <w:r>
        <w:rPr>
          <w:position w:val="-26"/>
        </w:rPr>
        <w:pict>
          <v:group id="_x0000_s782" style="mso-position-vertical-relative:line;mso-position-horizontal-relative:char;width:66.25pt;height:66.25pt;" filled="false" stroked="false" coordsize="1325,1325" coordorigin="0,0">
            <v:shape id="_x0000_s784" style="position:absolute;left:0;top:0;width:1325;height:1325;" fillcolor="#00C0AE" filled="true" stroked="false" coordsize="1325,1325" coordorigin="0,0" path="m0,662c0,296,296,0,662,0c1028,0,1324,296,1324,662c1324,1028,1028,1324,662,1324c296,1324,0,1028,0,662e"/>
            <v:shape id="_x0000_s786" style="position:absolute;left:743;top:440;width:178;height:178;" filled="false" strokecolor="#FFFFFF" strokeweight="1.50pt" coordsize="178,178" coordorigin="0,0" path="m15,89c15,48,48,15,89,15c130,15,163,48,163,89c163,130,130,163,89,163c48,163,15,130,15,89e">
              <v:stroke joinstyle="miter"/>
            </v:shape>
            <v:shape id="_x0000_s788" style="position:absolute;left:609;top:253;width:495;height:549;" filled="false" strokecolor="#FFFFFF" strokeweight="1.50pt" coordsize="495,549" coordorigin="0,0" path="m111,450c130,463,153,473,176,477l185,533l259,533l268,477c291,473,314,463,333,450l379,482l429,431l397,385c411,366,420,343,425,320l480,311l480,237l425,227c420,204,411,181,397,163l429,116l379,65l333,98c314,84,291,75,268,70l259,15l185,15l176,70c153,75,130,84,111,98l65,65l15,116l47,163c33,181,24,204,19,227e">
              <v:stroke miterlimit="10"/>
            </v:shape>
            <v:shape id="_x0000_s790" style="position:absolute;left:301;top:512;width:380;height:362;" filled="false" strokecolor="#FFFFFF" strokeweight="1.50pt" coordsize="380,362" coordorigin="0,0" path="m88,346c47,346,15,309,15,272l15,106c15,47,116,15,180,15c245,15,365,47,365,106l365,327e">
              <v:stroke endcap="round" miterlimit="10"/>
            </v:shape>
            <v:shape id="_x0000_s792" style="position:absolute;left:392;top:272;width:178;height:212;" filled="false" strokecolor="#FFFFFF" strokeweight="1.50pt" coordsize="178,212" coordorigin="0,0" path="m89,197c47,197,15,165,15,124l15,87c15,46,47,15,89,15c131,15,163,46,163,87l163,124c163,165,131,197,89,197e">
              <v:stroke miterlimit="10"/>
            </v:shape>
            <v:shape id="_x0000_s794" style="position:absolute;left:373;top:642;width:232;height:490;" filled="false" strokecolor="#FFFFFF" strokeweight="1.50pt" coordsize="232,490" coordorigin="0,0" path="m15,475l15,15m216,15l216,197m216,360l216,475m110,197l110,475e">
              <v:stroke endcap="round" miterlimit="10"/>
            </v:shape>
            <v:shape id="_x0000_s796" style="position:absolute;left:541;top:824;width:232;height:193;" filled="false" strokecolor="#FFFFFF" strokeweight="1.50pt" coordsize="232,193" coordorigin="0,0" path="m15,15l216,15l216,178l15,178l15,15xe">
              <v:stroke miterlimit="10"/>
            </v:shape>
          </v:group>
        </w:pict>
      </w:r>
    </w:p>
    <w:p>
      <w:pPr>
        <w:ind w:left="4426"/>
        <w:spacing w:before="132" w:line="175"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00C0AE"/>
        </w:rPr>
        <w:t>供应商（FPC）</w:t>
      </w:r>
    </w:p>
    <w:p>
      <w:pPr>
        <w:pStyle w:val="BodyText"/>
        <w:spacing w:line="356" w:lineRule="auto"/>
        <w:rPr/>
      </w:pPr>
      <w:r>
        <w:pict>
          <v:group id="_x0000_s798" style="position:absolute;margin-left:22.149pt;margin-top:9.59128pt;mso-position-vertical-relative:text;mso-position-horizontal-relative:text;width:66.25pt;height:66.25pt;z-index:252374016;" filled="false" stroked="false" coordsize="1325,1325" coordorigin="0,0">
            <v:shape id="_x0000_s800" style="position:absolute;left:0;top:0;width:1325;height:1325;" fillcolor="#00C0AE" filled="true" stroked="false" coordsize="1325,1325" coordorigin="0,0" path="m0,662c0,296,296,0,662,0c1028,0,1324,296,1324,662c1324,1028,1028,1324,662,1324c296,1324,0,1028,0,662e"/>
            <v:shape id="_x0000_s802" style="position:absolute;left:733;top:474;width:188;height:188;" filled="false" strokecolor="#FFFFFF" strokeweight="1.50pt" coordsize="188,188" coordorigin="0,0" path="m15,94c15,50,50,15,94,15c137,15,173,50,173,94c173,137,137,173,94,173c50,173,15,137,15,94e">
              <v:stroke joinstyle="miter"/>
            </v:shape>
            <v:shape id="_x0000_s804" style="position:absolute;left:536;top:234;width:625;height:605;" filled="false" strokecolor="#FFFFFF" strokeweight="1.50pt" coordsize="625,605" coordorigin="0,0" path="m420,536l485,590l550,526l495,461c505,437,520,412,525,387l610,377l610,288l525,278c520,253,505,228,495,203l550,139l485,74l420,129c395,119,370,104,345,99l335,15l245,15l235,99c210,104,185,119,160,129l95,74l30,139l85,203c75,228,60,253,55,278l15,283e">
              <v:stroke miterlimit="10"/>
            </v:shape>
            <v:shape id="_x0000_s806" style="position:absolute;left:215;top:474;width:429;height:525;" filled="false" strokecolor="#FFFFFF" strokeweight="1.50pt" coordsize="429,525" coordorigin="0,0" path="m195,211c150,211,115,172,115,128l115,98c115,54,150,15,195,15c239,15,274,54,274,98l274,128c274,172,239,211,195,211m15,509c15,509,29,401,34,352c39,303,69,274,114,274l154,274l293,431l413,431c413,431,423,509,353,509l233,509l134,391e">
              <v:stroke joinstyle="miter"/>
            </v:shape>
            <v:shape id="_x0000_s808" style="position:absolute;left:350;top:709;width:577;height:290;" filled="false" strokecolor="#FFFFFF" strokeweight="1.50pt" coordsize="577,290" coordorigin="0,0" path="m177,134l258,15l532,15l416,211l318,211m0,274l576,274e">
              <v:stroke miterlimit="10"/>
            </v:shape>
          </v:group>
        </w:pict>
      </w:r>
      <w:r>
        <w:pict>
          <v:group id="_x0000_s810" style="position:absolute;margin-left:432.789pt;margin-top:9.59128pt;mso-position-vertical-relative:text;mso-position-horizontal-relative:text;width:66.5pt;height:66.25pt;z-index:252372992;" filled="false" stroked="false" coordsize="1330,1325" coordorigin="0,0">
            <v:shape id="_x0000_s812" style="position:absolute;left:0;top:0;width:1330;height:1325;" fillcolor="#00C0AE" filled="true" stroked="false" coordsize="1330,1325" coordorigin="0,0" path="m0,662c0,296,297,0,664,0c1031,0,1329,296,1329,662c1329,1028,1031,1324,664,1324c297,1324,0,1028,0,662e"/>
            <v:shape id="_x0000_s814" style="position:absolute;left:522;top:225;width:605;height:605;" filled="false" strokecolor="#FFFFFF" strokeweight="1.50pt" coordsize="605,605" coordorigin="0,0" path="m15,302c15,143,143,15,303,15c462,15,590,143,590,302c590,462,462,590,303,590c143,590,15,462,15,302e">
              <v:stroke miterlimit="10"/>
            </v:shape>
            <v:shape id="_x0000_s816" style="position:absolute;left:320;top:623;width:165;height:165;" filled="false" strokecolor="#FFFFFF" strokeweight="1.50pt" coordsize="165,165" coordorigin="0,0" path="m15,82c15,45,45,15,82,15c119,15,149,45,149,82c149,119,119,149,82,149c45,149,15,119,15,82e">
              <v:stroke joinstyle="miter"/>
            </v:shape>
            <v:shape id="_x0000_s818" style="position:absolute;left:124;top:431;width:928;height:674;" filled="false" strokecolor="#FFFFFF" strokeweight="1.50pt" coordsize="928,674" coordorigin="0,0" path="m352,15l318,81c295,76,273,76,250,76l217,15l144,42l166,109c149,120,133,137,116,154l48,131l15,204l82,237c76,259,76,282,76,304l15,337l43,410l110,387c121,404,138,421,155,438l133,504l206,538l239,471c262,476,284,476,307,476l340,538l413,510l391,443c408,432,425,415,442,399l509,421m759,432c759,454,748,481,732,491c700,518,657,513,630,481c625,464,619,448,619,437m530,493l485,526l524,586l575,553c586,570,603,575,620,586l609,641l682,658l693,603c710,597,727,597,743,592l777,636l839,597l811,548c822,537,833,520,839,504l895,515l912,443l856,432e">
              <v:stroke miterlimit="10"/>
            </v:shape>
            <v:shape id="_x0000_s820" style="position:absolute;left:700;top:537;width:251;height:141;" filled="false" strokecolor="#FFFFFF" strokeweight="1.50pt" coordsize="251,141" coordorigin="0,0" path="m235,125l235,81c235,37,175,15,125,15c75,15,15,37,15,81l15,125e">
              <v:stroke joinstyle="miter"/>
            </v:shape>
          </v:group>
        </w:pict>
      </w:r>
      <w:r/>
    </w:p>
    <w:p>
      <w:pPr>
        <w:ind w:left="4519"/>
        <w:spacing w:before="78" w:line="174" w:lineRule="auto"/>
        <w:rPr>
          <w:rFonts w:ascii="Microsoft YaHei" w:hAnsi="Microsoft YaHei" w:eastAsia="Microsoft YaHei" w:cs="Microsoft YaHei"/>
          <w:sz w:val="18"/>
          <w:szCs w:val="18"/>
        </w:rPr>
      </w:pPr>
      <w:r>
        <w:pict>
          <v:shape id="_x0000_s822" style="position:absolute;margin-left:470.709pt;margin-top:11.3615pt;mso-position-vertical-relative:text;mso-position-horizontal-relative:text;width:8.25pt;height:9.45pt;z-index:252382208;" filled="false" strokecolor="#FFFFFF" strokeweight="1.50pt" coordsize="165,188" coordorigin="0,0" path="m82,173c121,173,149,145,149,105l149,82c149,43,121,15,82,15c42,15,15,43,15,82l15,105c15,145,42,173,82,173e">
            <v:stroke joinstyle="miter"/>
          </v:shape>
        </w:pict>
      </w:r>
      <w:r>
        <w:rPr>
          <w:rFonts w:ascii="Microsoft YaHei" w:hAnsi="Microsoft YaHei" w:eastAsia="Microsoft YaHei" w:cs="Microsoft YaHei"/>
          <w:sz w:val="18"/>
          <w:szCs w:val="18"/>
          <w:color w:val="00338D"/>
          <w:spacing w:val="-4"/>
        </w:rPr>
        <w:t>买卖合同（直租）</w:t>
      </w:r>
    </w:p>
    <w:p>
      <w:pPr>
        <w:ind w:firstLine="1945"/>
        <w:spacing w:line="120" w:lineRule="exact"/>
        <w:rPr/>
      </w:pPr>
      <w:r>
        <w:rPr>
          <w:position w:val="-2"/>
        </w:rPr>
        <w:pict>
          <v:group id="_x0000_s824" style="mso-position-vertical-relative:line;mso-position-horizontal-relative:char;width:326.95pt;height:6pt;" filled="false" stroked="false" coordsize="6539,120" coordorigin="0,0">
            <v:shape id="_x0000_s826" style="position:absolute;left:0;top:45;width:6439;height:30;" filled="false" strokecolor="#00338D" strokeweight="1.50pt" coordsize="6439,30" coordorigin="0,0" path="m0,15l6438,15e">
              <v:stroke joinstyle="miter"/>
            </v:shape>
            <v:shape id="_x0000_s828" style="position:absolute;left:6418;top:0;width:120;height:120;" fillcolor="#00338D" filled="true" stroked="false" coordsize="120,120" coordorigin="0,0" path="m,l120,60l0,120l0,0xe"/>
          </v:group>
        </w:pict>
      </w:r>
    </w:p>
    <w:p>
      <w:pPr>
        <w:ind w:left="4515"/>
        <w:spacing w:before="25" w:line="177"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00338D"/>
          <w:spacing w:val="-3"/>
        </w:rPr>
        <w:t>租赁合同（直租）</w:t>
      </w:r>
    </w:p>
    <w:p>
      <w:pPr>
        <w:ind w:firstLine="1945"/>
        <w:spacing w:before="78" w:line="120" w:lineRule="exact"/>
        <w:rPr/>
      </w:pPr>
      <w:r>
        <w:rPr>
          <w:position w:val="-2"/>
        </w:rPr>
        <w:pict>
          <v:group id="_x0000_s830" style="mso-position-vertical-relative:line;mso-position-horizontal-relative:char;width:326.95pt;height:6pt;" filled="false" stroked="false" coordsize="6539,120" coordorigin="0,0">
            <v:shape id="_x0000_s832" style="position:absolute;left:99;top:45;width:6439;height:30;" filled="false" strokecolor="#00B8F5" strokeweight="1.50pt" coordsize="6439,30" coordorigin="0,0" path="m0,15l6438,15e">
              <v:stroke joinstyle="miter"/>
            </v:shape>
            <v:shape id="_x0000_s834" style="position:absolute;left:0;top:0;width:120;height:120;" fillcolor="#00B8F5" filled="true" stroked="false" coordsize="120,120" coordorigin="0,0" path="m120,120l0,60l120,0l120,120xe"/>
          </v:group>
        </w:pict>
      </w:r>
    </w:p>
    <w:p>
      <w:pPr>
        <w:ind w:left="4880"/>
        <w:spacing w:before="15" w:line="178"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00B8F5"/>
        </w:rPr>
        <w:t>租金支付</w:t>
      </w:r>
    </w:p>
    <w:p>
      <w:pPr>
        <w:ind w:left="782"/>
        <w:spacing w:before="189" w:line="165" w:lineRule="auto"/>
        <w:rPr>
          <w:rFonts w:ascii="Microsoft YaHei" w:hAnsi="Microsoft YaHei" w:eastAsia="Microsoft YaHei" w:cs="Microsoft YaHei"/>
          <w:sz w:val="24"/>
          <w:szCs w:val="24"/>
        </w:rPr>
      </w:pPr>
      <w:r>
        <w:pict>
          <v:shape id="_x0000_s836" style="position:absolute;margin-left:433.835pt;margin-top:8.48866pt;mso-position-vertical-relative:text;mso-position-horizontal-relative:text;width:69.35pt;height:31.15pt;z-index:252375040;" filled="false" stroked="false" type="#_x0000_t202">
            <v:fill on="false"/>
            <v:stroke on="false"/>
            <v:path/>
            <v:imagedata o:title=""/>
            <o:lock v:ext="edit" aspectratio="false"/>
            <v:textbox inset="0mm,0mm,0mm,0mm">
              <w:txbxContent>
                <w:p>
                  <w:pPr>
                    <w:ind w:left="20" w:right="20" w:firstLine="323"/>
                    <w:spacing w:before="19" w:line="170"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00C0AE"/>
                      <w:spacing w:val="-4"/>
                    </w:rPr>
                    <w:t>承租人</w:t>
                  </w:r>
                  <w:r>
                    <w:rPr>
                      <w:rFonts w:ascii="Microsoft YaHei" w:hAnsi="Microsoft YaHei" w:eastAsia="Microsoft YaHei" w:cs="Microsoft YaHei"/>
                      <w:sz w:val="24"/>
                      <w:szCs w:val="24"/>
                      <w:color w:val="00C0AE"/>
                    </w:rPr>
                    <w:t xml:space="preserve">     </w:t>
                  </w:r>
                  <w:r>
                    <w:rPr>
                      <w:rFonts w:ascii="Microsoft YaHei" w:hAnsi="Microsoft YaHei" w:eastAsia="Microsoft YaHei" w:cs="Microsoft YaHei"/>
                      <w:sz w:val="24"/>
                      <w:szCs w:val="24"/>
                      <w:color w:val="00C0AE"/>
                      <w:spacing w:val="-16"/>
                    </w:rPr>
                    <w:t>（项目业主）</w:t>
                  </w:r>
                </w:p>
              </w:txbxContent>
            </v:textbox>
          </v:shape>
        </w:pict>
      </w:r>
      <w:r>
        <w:pict>
          <v:shape id="_x0000_s838" style="position:absolute;margin-left:219.205pt;margin-top:15.599pt;mso-position-vertical-relative:text;mso-position-horizontal-relative:text;width:28.95pt;height:13.5pt;z-index:252377088;" filled="false" stroked="false" type="#_x0000_t202">
            <v:fill on="false"/>
            <v:stroke on="false"/>
            <v:path/>
            <v:imagedata o:title=""/>
            <o:lock v:ext="edit" aspectratio="false"/>
            <v:textbox inset="0mm,0mm,0mm,0mm">
              <w:txbxContent>
                <w:p>
                  <w:pPr>
                    <w:ind w:left="20"/>
                    <w:spacing w:before="20" w:line="178"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00B8F5"/>
                      <w:spacing w:val="-1"/>
                    </w:rPr>
                    <w:t>现金流</w:t>
                  </w:r>
                </w:p>
              </w:txbxContent>
            </v:textbox>
          </v:shape>
        </w:pict>
      </w:r>
      <w:r>
        <w:pict>
          <v:shape id="_x0000_s840" style="position:absolute;margin-left:301.294pt;margin-top:15.6628pt;mso-position-vertical-relative:text;mso-position-horizontal-relative:text;width:29pt;height:13.4pt;z-index:252378112;" filled="false" stroked="false" type="#_x0000_t202">
            <v:fill on="false"/>
            <v:stroke on="false"/>
            <v:path/>
            <v:imagedata o:title=""/>
            <o:lock v:ext="edit" aspectratio="false"/>
            <v:textbox inset="0mm,0mm,0mm,0mm">
              <w:txbxContent>
                <w:p>
                  <w:pPr>
                    <w:ind w:left="20"/>
                    <w:spacing w:before="19" w:line="177"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00338D"/>
                      <w:spacing w:val="-1"/>
                    </w:rPr>
                    <w:t>合同流</w:t>
                  </w:r>
                </w:p>
              </w:txbxContent>
            </v:textbox>
          </v:shape>
        </w:pict>
      </w:r>
      <w:r>
        <w:pict>
          <v:group id="_x0000_s842" style="position:absolute;margin-left:183.669pt;margin-top:18.5295pt;mso-position-vertical-relative:text;mso-position-horizontal-relative:text;width:31.4pt;height:6pt;z-index:252380160;" filled="false" stroked="false" coordsize="627,120" coordorigin="0,0">
            <v:shape id="_x0000_s844" style="position:absolute;left:99;top:45;width:527;height:30;" filled="false" strokecolor="#00B8F5" strokeweight="1.50pt" coordsize="527,30" coordorigin="0,0" path="m0,15l527,15e">
              <v:stroke joinstyle="miter"/>
            </v:shape>
            <v:shape id="_x0000_s846" style="position:absolute;left:0;top:0;width:120;height:120;" fillcolor="#00B8F5" filled="true" stroked="false" coordsize="120,120" coordorigin="0,0" path="m120,120l0,60l120,0l120,120xe"/>
          </v:group>
        </w:pict>
      </w:r>
      <w:r>
        <w:pict>
          <v:group id="_x0000_s848" style="position:absolute;margin-left:265.269pt;margin-top:18.5295pt;mso-position-vertical-relative:text;mso-position-horizontal-relative:text;width:31.4pt;height:6pt;z-index:252379136;" filled="false" stroked="false" coordsize="627,120" coordorigin="0,0">
            <v:shape id="_x0000_s850" style="position:absolute;left:100;top:45;width:527;height:30;" filled="false" strokecolor="#00338D" strokeweight="1.50pt" coordsize="527,30" coordorigin="0,0" path="m527,15l0,15e">
              <v:stroke joinstyle="miter"/>
            </v:shape>
            <v:shape id="_x0000_s852" style="position:absolute;left:0;top:0;width:120;height:120;" fillcolor="#00338D" filled="true" stroked="false" coordsize="120,120" coordorigin="0,0" path="m120,0l0,60l120,120l120,0xe"/>
          </v:group>
        </w:pict>
      </w:r>
      <w:r>
        <w:rPr>
          <w:rFonts w:ascii="Microsoft YaHei" w:hAnsi="Microsoft YaHei" w:eastAsia="Microsoft YaHei" w:cs="Microsoft YaHei"/>
          <w:sz w:val="24"/>
          <w:szCs w:val="24"/>
          <w:color w:val="00C0AE"/>
          <w:spacing w:val="-6"/>
        </w:rPr>
        <w:t>出租人</w:t>
      </w:r>
    </w:p>
    <w:p>
      <w:pPr>
        <w:ind w:left="260"/>
        <w:spacing w:line="175"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00C0AE"/>
          <w:spacing w:val="-11"/>
        </w:rPr>
        <w:t>（融资租赁公司）</w:t>
      </w:r>
    </w:p>
    <w:p>
      <w:pPr>
        <w:pStyle w:val="BodyText"/>
        <w:spacing w:line="295" w:lineRule="auto"/>
        <w:rPr/>
      </w:pPr>
      <w:r/>
    </w:p>
    <w:p>
      <w:pPr>
        <w:ind w:left="347"/>
        <w:spacing w:before="64" w:line="186"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8"/>
        </w:rPr>
        <w:t>资料来源：北极星储能网，毕马威分析</w:t>
      </w:r>
    </w:p>
    <w:p>
      <w:pPr>
        <w:pStyle w:val="BodyText"/>
        <w:spacing w:line="270" w:lineRule="auto"/>
        <w:rPr/>
      </w:pPr>
      <w:r/>
    </w:p>
    <w:p>
      <w:pPr>
        <w:pStyle w:val="BodyText"/>
        <w:spacing w:line="270" w:lineRule="auto"/>
        <w:rPr/>
      </w:pPr>
      <w:r/>
    </w:p>
    <w:p>
      <w:pPr>
        <w:pStyle w:val="BodyText"/>
        <w:spacing w:line="271" w:lineRule="auto"/>
        <w:rPr/>
      </w:pPr>
      <w:r>
        <w:pict>
          <v:shape id="_x0000_s854" style="position:absolute;margin-left:17.119pt;margin-top:5.65689pt;mso-position-vertical-relative:text;mso-position-horizontal-relative:text;width:81.3pt;height:0.5pt;z-index:252384256;" filled="false" strokecolor="#000000" strokeweight="0.50pt" coordsize="1626,10" coordorigin="0,0" path="m0,5l1625,5e">
            <v:stroke joinstyle="miter"/>
          </v:shape>
        </w:pict>
      </w:r>
      <w:r/>
    </w:p>
    <w:p>
      <w:pPr>
        <w:ind w:left="351" w:right="5824" w:hanging="9"/>
        <w:spacing w:before="56" w:line="187"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4"/>
          <w:position w:val="4"/>
        </w:rPr>
        <w:t>23</w:t>
      </w:r>
      <w:r>
        <w:rPr>
          <w:rFonts w:ascii="Microsoft YaHei" w:hAnsi="Microsoft YaHei" w:eastAsia="Microsoft YaHei" w:cs="Microsoft YaHei"/>
          <w:sz w:val="9"/>
          <w:szCs w:val="9"/>
          <w:spacing w:val="15"/>
          <w:position w:val="4"/>
        </w:rPr>
        <w:t xml:space="preserve"> </w:t>
      </w:r>
      <w:r>
        <w:rPr>
          <w:rFonts w:ascii="Microsoft YaHei" w:hAnsi="Microsoft YaHei" w:eastAsia="Microsoft YaHei" w:cs="Microsoft YaHei"/>
          <w:sz w:val="13"/>
          <w:szCs w:val="13"/>
          <w:spacing w:val="4"/>
        </w:rPr>
        <w:t>2022上半年储能系统和</w:t>
      </w:r>
      <w:r>
        <w:rPr>
          <w:rFonts w:ascii="Microsoft YaHei" w:hAnsi="Microsoft YaHei" w:eastAsia="Microsoft YaHei" w:cs="Microsoft YaHei"/>
          <w:sz w:val="13"/>
          <w:szCs w:val="13"/>
        </w:rPr>
        <w:t>EPC</w:t>
      </w:r>
      <w:r>
        <w:rPr>
          <w:rFonts w:ascii="Microsoft YaHei" w:hAnsi="Microsoft YaHei" w:eastAsia="Microsoft YaHei" w:cs="Microsoft YaHei"/>
          <w:sz w:val="13"/>
          <w:szCs w:val="13"/>
          <w:spacing w:val="4"/>
        </w:rPr>
        <w:t>中标情况和价格盘点，索比光伏网，  2022年7月29日，</w:t>
      </w:r>
      <w:r>
        <w:rPr>
          <w:rFonts w:ascii="Microsoft YaHei" w:hAnsi="Microsoft YaHei" w:eastAsia="Microsoft YaHei" w:cs="Microsoft YaHei"/>
          <w:sz w:val="13"/>
          <w:szCs w:val="13"/>
        </w:rPr>
        <w:t xml:space="preserve"> </w:t>
      </w:r>
      <w:hyperlink w:history="true" r:id="rId206">
        <w:r>
          <w:rPr>
            <w:rFonts w:ascii="Microsoft YaHei" w:hAnsi="Microsoft YaHei" w:eastAsia="Microsoft YaHei" w:cs="Microsoft YaHei"/>
            <w:sz w:val="13"/>
            <w:szCs w:val="13"/>
          </w:rPr>
          <w:t>https</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cn</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solarbe</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com</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news</w:t>
        </w:r>
        <w:r>
          <w:rPr>
            <w:rFonts w:ascii="Microsoft YaHei" w:hAnsi="Microsoft YaHei" w:eastAsia="Microsoft YaHei" w:cs="Microsoft YaHei"/>
            <w:sz w:val="13"/>
            <w:szCs w:val="13"/>
            <w:spacing w:val="6"/>
          </w:rPr>
          <w:t>/20220729/49862.</w:t>
        </w:r>
        <w:r>
          <w:rPr>
            <w:rFonts w:ascii="Microsoft YaHei" w:hAnsi="Microsoft YaHei" w:eastAsia="Microsoft YaHei" w:cs="Microsoft YaHei"/>
            <w:sz w:val="13"/>
            <w:szCs w:val="13"/>
          </w:rPr>
          <w:t>html</w:t>
        </w:r>
      </w:hyperlink>
    </w:p>
    <w:p>
      <w:pPr>
        <w:ind w:firstLine="337"/>
        <w:spacing w:before="158" w:line="4392" w:lineRule="exact"/>
        <w:rPr/>
      </w:pPr>
      <w:r>
        <w:rPr>
          <w:position w:val="-87"/>
        </w:rPr>
        <w:drawing>
          <wp:inline distT="0" distB="0" distL="0" distR="0">
            <wp:extent cx="6949440" cy="2788920"/>
            <wp:effectExtent l="0" t="0" r="0" b="0"/>
            <wp:docPr id="458" name="IM 458"/>
            <wp:cNvGraphicFramePr/>
            <a:graphic>
              <a:graphicData uri="http://schemas.openxmlformats.org/drawingml/2006/picture">
                <pic:pic>
                  <pic:nvPicPr>
                    <pic:cNvPr id="458" name="IM 458"/>
                    <pic:cNvPicPr/>
                  </pic:nvPicPr>
                  <pic:blipFill>
                    <a:blip r:embed="rId207"/>
                    <a:stretch>
                      <a:fillRect/>
                    </a:stretch>
                  </pic:blipFill>
                  <pic:spPr>
                    <a:xfrm rot="0">
                      <a:off x="0" y="0"/>
                      <a:ext cx="6949440" cy="2788920"/>
                    </a:xfrm>
                    <a:prstGeom prst="rect">
                      <a:avLst/>
                    </a:prstGeom>
                  </pic:spPr>
                </pic:pic>
              </a:graphicData>
            </a:graphic>
          </wp:inline>
        </w:drawing>
      </w:r>
    </w:p>
    <w:p>
      <w:pPr>
        <w:ind w:left="842" w:right="1241" w:hanging="411"/>
        <w:spacing w:before="252"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963" w:header="0" w:footer="0" w:gutter="0"/>
        </w:sectPr>
        <w:rPr>
          <w:rFonts w:ascii="Microsoft YaHei" w:hAnsi="Microsoft YaHei" w:eastAsia="Microsoft YaHei" w:cs="Microsoft YaHei"/>
          <w:sz w:val="11"/>
          <w:szCs w:val="11"/>
        </w:rPr>
      </w:pPr>
    </w:p>
    <w:p>
      <w:pPr>
        <w:ind w:left="8975"/>
        <w:spacing w:before="314" w:line="193" w:lineRule="auto"/>
        <w:rPr>
          <w:rFonts w:ascii="Microsoft YaHei" w:hAnsi="Microsoft YaHei" w:eastAsia="Microsoft YaHei" w:cs="Microsoft YaHei"/>
          <w:sz w:val="18"/>
          <w:szCs w:val="18"/>
        </w:rPr>
      </w:pPr>
      <w:r>
        <w:pict>
          <v:rect id="_x0000_s856" style="position:absolute;margin-left:611.99pt;margin-top:0pt;mso-position-vertical-relative:page;mso-position-horizontal-relative:page;width:0.25pt;height:859pt;z-index:252413952;" o:allowincell="f" fillcolor="#000000" filled="true" stroked="false"/>
        </w:pict>
      </w:r>
      <w:r>
        <w:rPr>
          <w:rFonts w:ascii="Microsoft YaHei" w:hAnsi="Microsoft YaHei" w:eastAsia="Microsoft YaHei" w:cs="Microsoft YaHei"/>
          <w:sz w:val="18"/>
          <w:szCs w:val="18"/>
          <w:color w:val="A8A8A8"/>
        </w:rPr>
        <w:t>新型储能助力能源转型</w:t>
      </w:r>
      <w:r>
        <w:rPr>
          <w:rFonts w:ascii="Microsoft YaHei" w:hAnsi="Microsoft YaHei" w:eastAsia="Microsoft YaHei" w:cs="Microsoft YaHei"/>
          <w:sz w:val="18"/>
          <w:szCs w:val="18"/>
          <w:color w:val="A8A8A8"/>
          <w:spacing w:val="20"/>
        </w:rPr>
        <w:t xml:space="preserve">  </w:t>
      </w:r>
      <w:r>
        <w:rPr>
          <w:sz w:val="18"/>
          <w:szCs w:val="18"/>
          <w:position w:val="-4"/>
        </w:rPr>
        <w:drawing>
          <wp:inline distT="0" distB="0" distL="0" distR="0">
            <wp:extent cx="6350" cy="130175"/>
            <wp:effectExtent l="0" t="0" r="0" b="0"/>
            <wp:docPr id="460" name="IM 460"/>
            <wp:cNvGraphicFramePr/>
            <a:graphic>
              <a:graphicData uri="http://schemas.openxmlformats.org/drawingml/2006/picture">
                <pic:pic>
                  <pic:nvPicPr>
                    <pic:cNvPr id="460" name="IM 460"/>
                    <pic:cNvPicPr/>
                  </pic:nvPicPr>
                  <pic:blipFill>
                    <a:blip r:embed="rId208"/>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spacing w:val="15"/>
          <w:w w:val="101"/>
        </w:rPr>
        <w:t xml:space="preserve">  </w:t>
      </w:r>
      <w:r>
        <w:rPr>
          <w:rFonts w:ascii="Microsoft YaHei" w:hAnsi="Microsoft YaHei" w:eastAsia="Microsoft YaHei" w:cs="Microsoft YaHei"/>
          <w:sz w:val="18"/>
          <w:szCs w:val="18"/>
          <w:b/>
          <w:bCs/>
          <w:color w:val="A8A8A8"/>
        </w:rPr>
        <w:t>36</w:t>
      </w:r>
    </w:p>
    <w:p>
      <w:pPr>
        <w:pStyle w:val="BodyText"/>
        <w:spacing w:line="313" w:lineRule="auto"/>
        <w:rPr/>
      </w:pPr>
      <w:r/>
    </w:p>
    <w:p>
      <w:pPr>
        <w:pStyle w:val="BodyText"/>
        <w:spacing w:line="313" w:lineRule="auto"/>
        <w:rPr/>
      </w:pPr>
      <w:r/>
    </w:p>
    <w:p>
      <w:pPr>
        <w:pStyle w:val="BodyText"/>
        <w:spacing w:line="314" w:lineRule="auto"/>
        <w:rPr/>
      </w:pPr>
      <w:r/>
    </w:p>
    <w:p>
      <w:pPr>
        <w:ind w:left="1366"/>
        <w:spacing w:before="155" w:line="179" w:lineRule="auto"/>
        <w:outlineLvl w:val="0"/>
        <w:rPr>
          <w:rFonts w:ascii="Microsoft YaHei" w:hAnsi="Microsoft YaHei" w:eastAsia="Microsoft YaHei" w:cs="Microsoft YaHei"/>
          <w:sz w:val="36"/>
          <w:szCs w:val="36"/>
        </w:rPr>
      </w:pPr>
      <w:r>
        <w:rPr>
          <w:rFonts w:ascii="Microsoft YaHei" w:hAnsi="Microsoft YaHei" w:eastAsia="Microsoft YaHei" w:cs="Microsoft YaHei"/>
          <w:sz w:val="36"/>
          <w:szCs w:val="36"/>
          <w:b/>
          <w:bCs/>
          <w:color w:val="00338D"/>
          <w:spacing w:val="-4"/>
        </w:rPr>
        <w:t>电化学储能电站经济性分析</w:t>
      </w:r>
    </w:p>
    <w:p>
      <w:pPr>
        <w:ind w:firstLine="1300"/>
        <w:spacing w:before="211" w:line="509" w:lineRule="exact"/>
        <w:rPr/>
      </w:pPr>
      <w:r>
        <w:rPr>
          <w:position w:val="-10"/>
        </w:rPr>
        <w:pict>
          <v:shape id="_x0000_s858" style="mso-position-vertical-relative:line;mso-position-horizontal-relative:char;width:75.15pt;height:25.45pt;" fillcolor="#00C0AE" filled="true" stroked="false" type="#_x0000_t202">
            <v:fill on="true"/>
            <v:stroke on="false"/>
            <v:path/>
            <v:imagedata o:title=""/>
            <o:lock v:ext="edit" aspectratio="false"/>
            <v:textbox inset="0mm,0mm,0mm,0mm">
              <w:txbxContent>
                <w:p>
                  <w:pPr>
                    <w:ind w:left="143"/>
                    <w:spacing w:before="104" w:line="185" w:lineRule="auto"/>
                    <w:rPr>
                      <w:rFonts w:ascii="Microsoft YaHei" w:hAnsi="Microsoft YaHei" w:eastAsia="Microsoft YaHei" w:cs="Microsoft YaHei"/>
                      <w:sz w:val="27"/>
                      <w:szCs w:val="27"/>
                    </w:rPr>
                  </w:pPr>
                  <w:r>
                    <w:rPr>
                      <w:rFonts w:ascii="Microsoft YaHei" w:hAnsi="Microsoft YaHei" w:eastAsia="Microsoft YaHei" w:cs="Microsoft YaHei"/>
                      <w:sz w:val="27"/>
                      <w:szCs w:val="27"/>
                      <w:b/>
                      <w:bCs/>
                      <w:color w:val="FFFFFF"/>
                      <w:spacing w:val="9"/>
                    </w:rPr>
                    <w:t>成本分析:</w:t>
                  </w:r>
                </w:p>
              </w:txbxContent>
            </v:textbox>
          </v:shape>
        </w:pict>
      </w:r>
    </w:p>
    <w:p>
      <w:pPr>
        <w:ind w:left="1329"/>
        <w:spacing w:before="174" w:line="185" w:lineRule="auto"/>
        <w:rPr>
          <w:rFonts w:ascii="Microsoft YaHei" w:hAnsi="Microsoft YaHei" w:eastAsia="Microsoft YaHei" w:cs="Microsoft YaHei"/>
          <w:sz w:val="24"/>
          <w:szCs w:val="24"/>
        </w:rPr>
      </w:pPr>
      <w:r>
        <w:rPr>
          <w:rFonts w:ascii="Microsoft YaHei" w:hAnsi="Microsoft YaHei" w:eastAsia="Microsoft YaHei" w:cs="Microsoft YaHei"/>
          <w:sz w:val="24"/>
          <w:szCs w:val="24"/>
          <w:b/>
          <w:bCs/>
          <w:color w:val="00C0AE"/>
          <w:spacing w:val="-1"/>
        </w:rPr>
        <w:t>电化学储能电站总投资成本较高，电池及储能系统是主要成本</w:t>
      </w:r>
    </w:p>
    <w:p>
      <w:pPr>
        <w:ind w:left="1309" w:right="2997" w:hanging="1"/>
        <w:spacing w:before="163" w:line="21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储能电站投资主要包括设备购置费、</w:t>
      </w:r>
      <w:r>
        <w:rPr>
          <w:rFonts w:ascii="Microsoft YaHei" w:hAnsi="Microsoft YaHei" w:eastAsia="Microsoft YaHei" w:cs="Microsoft YaHei"/>
          <w:sz w:val="21"/>
          <w:szCs w:val="21"/>
          <w:spacing w:val="-42"/>
        </w:rPr>
        <w:t xml:space="preserve"> </w:t>
      </w:r>
      <w:r>
        <w:rPr>
          <w:rFonts w:ascii="Microsoft YaHei" w:hAnsi="Microsoft YaHei" w:eastAsia="Microsoft YaHei" w:cs="Microsoft YaHei"/>
          <w:sz w:val="21"/>
          <w:szCs w:val="21"/>
          <w:spacing w:val="4"/>
        </w:rPr>
        <w:t>安装工程费、建筑工程费、其他费用、基本预备</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费等。</w:t>
      </w:r>
      <w:r>
        <w:rPr>
          <w:rFonts w:ascii="Microsoft YaHei" w:hAnsi="Microsoft YaHei" w:eastAsia="Microsoft YaHei" w:cs="Microsoft YaHei"/>
          <w:sz w:val="21"/>
          <w:szCs w:val="21"/>
          <w:spacing w:val="-24"/>
        </w:rPr>
        <w:t xml:space="preserve"> </w:t>
      </w:r>
      <w:r>
        <w:rPr>
          <w:rFonts w:ascii="Microsoft YaHei" w:hAnsi="Microsoft YaHei" w:eastAsia="Microsoft YaHei" w:cs="Microsoft YaHei"/>
          <w:sz w:val="21"/>
          <w:szCs w:val="21"/>
          <w:spacing w:val="3"/>
        </w:rPr>
        <w:t>电化学储能电站成本的主体是电池及储</w:t>
      </w:r>
      <w:r>
        <w:rPr>
          <w:rFonts w:ascii="Microsoft YaHei" w:hAnsi="Microsoft YaHei" w:eastAsia="Microsoft YaHei" w:cs="Microsoft YaHei"/>
          <w:sz w:val="21"/>
          <w:szCs w:val="21"/>
          <w:spacing w:val="2"/>
        </w:rPr>
        <w:t>能系统。根据云南省能源研究院数据</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对于锂电池电化学储能</w:t>
      </w:r>
      <w:r>
        <w:rPr>
          <w:rFonts w:ascii="Microsoft YaHei" w:hAnsi="Microsoft YaHei" w:eastAsia="Microsoft YaHei" w:cs="Microsoft YaHei"/>
          <w:sz w:val="21"/>
          <w:szCs w:val="21"/>
          <w:spacing w:val="-10"/>
        </w:rPr>
        <w:t xml:space="preserve"> </w:t>
      </w:r>
      <w:r>
        <w:rPr>
          <w:rFonts w:ascii="Microsoft YaHei" w:hAnsi="Microsoft YaHei" w:eastAsia="Microsoft YaHei" w:cs="Microsoft YaHei"/>
          <w:sz w:val="21"/>
          <w:szCs w:val="21"/>
          <w:spacing w:val="1"/>
        </w:rPr>
        <w:t>，项目设备购置费约占87%</w:t>
      </w:r>
      <w:r>
        <w:rPr>
          <w:rFonts w:ascii="Microsoft YaHei" w:hAnsi="Microsoft YaHei" w:eastAsia="Microsoft YaHei" w:cs="Microsoft YaHei"/>
          <w:sz w:val="21"/>
          <w:szCs w:val="21"/>
          <w:spacing w:val="-32"/>
        </w:rPr>
        <w:t xml:space="preserve"> </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1"/>
        </w:rPr>
        <w:t>电缆及接地等材料购置费和安装</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工程费分别约占1%，建筑工程费约占4%，其他费用和基本预</w:t>
      </w:r>
      <w:r>
        <w:rPr>
          <w:rFonts w:ascii="Microsoft YaHei" w:hAnsi="Microsoft YaHei" w:eastAsia="Microsoft YaHei" w:cs="Microsoft YaHei"/>
          <w:sz w:val="21"/>
          <w:szCs w:val="21"/>
          <w:spacing w:val="-2"/>
        </w:rPr>
        <w:t>备费约占7%（图 16）。</w:t>
      </w:r>
    </w:p>
    <w:p>
      <w:pPr>
        <w:pStyle w:val="BodyText"/>
        <w:spacing w:line="259" w:lineRule="auto"/>
        <w:rPr/>
      </w:pPr>
      <w:r/>
    </w:p>
    <w:p>
      <w:pPr>
        <w:pStyle w:val="BodyText"/>
        <w:spacing w:line="260" w:lineRule="auto"/>
        <w:rPr/>
      </w:pPr>
      <w:r>
        <w:pict>
          <v:rect id="_x0000_s860" style="position:absolute;margin-left:65.16pt;margin-top:8.25958pt;mso-position-vertical-relative:text;mso-position-horizontal-relative:text;width:30.5pt;height:5pt;z-index:252414976;" fillcolor="#00C0AE" filled="true" stroked="false"/>
        </w:pict>
      </w:r>
      <w:r/>
    </w:p>
    <w:p>
      <w:pPr>
        <w:ind w:left="1460"/>
        <w:spacing w:before="91" w:line="215" w:lineRule="auto"/>
        <w:rPr>
          <w:sz w:val="21"/>
          <w:szCs w:val="21"/>
        </w:rPr>
      </w:pPr>
      <w:r>
        <mc:AlternateContent xmlns:mc="http://schemas.openxmlformats.org/markup-compatibility/2006">
          <mc:Choice Requires="wps">
            <w:drawing>
              <wp:anchor distT="0" distB="0" distL="0" distR="0" simplePos="0" relativeHeight="252409856" behindDoc="1" locked="0" layoutInCell="1" allowOverlap="1">
                <wp:simplePos x="0" y="0"/>
                <wp:positionH relativeFrom="column">
                  <wp:posOffset>826008</wp:posOffset>
                </wp:positionH>
                <wp:positionV relativeFrom="paragraph">
                  <wp:posOffset>-18804</wp:posOffset>
                </wp:positionV>
                <wp:extent cx="6123940" cy="329565"/>
                <wp:effectExtent l="0" t="0" r="0" b="0"/>
                <wp:wrapNone/>
                <wp:docPr id="462" name="Rect 462"/>
                <wp:cNvGraphicFramePr/>
                <a:graphic>
                  <a:graphicData uri="http://schemas.microsoft.com/office/word/2010/wordprocessingShape">
                    <wps:wsp>
                      <wps:cNvPr id="462" name="Rect 462"/>
                      <wps:cNvSpPr/>
                      <wps:spPr>
                        <a:xfrm>
                          <a:off x="826008" y="-18804"/>
                          <a:ext cx="6123940" cy="329565"/>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862" style="position:absolute;margin-left:65.04pt;margin-top:-1.48065pt;mso-position-vertical-relative:text;mso-position-horizontal-relative:text;width:482.2pt;height:25.95pt;z-index:-250906624;" fillcolor="#F1F1F1" filled="true" stroked="false"/>
            </w:pict>
          </mc:Fallback>
        </mc:AlternateContent>
      </w:r>
      <w:r>
        <w:pict>
          <v:shape id="_x0000_s864" style="position:absolute;margin-left:110.89pt;margin-top:5.35602pt;mso-position-vertical-relative:text;mso-position-horizontal-relative:text;width:117pt;height:15.65pt;z-index:252412928;" filled="false" stroked="false" type="#_x0000_t202">
            <v:fill on="false"/>
            <v:stroke on="false"/>
            <v:path/>
            <v:imagedata o:title=""/>
            <o:lock v:ext="edit" aspectratio="false"/>
            <v:textbox inset="0mm,0mm,0mm,0mm">
              <w:txbxContent>
                <w:p>
                  <w:pPr>
                    <w:ind w:left="20"/>
                    <w:spacing w:before="19" w:line="182"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C0AE"/>
                      <w:spacing w:val="-1"/>
                    </w:rPr>
                    <w:t>电化学储能电站成本构成</w:t>
                  </w:r>
                </w:p>
              </w:txbxContent>
            </v:textbox>
          </v:shape>
        </w:pict>
      </w:r>
      <w:r>
        <w:rPr>
          <w:rFonts w:ascii="Microsoft YaHei" w:hAnsi="Microsoft YaHei" w:eastAsia="Microsoft YaHei" w:cs="Microsoft YaHei"/>
          <w:sz w:val="21"/>
          <w:szCs w:val="21"/>
          <w:b/>
          <w:bCs/>
          <w:color w:val="00C0AE"/>
          <w:spacing w:val="-14"/>
        </w:rPr>
        <w:t>图</w:t>
      </w:r>
      <w:r>
        <w:rPr>
          <w:rFonts w:ascii="Microsoft YaHei" w:hAnsi="Microsoft YaHei" w:eastAsia="Microsoft YaHei" w:cs="Microsoft YaHei"/>
          <w:sz w:val="21"/>
          <w:szCs w:val="21"/>
          <w:b/>
          <w:bCs/>
          <w:color w:val="00C0AE"/>
          <w:spacing w:val="2"/>
        </w:rPr>
        <w:t xml:space="preserve"> </w:t>
      </w:r>
      <w:r>
        <w:rPr>
          <w:rFonts w:ascii="Microsoft YaHei" w:hAnsi="Microsoft YaHei" w:eastAsia="Microsoft YaHei" w:cs="Microsoft YaHei"/>
          <w:sz w:val="21"/>
          <w:szCs w:val="21"/>
          <w:b/>
          <w:bCs/>
          <w:color w:val="00C0AE"/>
          <w:spacing w:val="-14"/>
        </w:rPr>
        <w:t>16</w:t>
      </w:r>
      <w:r>
        <w:rPr>
          <w:rFonts w:ascii="Microsoft YaHei" w:hAnsi="Microsoft YaHei" w:eastAsia="Microsoft YaHei" w:cs="Microsoft YaHei"/>
          <w:sz w:val="21"/>
          <w:szCs w:val="21"/>
          <w:b/>
          <w:bCs/>
          <w:color w:val="00C0AE"/>
          <w:spacing w:val="13"/>
        </w:rPr>
        <w:t xml:space="preserve"> </w:t>
      </w:r>
      <w:r>
        <w:rPr>
          <w:sz w:val="21"/>
          <w:szCs w:val="21"/>
          <w:position w:val="-5"/>
        </w:rPr>
        <w:drawing>
          <wp:inline distT="0" distB="0" distL="0" distR="0">
            <wp:extent cx="12700" cy="175666"/>
            <wp:effectExtent l="0" t="0" r="0" b="0"/>
            <wp:docPr id="464" name="IM 464"/>
            <wp:cNvGraphicFramePr/>
            <a:graphic>
              <a:graphicData uri="http://schemas.openxmlformats.org/drawingml/2006/picture">
                <pic:pic>
                  <pic:nvPicPr>
                    <pic:cNvPr id="464" name="IM 464"/>
                    <pic:cNvPicPr/>
                  </pic:nvPicPr>
                  <pic:blipFill>
                    <a:blip r:embed="rId209"/>
                    <a:stretch>
                      <a:fillRect/>
                    </a:stretch>
                  </pic:blipFill>
                  <pic:spPr>
                    <a:xfrm rot="0">
                      <a:off x="0" y="0"/>
                      <a:ext cx="12700" cy="175666"/>
                    </a:xfrm>
                    <a:prstGeom prst="rect">
                      <a:avLst/>
                    </a:prstGeom>
                  </pic:spPr>
                </pic:pic>
              </a:graphicData>
            </a:graphic>
          </wp:inline>
        </w:drawing>
      </w:r>
    </w:p>
    <w:p>
      <w:pPr>
        <w:pStyle w:val="BodyText"/>
        <w:spacing w:line="285" w:lineRule="auto"/>
        <w:rPr/>
      </w:pPr>
      <w:r/>
    </w:p>
    <w:p>
      <w:pPr>
        <w:pStyle w:val="BodyText"/>
        <w:spacing w:line="286" w:lineRule="auto"/>
        <w:rPr/>
      </w:pPr>
      <w:r>
        <w:pict>
          <v:group id="_x0000_s866" style="position:absolute;margin-left:217.977pt;margin-top:7.3631pt;mso-position-vertical-relative:text;mso-position-horizontal-relative:text;width:174.5pt;height:174.75pt;z-index:252410880;" filled="false" stroked="false" coordsize="3490,3495" coordorigin="0,0">
            <v:shape id="_x0000_s868" style="position:absolute;left:36;top:0;width:3453;height:3495;" fillcolor="#00C0AE" filled="true" stroked="false" coordsize="3453,3495" coordorigin="0,0" path="m300,726c864,-49,1951,-222,2727,341c3503,905,3675,1992,3111,2768c2547,3544,1461,3716,685,3152c327,2892,82,2506,0,2072l1706,1747l300,726xe"/>
            <v:shape id="_x0000_s870" style="position:absolute;left:0;top:1638;width:1743;height:435;" fillcolor="#00B8F5" filled="true" stroked="false" coordsize="1743,435" coordorigin="0,0" path="m36,434c9,291,0,145,9,0l1742,109l36,434xe"/>
            <v:shape id="_x0000_s872" style="position:absolute;left:9;top:1529;width:1733;height:217;" fillcolor="#00338D" filled="true" stroked="false" coordsize="1733,217" coordorigin="0,0" path="m0,108m0,108c2,72,5,36,10,0l1733,217l0,108xe"/>
            <v:shape id="_x0000_s874" style="position:absolute;left:19;top:1421;width:1723;height:325;" fillcolor="#FD349C" filled="true" stroked="false" coordsize="1723,325" coordorigin="0,0" path="m0,107c4,71,10,35,17,0l1723,325l0,107xe"/>
            <v:shape id="_x0000_s876" style="position:absolute;left:36;top:726;width:1706;height:1020;" fillcolor="#DADADA" filled="true" stroked="false" coordsize="1706,1020" coordorigin="0,0" path="m0,695c47,444,150,206,300,0l1706,1020l0,695xe"/>
          </v:group>
        </w:pict>
      </w:r>
      <w:r/>
    </w:p>
    <w:p>
      <w:pPr>
        <w:ind w:left="1312"/>
        <w:spacing w:before="139" w:line="232" w:lineRule="auto"/>
        <w:rPr>
          <w:rFonts w:ascii="Trebuchet MS" w:hAnsi="Trebuchet MS" w:eastAsia="Trebuchet MS" w:cs="Trebuchet MS"/>
          <w:sz w:val="48"/>
          <w:szCs w:val="48"/>
        </w:rPr>
      </w:pPr>
      <w:r>
        <w:pict>
          <v:shape id="_x0000_s878" style="position:absolute;margin-left:140.41pt;margin-top:21.1353pt;mso-position-vertical-relative:text;mso-position-horizontal-relative:text;width:57.45pt;height:0.5pt;z-index:252416000;" filled="false" strokecolor="#7F7F7F" strokeweight="0.50pt" coordsize="1149,10" coordorigin="0,0" path="m0,5l1148,5e">
            <v:stroke joinstyle="miter"/>
          </v:shape>
        </w:pict>
      </w:r>
      <w:r>
        <w:pict>
          <v:shape id="_x0000_s880" style="position:absolute;margin-left:197.794pt;margin-top:21.2067pt;mso-position-vertical-relative:text;mso-position-horizontal-relative:text;width:25.75pt;height:103.7pt;z-index:252411904;" filled="false" strokecolor="#7F7F7F" strokeweight="0.50pt" coordsize="515,2073" coordorigin="0,0" path="m4,3l511,500m4,656l405,895m4,1396l363,1025m4,2070l405,1376e">
            <v:stroke joinstyle="miter"/>
          </v:shape>
        </w:pict>
      </w:r>
      <w:r>
        <w:rPr>
          <w:rFonts w:ascii="Microsoft YaHei" w:hAnsi="Microsoft YaHei" w:eastAsia="Microsoft YaHei" w:cs="Microsoft YaHei"/>
          <w:sz w:val="21"/>
          <w:szCs w:val="21"/>
          <w:color w:val="A8A8A8"/>
          <w:spacing w:val="-2"/>
          <w:position w:val="1"/>
        </w:rPr>
        <w:t>其他费用</w:t>
      </w:r>
      <w:r>
        <w:rPr>
          <w:rFonts w:ascii="Microsoft YaHei" w:hAnsi="Microsoft YaHei" w:eastAsia="Microsoft YaHei" w:cs="Microsoft YaHei"/>
          <w:sz w:val="21"/>
          <w:szCs w:val="21"/>
          <w:color w:val="A8A8A8"/>
          <w:spacing w:val="64"/>
          <w:position w:val="1"/>
        </w:rPr>
        <w:t xml:space="preserve"> </w:t>
      </w:r>
      <w:r>
        <w:rPr>
          <w:rFonts w:ascii="Trebuchet MS" w:hAnsi="Trebuchet MS" w:eastAsia="Trebuchet MS" w:cs="Trebuchet MS"/>
          <w:sz w:val="48"/>
          <w:szCs w:val="48"/>
          <w:b/>
          <w:bCs/>
          <w:color w:val="A8A8A8"/>
          <w:spacing w:val="-15"/>
          <w:w w:val="83"/>
        </w:rPr>
        <w:t>7%</w:t>
      </w:r>
    </w:p>
    <w:p>
      <w:pPr>
        <w:ind w:left="1317"/>
        <w:spacing w:before="180" w:line="169" w:lineRule="auto"/>
        <w:rPr>
          <w:rFonts w:ascii="Trebuchet MS" w:hAnsi="Trebuchet MS" w:eastAsia="Trebuchet MS" w:cs="Trebuchet MS"/>
          <w:sz w:val="48"/>
          <w:szCs w:val="48"/>
        </w:rPr>
      </w:pPr>
      <w:r>
        <w:pict>
          <v:shape id="_x0000_s882" style="position:absolute;margin-left:150.25pt;margin-top:19.8764pt;mso-position-vertical-relative:text;mso-position-horizontal-relative:text;width:47.7pt;height:0.5pt;z-index:252417024;" filled="false" strokecolor="#7F7F7F" strokeweight="0.50pt" coordsize="954,10" coordorigin="0,0" path="m0,5l953,5e">
            <v:stroke joinstyle="miter"/>
          </v:shape>
        </w:pict>
      </w:r>
      <w:r>
        <w:rPr>
          <w:rFonts w:ascii="Microsoft YaHei" w:hAnsi="Microsoft YaHei" w:eastAsia="Microsoft YaHei" w:cs="Microsoft YaHei"/>
          <w:sz w:val="21"/>
          <w:szCs w:val="21"/>
          <w:color w:val="FD349C"/>
          <w:position w:val="1"/>
        </w:rPr>
        <w:t>安装工程费 </w:t>
      </w:r>
      <w:r>
        <w:rPr>
          <w:rFonts w:ascii="Trebuchet MS" w:hAnsi="Trebuchet MS" w:eastAsia="Trebuchet MS" w:cs="Trebuchet MS"/>
          <w:sz w:val="48"/>
          <w:szCs w:val="48"/>
          <w:b/>
          <w:bCs/>
          <w:color w:val="FD349C"/>
          <w:spacing w:val="-65"/>
          <w:w w:val="94"/>
        </w:rPr>
        <w:t>1%</w:t>
      </w:r>
    </w:p>
    <w:p>
      <w:pPr>
        <w:ind w:left="8781"/>
        <w:spacing w:line="328" w:lineRule="exact"/>
        <w:rPr>
          <w:rFonts w:ascii="Trebuchet MS" w:hAnsi="Trebuchet MS" w:eastAsia="Trebuchet MS" w:cs="Trebuchet MS"/>
          <w:sz w:val="48"/>
          <w:szCs w:val="48"/>
        </w:rPr>
      </w:pPr>
      <w:r>
        <w:pict>
          <v:shape id="_x0000_s884" style="position:absolute;margin-left:394.57pt;margin-top:12.5987pt;mso-position-vertical-relative:text;mso-position-horizontal-relative:text;width:40.6pt;height:0.5pt;z-index:252419072;" filled="false" strokecolor="#7F7F7F" strokeweight="0.50pt" coordsize="811,10" coordorigin="0,0" path="m0,5l811,5e">
            <v:stroke joinstyle="miter"/>
          </v:shape>
        </w:pict>
      </w:r>
      <w:r>
        <w:rPr>
          <w:rFonts w:ascii="Microsoft YaHei" w:hAnsi="Microsoft YaHei" w:eastAsia="Microsoft YaHei" w:cs="Microsoft YaHei"/>
          <w:sz w:val="21"/>
          <w:szCs w:val="21"/>
          <w:color w:val="00C0AE"/>
          <w:position w:val="-8"/>
        </w:rPr>
        <w:t>项目设备购置费</w:t>
      </w:r>
      <w:r>
        <w:rPr>
          <w:rFonts w:ascii="Microsoft YaHei" w:hAnsi="Microsoft YaHei" w:eastAsia="Microsoft YaHei" w:cs="Microsoft YaHei"/>
          <w:sz w:val="21"/>
          <w:szCs w:val="21"/>
          <w:color w:val="00C0AE"/>
          <w:spacing w:val="37"/>
          <w:w w:val="101"/>
          <w:position w:val="-8"/>
        </w:rPr>
        <w:t xml:space="preserve"> </w:t>
      </w:r>
      <w:r>
        <w:rPr>
          <w:rFonts w:ascii="Trebuchet MS" w:hAnsi="Trebuchet MS" w:eastAsia="Trebuchet MS" w:cs="Trebuchet MS"/>
          <w:sz w:val="48"/>
          <w:szCs w:val="48"/>
          <w:b/>
          <w:bCs/>
          <w:color w:val="00C0AE"/>
          <w:spacing w:val="-24"/>
          <w:w w:val="82"/>
          <w:position w:val="-9"/>
        </w:rPr>
        <w:t>87%</w:t>
      </w:r>
    </w:p>
    <w:p>
      <w:pPr>
        <w:ind w:left="1329"/>
        <w:spacing w:before="1" w:line="208" w:lineRule="auto"/>
        <w:rPr>
          <w:rFonts w:ascii="Trebuchet MS" w:hAnsi="Trebuchet MS" w:eastAsia="Trebuchet MS" w:cs="Trebuchet MS"/>
          <w:sz w:val="48"/>
          <w:szCs w:val="48"/>
        </w:rPr>
      </w:pPr>
      <w:r>
        <w:pict>
          <v:shape id="_x0000_s886" style="position:absolute;margin-left:175.93pt;margin-top:12.3559pt;mso-position-vertical-relative:text;mso-position-horizontal-relative:text;width:21.95pt;height:0.5pt;z-index:252420096;" filled="false" strokecolor="#7F7F7F" strokeweight="0.50pt" coordsize="439,10" coordorigin="0,0" path="m0,5l438,5e">
            <v:stroke joinstyle="miter"/>
          </v:shape>
        </w:pict>
      </w:r>
      <w:r>
        <w:rPr>
          <w:rFonts w:ascii="Microsoft YaHei" w:hAnsi="Microsoft YaHei" w:eastAsia="Microsoft YaHei" w:cs="Microsoft YaHei"/>
          <w:sz w:val="21"/>
          <w:szCs w:val="21"/>
          <w:color w:val="00338D"/>
          <w:spacing w:val="-3"/>
          <w:position w:val="1"/>
        </w:rPr>
        <w:t>电缆等材料购置费 </w:t>
      </w:r>
      <w:r>
        <w:rPr>
          <w:rFonts w:ascii="Trebuchet MS" w:hAnsi="Trebuchet MS" w:eastAsia="Trebuchet MS" w:cs="Trebuchet MS"/>
          <w:sz w:val="48"/>
          <w:szCs w:val="48"/>
          <w:b/>
          <w:bCs/>
          <w:color w:val="00338D"/>
          <w:spacing w:val="-66"/>
          <w:w w:val="95"/>
          <w:position w:val="-1"/>
        </w:rPr>
        <w:t>1%</w:t>
      </w:r>
    </w:p>
    <w:p>
      <w:pPr>
        <w:ind w:left="1310"/>
        <w:spacing w:before="140" w:line="233" w:lineRule="auto"/>
        <w:rPr>
          <w:rFonts w:ascii="Trebuchet MS" w:hAnsi="Trebuchet MS" w:eastAsia="Trebuchet MS" w:cs="Trebuchet MS"/>
          <w:sz w:val="48"/>
          <w:szCs w:val="48"/>
        </w:rPr>
      </w:pPr>
      <w:r>
        <w:pict>
          <v:shape id="_x0000_s888" style="position:absolute;margin-left:150.25pt;margin-top:21.1188pt;mso-position-vertical-relative:text;mso-position-horizontal-relative:text;width:47.7pt;height:0.5pt;z-index:252418048;" filled="false" strokecolor="#7F7F7F" strokeweight="0.50pt" coordsize="954,10" coordorigin="0,0" path="m0,5l953,5e">
            <v:stroke joinstyle="miter"/>
          </v:shape>
        </w:pict>
      </w:r>
      <w:r>
        <w:rPr>
          <w:rFonts w:ascii="Microsoft YaHei" w:hAnsi="Microsoft YaHei" w:eastAsia="Microsoft YaHei" w:cs="Microsoft YaHei"/>
          <w:sz w:val="21"/>
          <w:szCs w:val="21"/>
          <w:color w:val="00B8F5"/>
          <w:position w:val="1"/>
        </w:rPr>
        <w:t>建筑工程费 </w:t>
      </w:r>
      <w:r>
        <w:rPr>
          <w:rFonts w:ascii="Trebuchet MS" w:hAnsi="Trebuchet MS" w:eastAsia="Trebuchet MS" w:cs="Trebuchet MS"/>
          <w:sz w:val="48"/>
          <w:szCs w:val="48"/>
          <w:b/>
          <w:bCs/>
          <w:color w:val="00B8F5"/>
          <w:spacing w:val="-20"/>
          <w:w w:val="90"/>
        </w:rPr>
        <w:t>4%</w:t>
      </w:r>
    </w:p>
    <w:p>
      <w:pPr>
        <w:pStyle w:val="BodyText"/>
        <w:spacing w:line="290" w:lineRule="auto"/>
        <w:rPr/>
      </w:pPr>
      <w:r/>
    </w:p>
    <w:p>
      <w:pPr>
        <w:pStyle w:val="BodyText"/>
        <w:spacing w:line="290" w:lineRule="auto"/>
        <w:rPr/>
      </w:pPr>
      <w:r/>
    </w:p>
    <w:p>
      <w:pPr>
        <w:ind w:left="1310"/>
        <w:spacing w:before="65" w:line="187"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8"/>
        </w:rPr>
        <w:t>资料来源：云南省能源研究院，毕马威分析</w:t>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spacing w:before="1" w:line="4392" w:lineRule="exact"/>
        <w:rPr/>
      </w:pPr>
      <w:r>
        <w:rPr>
          <w:position w:val="-87"/>
        </w:rPr>
        <w:drawing>
          <wp:inline distT="0" distB="0" distL="0" distR="0">
            <wp:extent cx="6949439" cy="2788920"/>
            <wp:effectExtent l="0" t="0" r="0" b="0"/>
            <wp:docPr id="466" name="IM 466"/>
            <wp:cNvGraphicFramePr/>
            <a:graphic>
              <a:graphicData uri="http://schemas.openxmlformats.org/drawingml/2006/picture">
                <pic:pic>
                  <pic:nvPicPr>
                    <pic:cNvPr id="466" name="IM 466"/>
                    <pic:cNvPicPr/>
                  </pic:nvPicPr>
                  <pic:blipFill>
                    <a:blip r:embed="rId207"/>
                    <a:stretch>
                      <a:fillRect/>
                    </a:stretch>
                  </pic:blipFill>
                  <pic:spPr>
                    <a:xfrm rot="0">
                      <a:off x="0" y="0"/>
                      <a:ext cx="6949439" cy="2788920"/>
                    </a:xfrm>
                    <a:prstGeom prst="rect">
                      <a:avLst/>
                    </a:prstGeom>
                  </pic:spPr>
                </pic:pic>
              </a:graphicData>
            </a:graphic>
          </wp:inline>
        </w:drawing>
      </w:r>
    </w:p>
    <w:p>
      <w:pPr>
        <w:ind w:left="1805" w:right="1241" w:hanging="411"/>
        <w:spacing w:before="251"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0" w:header="0" w:footer="0" w:gutter="0"/>
        </w:sectPr>
        <w:rPr>
          <w:rFonts w:ascii="Microsoft YaHei" w:hAnsi="Microsoft YaHei" w:eastAsia="Microsoft YaHei" w:cs="Microsoft YaHei"/>
          <w:sz w:val="11"/>
          <w:szCs w:val="11"/>
        </w:rPr>
      </w:pPr>
    </w:p>
    <w:p>
      <w:pPr>
        <w:spacing w:before="314" w:line="193" w:lineRule="auto"/>
        <w:rPr>
          <w:rFonts w:ascii="Microsoft YaHei" w:hAnsi="Microsoft YaHei" w:eastAsia="Microsoft YaHei" w:cs="Microsoft YaHei"/>
          <w:sz w:val="18"/>
          <w:szCs w:val="18"/>
        </w:rPr>
      </w:pPr>
      <w:r>
        <w:pict>
          <v:rect id="_x0000_s890" style="position:absolute;margin-left:611.99pt;margin-top:0pt;mso-position-vertical-relative:page;mso-position-horizontal-relative:page;width:0.25pt;height:859pt;z-index:252454912;" o:allowincell="f" fillcolor="#000000" filled="true" stroked="false"/>
        </w:pict>
      </w:r>
      <w:r>
        <w:rPr>
          <w:rFonts w:ascii="Microsoft YaHei" w:hAnsi="Microsoft YaHei" w:eastAsia="Microsoft YaHei" w:cs="Microsoft YaHei"/>
          <w:sz w:val="18"/>
          <w:szCs w:val="18"/>
          <w:b/>
          <w:bCs/>
          <w:color w:val="A8A8A8"/>
          <w:spacing w:val="-1"/>
        </w:rPr>
        <w:t>37</w:t>
      </w:r>
      <w:r>
        <w:rPr>
          <w:rFonts w:ascii="Microsoft YaHei" w:hAnsi="Microsoft YaHei" w:eastAsia="Microsoft YaHei" w:cs="Microsoft YaHei"/>
          <w:sz w:val="18"/>
          <w:szCs w:val="18"/>
          <w:b/>
          <w:bCs/>
          <w:color w:val="A8A8A8"/>
          <w:spacing w:val="14"/>
          <w:w w:val="101"/>
        </w:rPr>
        <w:t xml:space="preserve">  </w:t>
      </w:r>
      <w:r>
        <w:rPr>
          <w:sz w:val="18"/>
          <w:szCs w:val="18"/>
          <w:position w:val="-4"/>
        </w:rPr>
        <w:drawing>
          <wp:inline distT="0" distB="0" distL="0" distR="0">
            <wp:extent cx="6350" cy="130175"/>
            <wp:effectExtent l="0" t="0" r="0" b="0"/>
            <wp:docPr id="468" name="IM 468"/>
            <wp:cNvGraphicFramePr/>
            <a:graphic>
              <a:graphicData uri="http://schemas.openxmlformats.org/drawingml/2006/picture">
                <pic:pic>
                  <pic:nvPicPr>
                    <pic:cNvPr id="468" name="IM 468"/>
                    <pic:cNvPicPr/>
                  </pic:nvPicPr>
                  <pic:blipFill>
                    <a:blip r:embed="rId210"/>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A8A8A8"/>
          <w:spacing w:val="26"/>
          <w:w w:val="101"/>
        </w:rPr>
        <w:t xml:space="preserve">  </w:t>
      </w:r>
      <w:r>
        <w:rPr>
          <w:rFonts w:ascii="Microsoft YaHei" w:hAnsi="Microsoft YaHei" w:eastAsia="Microsoft YaHei" w:cs="Microsoft YaHei"/>
          <w:sz w:val="18"/>
          <w:szCs w:val="18"/>
          <w:color w:val="A8A8A8"/>
          <w:spacing w:val="-1"/>
        </w:rPr>
        <w:t>新型储能助力能源转型</w:t>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7" w:lineRule="auto"/>
        <w:rPr/>
      </w:pPr>
      <w:r/>
    </w:p>
    <w:p>
      <w:pPr>
        <w:ind w:left="350" w:right="3003" w:hanging="5"/>
        <w:spacing w:before="90" w:line="211"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项目设备购置费用中占主导的是储能电池系统。储能电池系统主要包括电池、</w:t>
      </w:r>
      <w:r>
        <w:rPr>
          <w:rFonts w:ascii="Microsoft YaHei" w:hAnsi="Microsoft YaHei" w:eastAsia="Microsoft YaHei" w:cs="Microsoft YaHei"/>
          <w:sz w:val="21"/>
          <w:szCs w:val="21"/>
          <w:spacing w:val="-26"/>
        </w:rPr>
        <w:t xml:space="preserve"> </w:t>
      </w:r>
      <w:r>
        <w:rPr>
          <w:rFonts w:ascii="Microsoft YaHei" w:hAnsi="Microsoft YaHei" w:eastAsia="Microsoft YaHei" w:cs="Microsoft YaHei"/>
          <w:sz w:val="21"/>
          <w:szCs w:val="21"/>
          <w:spacing w:val="-1"/>
        </w:rPr>
        <w:t>PCS</w:t>
      </w:r>
      <w:r>
        <w:rPr>
          <w:rFonts w:ascii="Microsoft YaHei" w:hAnsi="Microsoft YaHei" w:eastAsia="Microsoft YaHei" w:cs="Microsoft YaHei"/>
          <w:sz w:val="21"/>
          <w:szCs w:val="21"/>
          <w:spacing w:val="61"/>
          <w:w w:val="101"/>
        </w:rPr>
        <w:t xml:space="preserve"> </w:t>
      </w:r>
      <w:r>
        <w:rPr>
          <w:rFonts w:ascii="Microsoft YaHei" w:hAnsi="Microsoft YaHei" w:eastAsia="Microsoft YaHei" w:cs="Microsoft YaHei"/>
          <w:sz w:val="21"/>
          <w:szCs w:val="21"/>
          <w:spacing w:val="-1"/>
        </w:rPr>
        <w:t>(双</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向变流器)、</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rPr>
        <w:t>BMS（电池管理系统）和EMS（能源管理系统）等。以上市公司星</w:t>
      </w:r>
      <w:r>
        <w:rPr>
          <w:rFonts w:ascii="Microsoft YaHei" w:hAnsi="Microsoft YaHei" w:eastAsia="Microsoft YaHei" w:cs="Microsoft YaHei"/>
          <w:sz w:val="21"/>
          <w:szCs w:val="21"/>
          <w:spacing w:val="-1"/>
        </w:rPr>
        <w:t>云股份</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为例，其电池成本占59%、</w:t>
      </w:r>
      <w:r>
        <w:rPr>
          <w:rFonts w:ascii="Microsoft YaHei" w:hAnsi="Microsoft YaHei" w:eastAsia="Microsoft YaHei" w:cs="Microsoft YaHei"/>
          <w:sz w:val="21"/>
          <w:szCs w:val="21"/>
          <w:spacing w:val="-37"/>
        </w:rPr>
        <w:t xml:space="preserve"> </w:t>
      </w:r>
      <w:r>
        <w:rPr>
          <w:rFonts w:ascii="Microsoft YaHei" w:hAnsi="Microsoft YaHei" w:eastAsia="Microsoft YaHei" w:cs="Microsoft YaHei"/>
          <w:sz w:val="21"/>
          <w:szCs w:val="21"/>
          <w:spacing w:val="-4"/>
        </w:rPr>
        <w:t>PCS占16%、</w:t>
      </w:r>
      <w:r>
        <w:rPr>
          <w:rFonts w:ascii="Microsoft YaHei" w:hAnsi="Microsoft YaHei" w:eastAsia="Microsoft YaHei" w:cs="Microsoft YaHei"/>
          <w:sz w:val="21"/>
          <w:szCs w:val="21"/>
          <w:spacing w:val="-38"/>
        </w:rPr>
        <w:t xml:space="preserve"> </w:t>
      </w:r>
      <w:r>
        <w:rPr>
          <w:rFonts w:ascii="Microsoft YaHei" w:hAnsi="Microsoft YaHei" w:eastAsia="Microsoft YaHei" w:cs="Microsoft YaHei"/>
          <w:sz w:val="21"/>
          <w:szCs w:val="21"/>
          <w:spacing w:val="-5"/>
        </w:rPr>
        <w:t>BMS占13%（图 17）。</w:t>
      </w:r>
    </w:p>
    <w:p>
      <w:pPr>
        <w:pStyle w:val="BodyText"/>
        <w:spacing w:line="410" w:lineRule="auto"/>
        <w:rPr/>
      </w:pPr>
      <w:r>
        <w:pict>
          <v:rect id="_x0000_s892" style="position:absolute;margin-left:16.989pt;margin-top:14.1136pt;mso-position-vertical-relative:text;mso-position-horizontal-relative:text;width:30.5pt;height:5pt;z-index:252456960;" fillcolor="#00C0AE" filled="true" stroked="false"/>
        </w:pict>
      </w:r>
      <w:r/>
    </w:p>
    <w:p>
      <w:pPr>
        <w:ind w:left="1254"/>
        <w:spacing w:before="90" w:line="181" w:lineRule="auto"/>
        <w:rPr>
          <w:rFonts w:ascii="Microsoft YaHei" w:hAnsi="Microsoft YaHei" w:eastAsia="Microsoft YaHei" w:cs="Microsoft YaHei"/>
          <w:sz w:val="21"/>
          <w:szCs w:val="21"/>
        </w:rPr>
      </w:pPr>
      <w:r>
        <mc:AlternateContent xmlns:mc="http://schemas.openxmlformats.org/markup-compatibility/2006">
          <mc:Choice Requires="wps">
            <w:drawing>
              <wp:anchor distT="0" distB="0" distL="0" distR="0" simplePos="0" relativeHeight="252448768" behindDoc="1" locked="0" layoutInCell="1" allowOverlap="1">
                <wp:simplePos x="0" y="0"/>
                <wp:positionH relativeFrom="column">
                  <wp:posOffset>214236</wp:posOffset>
                </wp:positionH>
                <wp:positionV relativeFrom="paragraph">
                  <wp:posOffset>-40294</wp:posOffset>
                </wp:positionV>
                <wp:extent cx="6123940" cy="329565"/>
                <wp:effectExtent l="0" t="0" r="0" b="0"/>
                <wp:wrapNone/>
                <wp:docPr id="470" name="Rect 470"/>
                <wp:cNvGraphicFramePr/>
                <a:graphic>
                  <a:graphicData uri="http://schemas.microsoft.com/office/word/2010/wordprocessingShape">
                    <wps:wsp>
                      <wps:cNvPr id="470" name="Rect 470"/>
                      <wps:cNvSpPr/>
                      <wps:spPr>
                        <a:xfrm>
                          <a:off x="214236" y="-40294"/>
                          <a:ext cx="6123940" cy="329565"/>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894" style="position:absolute;margin-left:16.869pt;margin-top:-3.17281pt;mso-position-vertical-relative:text;mso-position-horizontal-relative:text;width:482.2pt;height:25.95pt;z-index:-250867712;" fillcolor="#F1F1F1" filled="true" stroked="false"/>
            </w:pict>
          </mc:Fallback>
        </mc:AlternateContent>
      </w:r>
      <w:r>
        <w:pict>
          <v:shape id="_x0000_s896" style="position:absolute;margin-left:23.8781pt;margin-top:1.82732pt;mso-position-vertical-relative:text;mso-position-horizontal-relative:text;width:31.5pt;height:18.2pt;z-index:252453888;" filled="false" stroked="false" type="#_x0000_t202">
            <v:fill on="false"/>
            <v:stroke on="false"/>
            <v:path/>
            <v:imagedata o:title=""/>
            <o:lock v:ext="edit" aspectratio="false"/>
            <v:textbox inset="0mm,0mm,0mm,0mm">
              <w:txbxContent>
                <w:p>
                  <w:pPr>
                    <w:ind w:left="20"/>
                    <w:spacing w:before="20" w:line="215" w:lineRule="auto"/>
                    <w:outlineLvl w:val="0"/>
                    <w:rPr>
                      <w:sz w:val="21"/>
                      <w:szCs w:val="21"/>
                    </w:rPr>
                  </w:pPr>
                  <w:r>
                    <w:rPr>
                      <w:rFonts w:ascii="Microsoft YaHei" w:hAnsi="Microsoft YaHei" w:eastAsia="Microsoft YaHei" w:cs="Microsoft YaHei"/>
                      <w:sz w:val="21"/>
                      <w:szCs w:val="21"/>
                      <w:b/>
                      <w:bCs/>
                      <w:color w:val="00C0AE"/>
                      <w:spacing w:val="-14"/>
                    </w:rPr>
                    <w:t>图</w:t>
                  </w:r>
                  <w:r>
                    <w:rPr>
                      <w:rFonts w:ascii="Microsoft YaHei" w:hAnsi="Microsoft YaHei" w:eastAsia="Microsoft YaHei" w:cs="Microsoft YaHei"/>
                      <w:sz w:val="21"/>
                      <w:szCs w:val="21"/>
                      <w:b/>
                      <w:bCs/>
                      <w:color w:val="00C0AE"/>
                      <w:spacing w:val="2"/>
                    </w:rPr>
                    <w:t xml:space="preserve"> </w:t>
                  </w:r>
                  <w:r>
                    <w:rPr>
                      <w:rFonts w:ascii="Microsoft YaHei" w:hAnsi="Microsoft YaHei" w:eastAsia="Microsoft YaHei" w:cs="Microsoft YaHei"/>
                      <w:sz w:val="21"/>
                      <w:szCs w:val="21"/>
                      <w:b/>
                      <w:bCs/>
                      <w:color w:val="00C0AE"/>
                      <w:spacing w:val="-14"/>
                    </w:rPr>
                    <w:t>17</w:t>
                  </w:r>
                  <w:r>
                    <w:rPr>
                      <w:rFonts w:ascii="Microsoft YaHei" w:hAnsi="Microsoft YaHei" w:eastAsia="Microsoft YaHei" w:cs="Microsoft YaHei"/>
                      <w:sz w:val="21"/>
                      <w:szCs w:val="21"/>
                      <w:b/>
                      <w:bCs/>
                      <w:color w:val="00C0AE"/>
                      <w:spacing w:val="13"/>
                    </w:rPr>
                    <w:t xml:space="preserve"> </w:t>
                  </w:r>
                  <w:r>
                    <w:rPr>
                      <w:sz w:val="21"/>
                      <w:szCs w:val="21"/>
                      <w:position w:val="-5"/>
                    </w:rPr>
                    <w:drawing>
                      <wp:inline distT="0" distB="0" distL="0" distR="0">
                        <wp:extent cx="12700" cy="175666"/>
                        <wp:effectExtent l="0" t="0" r="0" b="0"/>
                        <wp:docPr id="472" name="IM 472"/>
                        <wp:cNvGraphicFramePr/>
                        <a:graphic>
                          <a:graphicData uri="http://schemas.openxmlformats.org/drawingml/2006/picture">
                            <pic:pic>
                              <pic:nvPicPr>
                                <pic:cNvPr id="472" name="IM 472"/>
                                <pic:cNvPicPr/>
                              </pic:nvPicPr>
                              <pic:blipFill>
                                <a:blip r:embed="rId211"/>
                                <a:stretch>
                                  <a:fillRect/>
                                </a:stretch>
                              </pic:blipFill>
                              <pic:spPr>
                                <a:xfrm rot="0">
                                  <a:off x="0" y="0"/>
                                  <a:ext cx="12700" cy="175666"/>
                                </a:xfrm>
                                <a:prstGeom prst="rect">
                                  <a:avLst/>
                                </a:prstGeom>
                              </pic:spPr>
                            </pic:pic>
                          </a:graphicData>
                        </a:graphic>
                      </wp:inline>
                    </w:drawing>
                  </w:r>
                </w:p>
              </w:txbxContent>
            </v:textbox>
          </v:shape>
        </w:pict>
      </w:r>
      <w:r>
        <w:rPr>
          <w:rFonts w:ascii="Microsoft YaHei" w:hAnsi="Microsoft YaHei" w:eastAsia="Microsoft YaHei" w:cs="Microsoft YaHei"/>
          <w:sz w:val="21"/>
          <w:szCs w:val="21"/>
          <w:b/>
          <w:bCs/>
          <w:color w:val="00C0AE"/>
        </w:rPr>
        <w:t>储能系统设备成本构成</w:t>
      </w:r>
    </w:p>
    <w:p>
      <w:pPr>
        <w:pStyle w:val="BodyText"/>
        <w:spacing w:line="467" w:lineRule="auto"/>
        <w:rPr/>
      </w:pPr>
      <w:r/>
    </w:p>
    <w:p>
      <w:pPr>
        <w:ind w:left="7575"/>
        <w:spacing w:before="114" w:line="178" w:lineRule="auto"/>
        <w:rPr>
          <w:rFonts w:ascii="Trebuchet MS" w:hAnsi="Trebuchet MS" w:eastAsia="Trebuchet MS" w:cs="Trebuchet MS"/>
          <w:sz w:val="39"/>
          <w:szCs w:val="39"/>
        </w:rPr>
      </w:pPr>
      <w:r>
        <w:pict>
          <v:shape id="_x0000_s898" style="position:absolute;margin-left:319.999pt;margin-top:25.2654pt;mso-position-vertical-relative:text;mso-position-horizontal-relative:text;width:179.35pt;height:0.5pt;z-index:252457984;" filled="false" strokecolor="#7F7F7F" strokeweight="0.50pt" coordsize="3587,10" coordorigin="0,0" path="m0,5l3586,5e">
            <v:stroke joinstyle="miter"/>
          </v:shape>
        </w:pict>
      </w:r>
      <w:r>
        <w:pict>
          <v:group id="_x0000_s900" style="position:absolute;margin-left:161.218pt;margin-top:9.45561pt;mso-position-vertical-relative:text;mso-position-horizontal-relative:text;width:180.7pt;height:180.7pt;z-index:252451840;" filled="false" stroked="false" coordsize="3613,3613" coordorigin="0,0">
            <v:shape id="_x0000_s902" style="position:absolute;left:1804;top:1045;width:1808;height:1386;" fillcolor="#00338D" filled="true" stroked="false" coordsize="1808,1386" coordorigin="0,0" path="m1629,0c1833,435,1854,935,1688,1386l0,763l1629,0xe"/>
            <v:shape id="_x0000_s904" style="position:absolute;left:0;top:0;width:2331;height:3613;" fillcolor="#00C0AE" filled="true" stroked="false" coordsize="2331,3613" coordorigin="0,0" path="m2238,3555c1274,3795,297,3207,58,2243c-181,1278,405,302,1370,62c1687,-16,2018,-7,2330,88l1804,1809l2238,3555xe"/>
          </v:group>
        </w:pict>
      </w:r>
      <w:r>
        <w:pict>
          <v:shape id="_x0000_s906" style="position:absolute;margin-left:251.451pt;margin-top:13.8559pt;mso-position-vertical-relative:text;mso-position-horizontal-relative:text;width:65.7pt;height:86.05pt;z-index:-250866688;" fillcolor="#FD349C" filled="true" stroked="false" coordsize="1313,1721" coordorigin="0,0" path="m526,0m526,0c827,91,1098,261,1313,490l0,1720l526,0xe"/>
        </w:pict>
      </w:r>
      <w:r>
        <w:rPr>
          <w:rFonts w:ascii="Microsoft YaHei" w:hAnsi="Microsoft YaHei" w:eastAsia="Microsoft YaHei" w:cs="Microsoft YaHei"/>
          <w:sz w:val="21"/>
          <w:szCs w:val="21"/>
          <w:color w:val="FD349C"/>
          <w:spacing w:val="-5"/>
        </w:rPr>
        <w:t>集装箱及舱内设备  </w:t>
      </w:r>
      <w:r>
        <w:rPr>
          <w:rFonts w:ascii="Trebuchet MS" w:hAnsi="Trebuchet MS" w:eastAsia="Trebuchet MS" w:cs="Trebuchet MS"/>
          <w:sz w:val="39"/>
          <w:szCs w:val="39"/>
          <w:b/>
          <w:bCs/>
          <w:color w:val="FD349C"/>
          <w:spacing w:val="-5"/>
        </w:rPr>
        <w:t>8%</w:t>
      </w:r>
    </w:p>
    <w:p>
      <w:pPr>
        <w:ind w:firstLine="6190"/>
        <w:spacing w:before="41" w:line="127" w:lineRule="exact"/>
        <w:rPr/>
      </w:pPr>
      <w:r>
        <w:rPr>
          <w:position w:val="-2"/>
        </w:rPr>
        <w:pict>
          <v:shape id="_x0000_s908" style="mso-position-vertical-relative:line;mso-position-horizontal-relative:char;width:10.45pt;height:6.4pt;" filled="false" strokecolor="#7F7F7F" strokeweight="0.50pt" coordsize="208,128" coordorigin="0,0" path="m206,4l2,123e">
            <v:stroke joinstyle="miter"/>
          </v:shape>
        </w:pict>
      </w:r>
    </w:p>
    <w:p>
      <w:pPr>
        <w:ind w:left="8892"/>
        <w:spacing w:before="120" w:line="190" w:lineRule="auto"/>
        <w:rPr>
          <w:rFonts w:ascii="Trebuchet MS" w:hAnsi="Trebuchet MS" w:eastAsia="Trebuchet MS" w:cs="Trebuchet MS"/>
          <w:sz w:val="39"/>
          <w:szCs w:val="39"/>
        </w:rPr>
      </w:pPr>
      <w:r>
        <w:pict>
          <v:shape id="_x0000_s910" style="position:absolute;margin-left:332.239pt;margin-top:25.5455pt;mso-position-vertical-relative:text;mso-position-horizontal-relative:text;width:166.9pt;height:0.5pt;z-index:252459008;" filled="false" strokecolor="#7F7F7F" strokeweight="0.50pt" coordsize="3337,10" coordorigin="0,0" path="m0,5l3337,5e">
            <v:stroke joinstyle="miter"/>
          </v:shape>
        </w:pict>
      </w:r>
      <w:r>
        <w:pict>
          <v:shape id="_x0000_s912" style="position:absolute;margin-left:251.451pt;margin-top:7.00092pt;mso-position-vertical-relative:text;mso-position-horizontal-relative:text;width:81.5pt;height:61.55pt;z-index:252450816;" fillcolor="#DADADA" filled="true" stroked="false" coordsize="1630,1230" coordorigin="0,0" path="m1313,0c1442,137,1549,295,1629,466l0,1230l1313,0xe"/>
        </w:pict>
      </w:r>
      <w:r>
        <w:rPr>
          <w:rFonts w:ascii="Microsoft YaHei" w:hAnsi="Microsoft YaHei" w:eastAsia="Microsoft YaHei" w:cs="Microsoft YaHei"/>
          <w:sz w:val="21"/>
          <w:szCs w:val="21"/>
          <w:color w:val="A8A8A8"/>
          <w:spacing w:val="-14"/>
        </w:rPr>
        <w:t>EMS</w:t>
      </w:r>
      <w:r>
        <w:rPr>
          <w:rFonts w:ascii="Microsoft YaHei" w:hAnsi="Microsoft YaHei" w:eastAsia="Microsoft YaHei" w:cs="Microsoft YaHei"/>
          <w:sz w:val="21"/>
          <w:szCs w:val="21"/>
          <w:color w:val="A8A8A8"/>
          <w:spacing w:val="29"/>
        </w:rPr>
        <w:t xml:space="preserve"> </w:t>
      </w:r>
      <w:r>
        <w:rPr>
          <w:rFonts w:ascii="Trebuchet MS" w:hAnsi="Trebuchet MS" w:eastAsia="Trebuchet MS" w:cs="Trebuchet MS"/>
          <w:sz w:val="39"/>
          <w:szCs w:val="39"/>
          <w:b/>
          <w:bCs/>
          <w:color w:val="A8A8A8"/>
          <w:spacing w:val="-30"/>
          <w:w w:val="94"/>
        </w:rPr>
        <w:t>5%</w:t>
      </w:r>
    </w:p>
    <w:p>
      <w:pPr>
        <w:ind w:left="440"/>
        <w:spacing w:before="109" w:line="259" w:lineRule="exact"/>
        <w:rPr>
          <w:rFonts w:ascii="Trebuchet MS" w:hAnsi="Trebuchet MS" w:eastAsia="Trebuchet MS" w:cs="Trebuchet MS"/>
          <w:sz w:val="39"/>
          <w:szCs w:val="39"/>
        </w:rPr>
      </w:pPr>
      <w:r>
        <w:rPr>
          <w:rFonts w:ascii="Microsoft YaHei" w:hAnsi="Microsoft YaHei" w:eastAsia="Microsoft YaHei" w:cs="Microsoft YaHei"/>
          <w:sz w:val="21"/>
          <w:szCs w:val="21"/>
          <w:color w:val="00C0AE"/>
          <w:spacing w:val="-5"/>
          <w:w w:val="96"/>
          <w:position w:val="-8"/>
        </w:rPr>
        <w:t>电池</w:t>
      </w:r>
      <w:r>
        <w:rPr>
          <w:rFonts w:ascii="Microsoft YaHei" w:hAnsi="Microsoft YaHei" w:eastAsia="Microsoft YaHei" w:cs="Microsoft YaHei"/>
          <w:sz w:val="21"/>
          <w:szCs w:val="21"/>
          <w:color w:val="00C0AE"/>
          <w:spacing w:val="6"/>
          <w:position w:val="-8"/>
        </w:rPr>
        <w:t xml:space="preserve">  </w:t>
      </w:r>
      <w:r>
        <w:rPr>
          <w:rFonts w:ascii="Trebuchet MS" w:hAnsi="Trebuchet MS" w:eastAsia="Trebuchet MS" w:cs="Trebuchet MS"/>
          <w:sz w:val="39"/>
          <w:szCs w:val="39"/>
          <w:b/>
          <w:bCs/>
          <w:color w:val="00C0AE"/>
          <w:spacing w:val="-32"/>
          <w:w w:val="90"/>
          <w:position w:val="-8"/>
        </w:rPr>
        <w:t>59%</w:t>
      </w:r>
    </w:p>
    <w:p>
      <w:pPr>
        <w:ind w:left="8892"/>
        <w:spacing w:line="181" w:lineRule="auto"/>
        <w:rPr>
          <w:rFonts w:ascii="Trebuchet MS" w:hAnsi="Trebuchet MS" w:eastAsia="Trebuchet MS" w:cs="Trebuchet MS"/>
          <w:sz w:val="39"/>
          <w:szCs w:val="39"/>
        </w:rPr>
      </w:pPr>
      <w:r>
        <w:pict>
          <v:shape id="_x0000_s914" style="position:absolute;margin-left:19.279pt;margin-top:7.2372pt;mso-position-vertical-relative:text;mso-position-horizontal-relative:text;width:125.4pt;height:0.5pt;z-index:252462080;" filled="false" strokecolor="#7F7F7F" strokeweight="0.50pt" coordsize="2508,10" coordorigin="0,0" path="m0,5l2507,5e">
            <v:stroke joinstyle="miter"/>
          </v:shape>
        </w:pict>
      </w:r>
      <w:r>
        <w:pict>
          <v:shape id="_x0000_s916" style="position:absolute;margin-left:344.239pt;margin-top:21.1572pt;mso-position-vertical-relative:text;mso-position-horizontal-relative:text;width:154.9pt;height:0.5pt;z-index:252460032;" filled="false" strokecolor="#7F7F7F" strokeweight="0.50pt" coordsize="3097,10" coordorigin="0,0" path="m0,5l3097,5e">
            <v:stroke joinstyle="miter"/>
          </v:shape>
        </w:pict>
      </w:r>
      <w:r>
        <w:pict>
          <v:shape id="_x0000_s918" style="position:absolute;margin-left:144.613pt;margin-top:7.32027pt;mso-position-vertical-relative:text;mso-position-horizontal-relative:text;width:13.25pt;height:14.7pt;z-index:252455936;" filled="false" strokecolor="#7F7F7F" strokeweight="0.50pt" coordsize="265,293" coordorigin="0,0" path="m3,3l261,290e">
            <v:stroke joinstyle="miter"/>
          </v:shape>
        </w:pict>
      </w:r>
      <w:r>
        <w:pict>
          <v:group id="_x0000_s920" style="position:absolute;margin-left:251.451pt;margin-top:25.7172pt;mso-position-vertical-relative:text;mso-position-horizontal-relative:text;width:104.3pt;height:87.35pt;z-index:252452864;" filled="false" stroked="false" coordsize="2086,1746" coordorigin="0,0">
            <v:shape id="_x0000_s922" style="position:absolute;left:0;top:0;width:1688;height:1746;" fillcolor="#00B8F5" filled="true" stroked="false" coordsize="1688,1746" coordorigin="0,0" path="m1688,622c1482,1181,1012,1602,434,1746l0,0l1688,622xe"/>
            <v:shape id="_x0000_s924" style="position:absolute;left:1608;top:609;width:477;height:223;" filled="false" strokecolor="#7F7F7F" strokeweight="0.50pt" coordsize="477,223" coordorigin="0,0" path="m474,4l2,218e">
              <v:stroke joinstyle="miter"/>
            </v:shape>
          </v:group>
        </w:pict>
      </w:r>
      <w:r>
        <w:rPr>
          <w:rFonts w:ascii="Microsoft YaHei" w:hAnsi="Microsoft YaHei" w:eastAsia="Microsoft YaHei" w:cs="Microsoft YaHei"/>
          <w:sz w:val="21"/>
          <w:szCs w:val="21"/>
          <w:color w:val="00338D"/>
          <w:spacing w:val="-14"/>
        </w:rPr>
        <w:t>BMS</w:t>
      </w:r>
      <w:r>
        <w:rPr>
          <w:rFonts w:ascii="Microsoft YaHei" w:hAnsi="Microsoft YaHei" w:eastAsia="Microsoft YaHei" w:cs="Microsoft YaHei"/>
          <w:sz w:val="21"/>
          <w:szCs w:val="21"/>
          <w:color w:val="00338D"/>
          <w:spacing w:val="16"/>
          <w:w w:val="101"/>
        </w:rPr>
        <w:t xml:space="preserve"> </w:t>
      </w:r>
      <w:r>
        <w:rPr>
          <w:rFonts w:ascii="Trebuchet MS" w:hAnsi="Trebuchet MS" w:eastAsia="Trebuchet MS" w:cs="Trebuchet MS"/>
          <w:sz w:val="39"/>
          <w:szCs w:val="39"/>
          <w:b/>
          <w:bCs/>
          <w:color w:val="00338D"/>
          <w:spacing w:val="-51"/>
          <w:w w:val="91"/>
        </w:rPr>
        <w:t>13%</w:t>
      </w:r>
    </w:p>
    <w:p>
      <w:pPr>
        <w:ind w:left="8892"/>
        <w:spacing w:before="287" w:line="190" w:lineRule="auto"/>
        <w:rPr>
          <w:rFonts w:ascii="Trebuchet MS" w:hAnsi="Trebuchet MS" w:eastAsia="Trebuchet MS" w:cs="Trebuchet MS"/>
          <w:sz w:val="39"/>
          <w:szCs w:val="39"/>
        </w:rPr>
      </w:pPr>
      <w:r>
        <w:rPr>
          <w:rFonts w:ascii="Microsoft YaHei" w:hAnsi="Microsoft YaHei" w:eastAsia="Microsoft YaHei" w:cs="Microsoft YaHei"/>
          <w:sz w:val="21"/>
          <w:szCs w:val="21"/>
          <w:color w:val="00B8F5"/>
          <w:spacing w:val="-6"/>
          <w:position w:val="2"/>
        </w:rPr>
        <w:t>PCS</w:t>
      </w:r>
      <w:r>
        <w:rPr>
          <w:rFonts w:ascii="Microsoft YaHei" w:hAnsi="Microsoft YaHei" w:eastAsia="Microsoft YaHei" w:cs="Microsoft YaHei"/>
          <w:sz w:val="21"/>
          <w:szCs w:val="21"/>
          <w:color w:val="00B8F5"/>
          <w:spacing w:val="59"/>
          <w:w w:val="101"/>
          <w:position w:val="2"/>
        </w:rPr>
        <w:t xml:space="preserve"> </w:t>
      </w:r>
      <w:r>
        <w:rPr>
          <w:rFonts w:ascii="Trebuchet MS" w:hAnsi="Trebuchet MS" w:eastAsia="Trebuchet MS" w:cs="Trebuchet MS"/>
          <w:sz w:val="39"/>
          <w:szCs w:val="39"/>
          <w:b/>
          <w:bCs/>
          <w:color w:val="00B8F5"/>
          <w:spacing w:val="-46"/>
          <w:w w:val="90"/>
        </w:rPr>
        <w:t>16%</w:t>
      </w:r>
    </w:p>
    <w:p>
      <w:pPr>
        <w:pStyle w:val="BodyText"/>
        <w:spacing w:line="285" w:lineRule="auto"/>
        <w:rPr/>
      </w:pPr>
      <w:r>
        <w:pict>
          <v:shape id="_x0000_s926" style="position:absolute;margin-left:355.999pt;margin-top:6.58356pt;mso-position-vertical-relative:text;mso-position-horizontal-relative:text;width:143.3pt;height:0.5pt;z-index:252461056;" filled="false" strokecolor="#7F7F7F" strokeweight="0.50pt" coordsize="2866,10" coordorigin="0,0" path="m0,5l2865,5e">
            <v:stroke joinstyle="miter"/>
          </v:shape>
        </w:pict>
      </w:r>
      <w:r/>
    </w:p>
    <w:p>
      <w:pPr>
        <w:pStyle w:val="BodyText"/>
        <w:spacing w:line="286" w:lineRule="auto"/>
        <w:rPr/>
      </w:pPr>
      <w:r/>
    </w:p>
    <w:p>
      <w:pPr>
        <w:pStyle w:val="BodyText"/>
        <w:spacing w:line="286" w:lineRule="auto"/>
        <w:rPr/>
      </w:pPr>
      <w:r/>
    </w:p>
    <w:p>
      <w:pPr>
        <w:pStyle w:val="BodyText"/>
        <w:spacing w:line="286" w:lineRule="auto"/>
        <w:rPr/>
      </w:pPr>
      <w:r/>
    </w:p>
    <w:p>
      <w:pPr>
        <w:pStyle w:val="BodyText"/>
        <w:spacing w:line="286" w:lineRule="auto"/>
        <w:rPr/>
      </w:pPr>
      <w:r/>
    </w:p>
    <w:p>
      <w:pPr>
        <w:ind w:left="347"/>
        <w:spacing w:before="64" w:line="186"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8"/>
        </w:rPr>
        <w:t>资料来源：星云股份年报，毕马威分析</w:t>
      </w:r>
    </w:p>
    <w:p>
      <w:pPr>
        <w:pStyle w:val="BodyText"/>
        <w:spacing w:line="373" w:lineRule="auto"/>
        <w:rPr/>
      </w:pPr>
      <w:r/>
    </w:p>
    <w:p>
      <w:pPr>
        <w:ind w:left="346"/>
        <w:spacing w:before="104" w:line="186" w:lineRule="auto"/>
        <w:rPr>
          <w:rFonts w:ascii="Microsoft YaHei" w:hAnsi="Microsoft YaHei" w:eastAsia="Microsoft YaHei" w:cs="Microsoft YaHei"/>
          <w:sz w:val="24"/>
          <w:szCs w:val="24"/>
        </w:rPr>
      </w:pPr>
      <w:r>
        <w:rPr>
          <w:rFonts w:ascii="Microsoft YaHei" w:hAnsi="Microsoft YaHei" w:eastAsia="Microsoft YaHei" w:cs="Microsoft YaHei"/>
          <w:sz w:val="24"/>
          <w:szCs w:val="24"/>
          <w:b/>
          <w:bCs/>
          <w:color w:val="00C0AE"/>
          <w:spacing w:val="-1"/>
        </w:rPr>
        <w:t>新能源电站配储加大初始投资成本，发电侧自建储能压力大</w:t>
      </w:r>
    </w:p>
    <w:p>
      <w:pPr>
        <w:ind w:left="346" w:right="2824" w:firstLine="1"/>
        <w:spacing w:before="159" w:line="218" w:lineRule="auto"/>
        <w:tabs>
          <w:tab w:val="left" w:pos="8455"/>
        </w:tabs>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新能源强制配储会加大项目初始投资成本。</w:t>
      </w:r>
      <w:r>
        <w:rPr>
          <w:rFonts w:ascii="Microsoft YaHei" w:hAnsi="Microsoft YaHei" w:eastAsia="Microsoft YaHei" w:cs="Microsoft YaHei"/>
          <w:sz w:val="21"/>
          <w:szCs w:val="21"/>
          <w:spacing w:val="3"/>
        </w:rPr>
        <w:t>根据中国能源报</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，一座光伏电站配建装机</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量20%、时长2小时的储能项目，其初始投资将增加8</w:t>
      </w:r>
      <w:r>
        <w:rPr>
          <w:rFonts w:ascii="Microsoft YaHei" w:hAnsi="Microsoft YaHei" w:eastAsia="Microsoft YaHei" w:cs="Microsoft YaHei"/>
          <w:sz w:val="21"/>
          <w:szCs w:val="21"/>
        </w:rPr>
        <w:t>%-10%；而风电场配建同样容量    </w:t>
      </w:r>
      <w:r>
        <w:rPr>
          <w:rFonts w:ascii="Microsoft YaHei" w:hAnsi="Microsoft YaHei" w:eastAsia="Microsoft YaHei" w:cs="Microsoft YaHei"/>
          <w:sz w:val="21"/>
          <w:szCs w:val="21"/>
        </w:rPr>
        <w:t>的储能项目</w:t>
      </w:r>
      <w:r>
        <w:rPr>
          <w:rFonts w:ascii="Microsoft YaHei" w:hAnsi="Microsoft YaHei" w:eastAsia="Microsoft YaHei" w:cs="Microsoft YaHei"/>
          <w:sz w:val="21"/>
          <w:szCs w:val="21"/>
          <w:spacing w:val="-23"/>
        </w:rPr>
        <w:t xml:space="preserve"> </w:t>
      </w:r>
      <w:r>
        <w:rPr>
          <w:rFonts w:ascii="Microsoft YaHei" w:hAnsi="Microsoft YaHei" w:eastAsia="Microsoft YaHei" w:cs="Microsoft YaHei"/>
          <w:sz w:val="21"/>
          <w:szCs w:val="21"/>
        </w:rPr>
        <w:t>，其初始投资成本将增加15%-20%</w:t>
      </w:r>
      <w:r>
        <w:rPr>
          <w:rFonts w:ascii="Microsoft YaHei" w:hAnsi="Microsoft YaHei" w:eastAsia="Microsoft YaHei" w:cs="Microsoft YaHei"/>
          <w:sz w:val="21"/>
          <w:szCs w:val="21"/>
          <w:spacing w:val="-26"/>
        </w:rPr>
        <w:t xml:space="preserve"> </w:t>
      </w:r>
      <w:r>
        <w:rPr>
          <w:rFonts w:ascii="Microsoft YaHei" w:hAnsi="Microsoft YaHei" w:eastAsia="Microsoft YaHei" w:cs="Microsoft YaHei"/>
          <w:sz w:val="21"/>
          <w:szCs w:val="21"/>
        </w:rPr>
        <w:t>，发电侧自建储能面临一定困境</w:t>
      </w:r>
      <w:r>
        <w:rPr>
          <w:rFonts w:ascii="Microsoft YaHei" w:hAnsi="Microsoft YaHei" w:eastAsia="Microsoft YaHei" w:cs="Microsoft YaHei"/>
          <w:sz w:val="13"/>
          <w:szCs w:val="13"/>
          <w:position w:val="6"/>
        </w:rPr>
        <w:t>24</w:t>
      </w:r>
      <w:r>
        <w:rPr>
          <w:rFonts w:ascii="Microsoft YaHei" w:hAnsi="Microsoft YaHei" w:eastAsia="Microsoft YaHei" w:cs="Microsoft YaHei"/>
          <w:sz w:val="21"/>
          <w:szCs w:val="21"/>
        </w:rPr>
        <w:t>。另</w:t>
      </w:r>
      <w:r>
        <w:rPr>
          <w:rFonts w:ascii="Microsoft YaHei" w:hAnsi="Microsoft YaHei" w:eastAsia="Microsoft YaHei" w:cs="Microsoft YaHei"/>
          <w:sz w:val="21"/>
          <w:szCs w:val="21"/>
        </w:rPr>
        <w:tab/>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外</w:t>
      </w:r>
      <w:r>
        <w:rPr>
          <w:rFonts w:ascii="Microsoft YaHei" w:hAnsi="Microsoft YaHei" w:eastAsia="Microsoft YaHei" w:cs="Microsoft YaHei"/>
          <w:sz w:val="21"/>
          <w:szCs w:val="21"/>
          <w:spacing w:val="-14"/>
        </w:rPr>
        <w:t xml:space="preserve"> </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spacing w:val="-38"/>
        </w:rPr>
        <w:t xml:space="preserve"> </w:t>
      </w:r>
      <w:r>
        <w:rPr>
          <w:rFonts w:ascii="Microsoft YaHei" w:hAnsi="Microsoft YaHei" w:eastAsia="Microsoft YaHei" w:cs="Microsoft YaHei"/>
          <w:sz w:val="21"/>
          <w:szCs w:val="21"/>
          <w:spacing w:val="1"/>
        </w:rPr>
        <w:t>由于受到配储容量与时长限制</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1"/>
        </w:rPr>
        <w:t>，储能对发电侧企业的消纳问题作用有限</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1"/>
        </w:rPr>
        <w:t>，部分企</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业选择弃电。以某弃风严重区域风电配套储</w:t>
      </w:r>
      <w:r>
        <w:rPr>
          <w:rFonts w:ascii="Microsoft YaHei" w:hAnsi="Microsoft YaHei" w:eastAsia="Microsoft YaHei" w:cs="Microsoft YaHei"/>
          <w:sz w:val="21"/>
          <w:szCs w:val="21"/>
        </w:rPr>
        <w:t>能站为例，配置额定功率10%、4小时的储    </w:t>
      </w:r>
      <w:r>
        <w:rPr>
          <w:rFonts w:ascii="Microsoft YaHei" w:hAnsi="Microsoft YaHei" w:eastAsia="Microsoft YaHei" w:cs="Microsoft YaHei"/>
          <w:sz w:val="21"/>
          <w:szCs w:val="21"/>
        </w:rPr>
        <w:t>能</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rPr>
        <w:t>，弃风率为20.6%</w:t>
      </w:r>
      <w:r>
        <w:rPr>
          <w:rFonts w:ascii="Microsoft YaHei" w:hAnsi="Microsoft YaHei" w:eastAsia="Microsoft YaHei" w:cs="Microsoft YaHei"/>
          <w:sz w:val="21"/>
          <w:szCs w:val="21"/>
          <w:spacing w:val="-26"/>
        </w:rPr>
        <w:t xml:space="preserve"> </w:t>
      </w:r>
      <w:r>
        <w:rPr>
          <w:rFonts w:ascii="Microsoft YaHei" w:hAnsi="Microsoft YaHei" w:eastAsia="Microsoft YaHei" w:cs="Microsoft YaHei"/>
          <w:sz w:val="21"/>
          <w:szCs w:val="21"/>
        </w:rPr>
        <w:t>，配置额定功率20%、4小时的储能</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rPr>
        <w:t>，弃风率仍达</w:t>
      </w:r>
      <w:r>
        <w:rPr>
          <w:rFonts w:ascii="Microsoft YaHei" w:hAnsi="Microsoft YaHei" w:eastAsia="Microsoft YaHei" w:cs="Microsoft YaHei"/>
          <w:sz w:val="21"/>
          <w:szCs w:val="21"/>
          <w:spacing w:val="-1"/>
        </w:rPr>
        <w:t>19.7%</w:t>
      </w:r>
      <w:r>
        <w:rPr>
          <w:rFonts w:ascii="Microsoft YaHei" w:hAnsi="Microsoft YaHei" w:eastAsia="Microsoft YaHei" w:cs="Microsoft YaHei"/>
          <w:sz w:val="13"/>
          <w:szCs w:val="13"/>
          <w:spacing w:val="-1"/>
          <w:position w:val="6"/>
        </w:rPr>
        <w:t>25</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spacing w:val="-27"/>
        </w:rPr>
        <w:t xml:space="preserve"> </w:t>
      </w:r>
      <w:r>
        <w:rPr>
          <w:rFonts w:ascii="Microsoft YaHei" w:hAnsi="Microsoft YaHei" w:eastAsia="Microsoft YaHei" w:cs="Microsoft YaHei"/>
          <w:sz w:val="21"/>
          <w:szCs w:val="21"/>
          <w:spacing w:val="-1"/>
        </w:rPr>
        <w:t>当前</w:t>
      </w:r>
      <w:r>
        <w:rPr>
          <w:rFonts w:ascii="Microsoft YaHei" w:hAnsi="Microsoft YaHei" w:eastAsia="Microsoft YaHei" w:cs="Microsoft YaHei"/>
          <w:sz w:val="21"/>
          <w:szCs w:val="21"/>
        </w:rPr>
        <w:tab/>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新能源企业配储成本主要由企业自身承担</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，叠加锂矿成</w:t>
      </w:r>
      <w:r>
        <w:rPr>
          <w:rFonts w:ascii="Microsoft YaHei" w:hAnsi="Microsoft YaHei" w:eastAsia="Microsoft YaHei" w:cs="Microsoft YaHei"/>
          <w:sz w:val="21"/>
          <w:szCs w:val="21"/>
          <w:spacing w:val="1"/>
        </w:rPr>
        <w:t>本上涨</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，给企业带来较大压力。</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企业可能倾向于选择性能较差、初始成本较低的</w:t>
      </w:r>
      <w:r>
        <w:rPr>
          <w:rFonts w:ascii="Microsoft YaHei" w:hAnsi="Microsoft YaHei" w:eastAsia="Microsoft YaHei" w:cs="Microsoft YaHei"/>
          <w:sz w:val="21"/>
          <w:szCs w:val="21"/>
          <w:spacing w:val="3"/>
        </w:rPr>
        <w:t>储能产品</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，把储能作为可再生能源优</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先并网的工具。</w:t>
      </w:r>
    </w:p>
    <w:p>
      <w:pPr>
        <w:pStyle w:val="BodyText"/>
        <w:spacing w:line="319" w:lineRule="auto"/>
        <w:rPr/>
      </w:pPr>
      <w:r/>
    </w:p>
    <w:p>
      <w:pPr>
        <w:pStyle w:val="BodyText"/>
        <w:spacing w:line="319" w:lineRule="auto"/>
        <w:rPr/>
      </w:pPr>
      <w:r/>
    </w:p>
    <w:p>
      <w:pPr>
        <w:ind w:firstLine="337"/>
        <w:spacing w:line="509" w:lineRule="exact"/>
        <w:rPr/>
      </w:pPr>
      <w:r>
        <w:rPr>
          <w:position w:val="-10"/>
        </w:rPr>
        <w:pict>
          <v:shape id="_x0000_s928" style="mso-position-vertical-relative:line;mso-position-horizontal-relative:char;width:75.15pt;height:25.45pt;" fillcolor="#00C0AE" filled="true" stroked="false" type="#_x0000_t202">
            <v:fill on="true"/>
            <v:stroke on="false"/>
            <v:path/>
            <v:imagedata o:title=""/>
            <o:lock v:ext="edit" aspectratio="false"/>
            <v:textbox inset="0mm,0mm,0mm,0mm">
              <w:txbxContent>
                <w:p>
                  <w:pPr>
                    <w:ind w:left="149"/>
                    <w:spacing w:before="110" w:line="182" w:lineRule="auto"/>
                    <w:rPr>
                      <w:rFonts w:ascii="Microsoft YaHei" w:hAnsi="Microsoft YaHei" w:eastAsia="Microsoft YaHei" w:cs="Microsoft YaHei"/>
                      <w:sz w:val="27"/>
                      <w:szCs w:val="27"/>
                    </w:rPr>
                  </w:pPr>
                  <w:r>
                    <w:rPr>
                      <w:rFonts w:ascii="Microsoft YaHei" w:hAnsi="Microsoft YaHei" w:eastAsia="Microsoft YaHei" w:cs="Microsoft YaHei"/>
                      <w:sz w:val="27"/>
                      <w:szCs w:val="27"/>
                      <w:b/>
                      <w:bCs/>
                      <w:color w:val="FFFFFF"/>
                      <w:spacing w:val="7"/>
                    </w:rPr>
                    <w:t>收益分析:</w:t>
                  </w:r>
                </w:p>
              </w:txbxContent>
            </v:textbox>
          </v:shape>
        </w:pict>
      </w:r>
    </w:p>
    <w:p>
      <w:pPr>
        <w:ind w:left="345" w:right="2997" w:firstLine="2"/>
        <w:spacing w:before="168" w:line="217"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在发电侧</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，储能的主要功能体现在提高新能源消纳</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，平滑新能源输</w:t>
      </w:r>
      <w:r>
        <w:rPr>
          <w:rFonts w:ascii="Microsoft YaHei" w:hAnsi="Microsoft YaHei" w:eastAsia="Microsoft YaHei" w:cs="Microsoft YaHei"/>
          <w:sz w:val="21"/>
          <w:szCs w:val="21"/>
          <w:spacing w:val="2"/>
        </w:rPr>
        <w:t>出。这些功能催生</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储能在发电侧的收益主要来自于减少“弃风弃光”</w:t>
      </w:r>
      <w:r>
        <w:rPr>
          <w:rFonts w:ascii="Microsoft YaHei" w:hAnsi="Microsoft YaHei" w:eastAsia="Microsoft YaHei" w:cs="Microsoft YaHei"/>
          <w:sz w:val="21"/>
          <w:szCs w:val="21"/>
          <w:spacing w:val="-19"/>
        </w:rPr>
        <w:t xml:space="preserve"> </w:t>
      </w:r>
      <w:r>
        <w:rPr>
          <w:rFonts w:ascii="Microsoft YaHei" w:hAnsi="Microsoft YaHei" w:eastAsia="Microsoft YaHei" w:cs="Microsoft YaHei"/>
          <w:sz w:val="21"/>
          <w:szCs w:val="21"/>
          <w:spacing w:val="2"/>
        </w:rPr>
        <w:t>电量后所增加的电费收入</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41"/>
        </w:rPr>
        <w:t xml:space="preserve"> </w:t>
      </w:r>
      <w:r>
        <w:rPr>
          <w:rFonts w:ascii="Microsoft YaHei" w:hAnsi="Microsoft YaHei" w:eastAsia="Microsoft YaHei" w:cs="Microsoft YaHei"/>
          <w:sz w:val="21"/>
          <w:szCs w:val="21"/>
          <w:spacing w:val="2"/>
        </w:rPr>
        <w:t>以及减</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少的考核费用。</w:t>
      </w:r>
    </w:p>
    <w:p>
      <w:pPr>
        <w:pStyle w:val="BodyText"/>
        <w:spacing w:line="286" w:lineRule="auto"/>
        <w:rPr/>
      </w:pPr>
      <w:r/>
    </w:p>
    <w:p>
      <w:pPr>
        <w:pStyle w:val="BodyText"/>
        <w:spacing w:line="286" w:lineRule="auto"/>
        <w:rPr/>
      </w:pPr>
      <w:r/>
    </w:p>
    <w:p>
      <w:pPr>
        <w:pStyle w:val="BodyText"/>
        <w:spacing w:line="286" w:lineRule="auto"/>
        <w:rPr/>
      </w:pPr>
      <w:r/>
    </w:p>
    <w:p>
      <w:pPr>
        <w:pStyle w:val="BodyText"/>
        <w:spacing w:line="287" w:lineRule="auto"/>
        <w:rPr/>
      </w:pPr>
      <w:r>
        <w:pict>
          <v:shape id="_x0000_s930" style="position:absolute;margin-left:17.119pt;margin-top:6.35172pt;mso-position-vertical-relative:text;mso-position-horizontal-relative:text;width:81.3pt;height:0.5pt;z-index:252463104;" filled="false" strokecolor="#000000" strokeweight="0.50pt" coordsize="1626,10" coordorigin="0,0" path="m0,5l1625,5e">
            <v:stroke joinstyle="miter"/>
          </v:shape>
        </w:pict>
      </w:r>
      <w:r/>
    </w:p>
    <w:p>
      <w:pPr>
        <w:ind w:left="342"/>
        <w:spacing w:before="57" w:line="188"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3"/>
          <w:position w:val="4"/>
        </w:rPr>
        <w:t>24 </w:t>
      </w:r>
      <w:r>
        <w:rPr>
          <w:rFonts w:ascii="Microsoft YaHei" w:hAnsi="Microsoft YaHei" w:eastAsia="Microsoft YaHei" w:cs="Microsoft YaHei"/>
          <w:sz w:val="13"/>
          <w:szCs w:val="13"/>
          <w:spacing w:val="3"/>
        </w:rPr>
        <w:t>成本难疏导困住新能源配储，中国能源报，  2021年2月24</w:t>
      </w:r>
      <w:r>
        <w:rPr>
          <w:rFonts w:ascii="Microsoft YaHei" w:hAnsi="Microsoft YaHei" w:eastAsia="Microsoft YaHei" w:cs="Microsoft YaHei"/>
          <w:sz w:val="13"/>
          <w:szCs w:val="13"/>
          <w:spacing w:val="2"/>
        </w:rPr>
        <w:t>日，</w:t>
      </w:r>
    </w:p>
    <w:p>
      <w:pPr>
        <w:ind w:left="351"/>
        <w:spacing w:line="187" w:lineRule="auto"/>
        <w:rPr>
          <w:rFonts w:ascii="Microsoft YaHei" w:hAnsi="Microsoft YaHei" w:eastAsia="Microsoft YaHei" w:cs="Microsoft YaHei"/>
          <w:sz w:val="13"/>
          <w:szCs w:val="13"/>
        </w:rPr>
      </w:pPr>
      <w:hyperlink w:history="true" r:id="rId212">
        <w:r>
          <w:rPr>
            <w:rFonts w:ascii="Microsoft YaHei" w:hAnsi="Microsoft YaHei" w:eastAsia="Microsoft YaHei" w:cs="Microsoft YaHei"/>
            <w:sz w:val="13"/>
            <w:szCs w:val="13"/>
          </w:rPr>
          <w:t>http</w:t>
        </w:r>
        <w:r>
          <w:rPr>
            <w:rFonts w:ascii="Microsoft YaHei" w:hAnsi="Microsoft YaHei" w:eastAsia="Microsoft YaHei" w:cs="Microsoft YaHei"/>
            <w:sz w:val="13"/>
            <w:szCs w:val="13"/>
            <w:spacing w:val="7"/>
          </w:rPr>
          <w:t>://</w:t>
        </w:r>
        <w:r>
          <w:rPr>
            <w:rFonts w:ascii="Microsoft YaHei" w:hAnsi="Microsoft YaHei" w:eastAsia="Microsoft YaHei" w:cs="Microsoft YaHei"/>
            <w:sz w:val="13"/>
            <w:szCs w:val="13"/>
          </w:rPr>
          <w:t>www</w:t>
        </w:r>
        <w:r>
          <w:rPr>
            <w:rFonts w:ascii="Microsoft YaHei" w:hAnsi="Microsoft YaHei" w:eastAsia="Microsoft YaHei" w:cs="Microsoft YaHei"/>
            <w:sz w:val="13"/>
            <w:szCs w:val="13"/>
            <w:spacing w:val="7"/>
          </w:rPr>
          <w:t>.</w:t>
        </w:r>
        <w:r>
          <w:rPr>
            <w:rFonts w:ascii="Microsoft YaHei" w:hAnsi="Microsoft YaHei" w:eastAsia="Microsoft YaHei" w:cs="Microsoft YaHei"/>
            <w:sz w:val="13"/>
            <w:szCs w:val="13"/>
          </w:rPr>
          <w:t>chinapower</w:t>
        </w:r>
        <w:r>
          <w:rPr>
            <w:rFonts w:ascii="Microsoft YaHei" w:hAnsi="Microsoft YaHei" w:eastAsia="Microsoft YaHei" w:cs="Microsoft YaHei"/>
            <w:sz w:val="13"/>
            <w:szCs w:val="13"/>
            <w:spacing w:val="7"/>
          </w:rPr>
          <w:t>.</w:t>
        </w:r>
        <w:r>
          <w:rPr>
            <w:rFonts w:ascii="Microsoft YaHei" w:hAnsi="Microsoft YaHei" w:eastAsia="Microsoft YaHei" w:cs="Microsoft YaHei"/>
            <w:sz w:val="13"/>
            <w:szCs w:val="13"/>
          </w:rPr>
          <w:t>com</w:t>
        </w:r>
        <w:r>
          <w:rPr>
            <w:rFonts w:ascii="Microsoft YaHei" w:hAnsi="Microsoft YaHei" w:eastAsia="Microsoft YaHei" w:cs="Microsoft YaHei"/>
            <w:sz w:val="13"/>
            <w:szCs w:val="13"/>
            <w:spacing w:val="7"/>
          </w:rPr>
          <w:t>.</w:t>
        </w:r>
        <w:r>
          <w:rPr>
            <w:rFonts w:ascii="Microsoft YaHei" w:hAnsi="Microsoft YaHei" w:eastAsia="Microsoft YaHei" w:cs="Microsoft YaHei"/>
            <w:sz w:val="13"/>
            <w:szCs w:val="13"/>
          </w:rPr>
          <w:t>cn</w:t>
        </w:r>
        <w:r>
          <w:rPr>
            <w:rFonts w:ascii="Microsoft YaHei" w:hAnsi="Microsoft YaHei" w:eastAsia="Microsoft YaHei" w:cs="Microsoft YaHei"/>
            <w:sz w:val="13"/>
            <w:szCs w:val="13"/>
            <w:spacing w:val="7"/>
          </w:rPr>
          <w:t>/</w:t>
        </w:r>
        <w:r>
          <w:rPr>
            <w:rFonts w:ascii="Microsoft YaHei" w:hAnsi="Microsoft YaHei" w:eastAsia="Microsoft YaHei" w:cs="Microsoft YaHei"/>
            <w:sz w:val="13"/>
            <w:szCs w:val="13"/>
          </w:rPr>
          <w:t>xw</w:t>
        </w:r>
        <w:r>
          <w:rPr>
            <w:rFonts w:ascii="Microsoft YaHei" w:hAnsi="Microsoft YaHei" w:eastAsia="Microsoft YaHei" w:cs="Microsoft YaHei"/>
            <w:sz w:val="13"/>
            <w:szCs w:val="13"/>
            <w:spacing w:val="7"/>
          </w:rPr>
          <w:t>/</w:t>
        </w:r>
        <w:r>
          <w:rPr>
            <w:rFonts w:ascii="Microsoft YaHei" w:hAnsi="Microsoft YaHei" w:eastAsia="Microsoft YaHei" w:cs="Microsoft YaHei"/>
            <w:sz w:val="13"/>
            <w:szCs w:val="13"/>
          </w:rPr>
          <w:t>gnxw</w:t>
        </w:r>
        <w:r>
          <w:rPr>
            <w:rFonts w:ascii="Microsoft YaHei" w:hAnsi="Microsoft YaHei" w:eastAsia="Microsoft YaHei" w:cs="Microsoft YaHei"/>
            <w:sz w:val="13"/>
            <w:szCs w:val="13"/>
            <w:spacing w:val="7"/>
          </w:rPr>
          <w:t>/20210225/54306.</w:t>
        </w:r>
        <w:r>
          <w:rPr>
            <w:rFonts w:ascii="Microsoft YaHei" w:hAnsi="Microsoft YaHei" w:eastAsia="Microsoft YaHei" w:cs="Microsoft YaHei"/>
            <w:sz w:val="13"/>
            <w:szCs w:val="13"/>
          </w:rPr>
          <w:t>html</w:t>
        </w:r>
      </w:hyperlink>
    </w:p>
    <w:p>
      <w:pPr>
        <w:ind w:left="342"/>
        <w:spacing w:before="53" w:line="184"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3"/>
          <w:position w:val="3"/>
        </w:rPr>
        <w:t>25</w:t>
      </w:r>
      <w:r>
        <w:rPr>
          <w:rFonts w:ascii="Microsoft YaHei" w:hAnsi="Microsoft YaHei" w:eastAsia="Microsoft YaHei" w:cs="Microsoft YaHei"/>
          <w:sz w:val="9"/>
          <w:szCs w:val="9"/>
          <w:spacing w:val="22"/>
          <w:w w:val="102"/>
          <w:position w:val="3"/>
        </w:rPr>
        <w:t xml:space="preserve"> </w:t>
      </w:r>
      <w:r>
        <w:rPr>
          <w:rFonts w:ascii="Microsoft YaHei" w:hAnsi="Microsoft YaHei" w:eastAsia="Microsoft YaHei" w:cs="Microsoft YaHei"/>
          <w:sz w:val="13"/>
          <w:szCs w:val="13"/>
          <w:spacing w:val="-3"/>
        </w:rPr>
        <w:t>同上。</w:t>
      </w:r>
    </w:p>
    <w:p>
      <w:pPr>
        <w:ind w:left="842" w:right="1241" w:hanging="411"/>
        <w:spacing w:before="248"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963" w:header="0" w:footer="0" w:gutter="0"/>
        </w:sectPr>
        <w:rPr>
          <w:rFonts w:ascii="Microsoft YaHei" w:hAnsi="Microsoft YaHei" w:eastAsia="Microsoft YaHei" w:cs="Microsoft YaHei"/>
          <w:sz w:val="11"/>
          <w:szCs w:val="11"/>
        </w:rPr>
      </w:pPr>
    </w:p>
    <w:p>
      <w:pPr>
        <w:ind w:left="7674"/>
        <w:spacing w:before="314" w:line="193" w:lineRule="auto"/>
        <w:rPr>
          <w:rFonts w:ascii="Microsoft YaHei" w:hAnsi="Microsoft YaHei" w:eastAsia="Microsoft YaHei" w:cs="Microsoft YaHei"/>
          <w:sz w:val="18"/>
          <w:szCs w:val="18"/>
        </w:rPr>
      </w:pPr>
      <w:r>
        <w:pict>
          <v:rect id="_x0000_s932" style="position:absolute;margin-left:611.99pt;margin-top:0pt;mso-position-vertical-relative:page;mso-position-horizontal-relative:page;width:0.25pt;height:859pt;z-index:252488704;" o:allowincell="f" fillcolor="#000000" filled="true" stroked="false"/>
        </w:pict>
      </w:r>
      <w:r>
        <w:rPr>
          <w:rFonts w:ascii="Microsoft YaHei" w:hAnsi="Microsoft YaHei" w:eastAsia="Microsoft YaHei" w:cs="Microsoft YaHei"/>
          <w:sz w:val="18"/>
          <w:szCs w:val="18"/>
          <w:color w:val="A8A8A8"/>
        </w:rPr>
        <w:t>新型储能助力能源转型</w:t>
      </w:r>
      <w:r>
        <w:rPr>
          <w:rFonts w:ascii="Microsoft YaHei" w:hAnsi="Microsoft YaHei" w:eastAsia="Microsoft YaHei" w:cs="Microsoft YaHei"/>
          <w:sz w:val="18"/>
          <w:szCs w:val="18"/>
          <w:color w:val="A8A8A8"/>
          <w:spacing w:val="20"/>
        </w:rPr>
        <w:t xml:space="preserve">  </w:t>
      </w:r>
      <w:r>
        <w:rPr>
          <w:sz w:val="18"/>
          <w:szCs w:val="18"/>
          <w:position w:val="-4"/>
        </w:rPr>
        <w:drawing>
          <wp:inline distT="0" distB="0" distL="0" distR="0">
            <wp:extent cx="6350" cy="130175"/>
            <wp:effectExtent l="0" t="0" r="0" b="0"/>
            <wp:docPr id="474" name="IM 474"/>
            <wp:cNvGraphicFramePr/>
            <a:graphic>
              <a:graphicData uri="http://schemas.openxmlformats.org/drawingml/2006/picture">
                <pic:pic>
                  <pic:nvPicPr>
                    <pic:cNvPr id="474" name="IM 474"/>
                    <pic:cNvPicPr/>
                  </pic:nvPicPr>
                  <pic:blipFill>
                    <a:blip r:embed="rId213"/>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spacing w:val="15"/>
          <w:w w:val="101"/>
        </w:rPr>
        <w:t xml:space="preserve">  </w:t>
      </w:r>
      <w:r>
        <w:rPr>
          <w:rFonts w:ascii="Microsoft YaHei" w:hAnsi="Microsoft YaHei" w:eastAsia="Microsoft YaHei" w:cs="Microsoft YaHei"/>
          <w:sz w:val="18"/>
          <w:szCs w:val="18"/>
          <w:b/>
          <w:bCs/>
          <w:color w:val="A8A8A8"/>
        </w:rPr>
        <w:t>38</w:t>
      </w:r>
    </w:p>
    <w:p>
      <w:pPr>
        <w:pStyle w:val="BodyText"/>
        <w:spacing w:line="258" w:lineRule="auto"/>
        <w:rPr/>
      </w:pPr>
      <w:r/>
    </w:p>
    <w:p>
      <w:pPr>
        <w:pStyle w:val="BodyText"/>
        <w:spacing w:line="259" w:lineRule="auto"/>
        <w:rPr/>
      </w:pPr>
      <w:r/>
    </w:p>
    <w:p>
      <w:pPr>
        <w:pStyle w:val="BodyText"/>
        <w:spacing w:line="259" w:lineRule="auto"/>
        <w:rPr/>
      </w:pPr>
      <w:r/>
    </w:p>
    <w:p>
      <w:pPr>
        <w:pStyle w:val="BodyText"/>
        <w:spacing w:line="259" w:lineRule="auto"/>
        <w:rPr/>
      </w:pPr>
      <w:r/>
    </w:p>
    <w:p>
      <w:pPr>
        <w:ind w:left="8"/>
        <w:spacing w:before="103" w:line="179" w:lineRule="auto"/>
        <w:outlineLvl w:val="0"/>
        <w:rPr>
          <w:rFonts w:ascii="Microsoft YaHei" w:hAnsi="Microsoft YaHei" w:eastAsia="Microsoft YaHei" w:cs="Microsoft YaHei"/>
          <w:sz w:val="24"/>
          <w:szCs w:val="24"/>
        </w:rPr>
      </w:pPr>
      <w:r>
        <w:rPr>
          <w:rFonts w:ascii="Microsoft YaHei" w:hAnsi="Microsoft YaHei" w:eastAsia="Microsoft YaHei" w:cs="Microsoft YaHei"/>
          <w:sz w:val="24"/>
          <w:szCs w:val="24"/>
          <w:b/>
          <w:bCs/>
          <w:color w:val="00C0AE"/>
          <w:spacing w:val="-1"/>
        </w:rPr>
        <w:t>新疆探索对新能源储能电站所充电量进行补偿</w:t>
      </w:r>
    </w:p>
    <w:p>
      <w:pPr>
        <w:ind w:left="9" w:right="2823" w:firstLine="4"/>
        <w:spacing w:before="177" w:line="218"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为了激励新能源电站配储</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，新疆开始尝试对满足</w:t>
      </w:r>
      <w:r>
        <w:rPr>
          <w:rFonts w:ascii="Microsoft YaHei" w:hAnsi="Microsoft YaHei" w:eastAsia="Microsoft YaHei" w:cs="Microsoft YaHei"/>
          <w:sz w:val="21"/>
          <w:szCs w:val="21"/>
          <w:spacing w:val="2"/>
        </w:rPr>
        <w:t>一定条件的新能源配储电站进行补偿。</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根据新疆2020年5月发布的《新疆电网发电侧储能管理暂行规则》</w:t>
      </w:r>
      <w:r>
        <w:rPr>
          <w:rFonts w:ascii="Microsoft YaHei" w:hAnsi="Microsoft YaHei" w:eastAsia="Microsoft YaHei" w:cs="Microsoft YaHei"/>
          <w:sz w:val="21"/>
          <w:szCs w:val="21"/>
          <w:spacing w:val="-5"/>
        </w:rPr>
        <w:t xml:space="preserve"> </w:t>
      </w:r>
      <w:r>
        <w:rPr>
          <w:rFonts w:ascii="Microsoft YaHei" w:hAnsi="Microsoft YaHei" w:eastAsia="Microsoft YaHei" w:cs="Microsoft YaHei"/>
          <w:sz w:val="21"/>
          <w:szCs w:val="21"/>
          <w:spacing w:val="3"/>
        </w:rPr>
        <w:t>，在风电场、光伏</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电站发电上网关口内建设的电储能设施</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4"/>
        </w:rPr>
        <w:t>，其充电</w:t>
      </w:r>
      <w:r>
        <w:rPr>
          <w:rFonts w:ascii="Microsoft YaHei" w:hAnsi="Microsoft YaHei" w:eastAsia="Microsoft YaHei" w:cs="Microsoft YaHei"/>
          <w:sz w:val="21"/>
          <w:szCs w:val="21"/>
          <w:spacing w:val="3"/>
        </w:rPr>
        <w:t>能力可申报为自用容量和调峰可用容</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量，自用容量和调峰可用容量必须服从调度指令，并按照相应方式结算。</w:t>
      </w:r>
    </w:p>
    <w:p>
      <w:pPr>
        <w:ind w:left="9" w:right="2997" w:firstLine="1"/>
        <w:spacing w:before="237" w:line="21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新规则的发布</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，为风电和光伏储能电站提供了两种不同的运行模式：</w:t>
      </w:r>
      <w:r>
        <w:rPr>
          <w:rFonts w:ascii="Microsoft YaHei" w:hAnsi="Microsoft YaHei" w:eastAsia="Microsoft YaHei" w:cs="Microsoft YaHei"/>
          <w:sz w:val="21"/>
          <w:szCs w:val="21"/>
          <w:spacing w:val="-39"/>
        </w:rPr>
        <w:t xml:space="preserve"> </w:t>
      </w:r>
      <w:r>
        <w:rPr>
          <w:rFonts w:ascii="Microsoft YaHei" w:hAnsi="Microsoft YaHei" w:eastAsia="Microsoft YaHei" w:cs="Microsoft YaHei"/>
          <w:sz w:val="21"/>
          <w:szCs w:val="21"/>
          <w:spacing w:val="3"/>
        </w:rPr>
        <w:t>一是申</w:t>
      </w:r>
      <w:r>
        <w:rPr>
          <w:rFonts w:ascii="Microsoft YaHei" w:hAnsi="Microsoft YaHei" w:eastAsia="Microsoft YaHei" w:cs="Microsoft YaHei"/>
          <w:sz w:val="21"/>
          <w:szCs w:val="21"/>
          <w:spacing w:val="2"/>
        </w:rPr>
        <w:t>报自用容</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量。</w:t>
      </w:r>
      <w:r>
        <w:rPr>
          <w:rFonts w:ascii="Microsoft YaHei" w:hAnsi="Microsoft YaHei" w:eastAsia="Microsoft YaHei" w:cs="Microsoft YaHei"/>
          <w:sz w:val="21"/>
          <w:szCs w:val="21"/>
          <w:spacing w:val="-17"/>
        </w:rPr>
        <w:t xml:space="preserve"> </w:t>
      </w:r>
      <w:r>
        <w:rPr>
          <w:rFonts w:ascii="Microsoft YaHei" w:hAnsi="Microsoft YaHei" w:eastAsia="Microsoft YaHei" w:cs="Microsoft YaHei"/>
          <w:sz w:val="21"/>
          <w:szCs w:val="21"/>
          <w:spacing w:val="2"/>
        </w:rPr>
        <w:t>自用容量由所在风电场和光伏电站使用</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，释</w:t>
      </w:r>
      <w:r>
        <w:rPr>
          <w:rFonts w:ascii="Microsoft YaHei" w:hAnsi="Microsoft YaHei" w:eastAsia="Microsoft YaHei" w:cs="Microsoft YaHei"/>
          <w:sz w:val="21"/>
          <w:szCs w:val="21"/>
          <w:spacing w:val="1"/>
        </w:rPr>
        <w:t>放电量等同于发电厂发电量</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1"/>
        </w:rPr>
        <w:t>，按照发</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电厂相关合同电价结算</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，不参与市场结算。</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电储能设施可</w:t>
      </w:r>
      <w:r>
        <w:rPr>
          <w:rFonts w:ascii="Microsoft YaHei" w:hAnsi="Microsoft YaHei" w:eastAsia="Microsoft YaHei" w:cs="Microsoft YaHei"/>
          <w:sz w:val="21"/>
          <w:szCs w:val="21"/>
          <w:spacing w:val="2"/>
        </w:rPr>
        <w:t>与发电企业自行协商签订合</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同</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，放电上网电量视为该发电企业的上网电量</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，按照该</w:t>
      </w:r>
      <w:r>
        <w:rPr>
          <w:rFonts w:ascii="Microsoft YaHei" w:hAnsi="Microsoft YaHei" w:eastAsia="Microsoft YaHei" w:cs="Microsoft YaHei"/>
          <w:sz w:val="21"/>
          <w:szCs w:val="21"/>
          <w:spacing w:val="2"/>
        </w:rPr>
        <w:t>发电企业的上网电价结算。在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“弃光”较为严重的时期</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，光伏电站内储能系统选择储能为自用容量</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3"/>
        </w:rPr>
        <w:t>，</w:t>
      </w:r>
      <w:r>
        <w:rPr>
          <w:rFonts w:ascii="Microsoft YaHei" w:hAnsi="Microsoft YaHei" w:eastAsia="Microsoft YaHei" w:cs="Microsoft YaHei"/>
          <w:sz w:val="21"/>
          <w:szCs w:val="21"/>
          <w:spacing w:val="2"/>
        </w:rPr>
        <w:t>存储于储能设</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备内的电量放出，按照发电企业的上网电价结算。新疆2021年投产的新能源平价项目</w:t>
      </w:r>
      <w:r>
        <w:rPr>
          <w:rFonts w:ascii="Microsoft YaHei" w:hAnsi="Microsoft YaHei" w:eastAsia="Microsoft YaHei" w:cs="Microsoft YaHei"/>
          <w:sz w:val="21"/>
          <w:szCs w:val="21"/>
          <w:spacing w:val="10"/>
        </w:rPr>
        <w:t xml:space="preserve"> </w:t>
      </w:r>
      <w:r>
        <w:rPr>
          <w:rFonts w:ascii="Microsoft YaHei" w:hAnsi="Microsoft YaHei" w:eastAsia="Microsoft YaHei" w:cs="Microsoft YaHei"/>
          <w:sz w:val="21"/>
          <w:szCs w:val="21"/>
          <w:spacing w:val="2"/>
        </w:rPr>
        <w:t>目标上网电价为0.262远/千瓦时</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37"/>
        </w:rPr>
        <w:t xml:space="preserve"> </w:t>
      </w:r>
      <w:r>
        <w:rPr>
          <w:rFonts w:ascii="Microsoft YaHei" w:hAnsi="Microsoft YaHei" w:eastAsia="Microsoft YaHei" w:cs="Microsoft YaHei"/>
          <w:sz w:val="21"/>
          <w:szCs w:val="21"/>
          <w:spacing w:val="2"/>
        </w:rPr>
        <w:t>当新能源项目疆内实际交易电</w:t>
      </w:r>
      <w:r>
        <w:rPr>
          <w:rFonts w:ascii="Microsoft YaHei" w:hAnsi="Microsoft YaHei" w:eastAsia="Microsoft YaHei" w:cs="Microsoft YaHei"/>
          <w:sz w:val="21"/>
          <w:szCs w:val="21"/>
          <w:spacing w:val="1"/>
        </w:rPr>
        <w:t>价低于市场均价</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，按</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照市场均价与0.262元/千瓦时的价差给予电价支持</w:t>
      </w:r>
      <w:r>
        <w:rPr>
          <w:rFonts w:ascii="Microsoft YaHei" w:hAnsi="Microsoft YaHei" w:eastAsia="Microsoft YaHei" w:cs="Microsoft YaHei"/>
          <w:sz w:val="13"/>
          <w:szCs w:val="13"/>
          <w:position w:val="6"/>
        </w:rPr>
        <w:t>26</w:t>
      </w:r>
      <w:r>
        <w:rPr>
          <w:rFonts w:ascii="Microsoft YaHei" w:hAnsi="Microsoft YaHei" w:eastAsia="Microsoft YaHei" w:cs="Microsoft YaHei"/>
          <w:sz w:val="21"/>
          <w:szCs w:val="21"/>
        </w:rPr>
        <w:t>。也就是说储能减少“弃电”的度 </w:t>
      </w:r>
      <w:r>
        <w:rPr>
          <w:rFonts w:ascii="Microsoft YaHei" w:hAnsi="Microsoft YaHei" w:eastAsia="Microsoft YaHei" w:cs="Microsoft YaHei"/>
          <w:sz w:val="21"/>
          <w:szCs w:val="21"/>
          <w:spacing w:val="4"/>
        </w:rPr>
        <w:t>电收益等于新能源上网电价。二是申报调峰可用容量。储能电站可自愿作为独立的电</w:t>
      </w:r>
      <w:r>
        <w:rPr>
          <w:rFonts w:ascii="Microsoft YaHei" w:hAnsi="Microsoft YaHei" w:eastAsia="Microsoft YaHei" w:cs="Microsoft YaHei"/>
          <w:sz w:val="21"/>
          <w:szCs w:val="21"/>
          <w:spacing w:val="17"/>
          <w:w w:val="101"/>
        </w:rPr>
        <w:t xml:space="preserve"> </w:t>
      </w:r>
      <w:r>
        <w:rPr>
          <w:rFonts w:ascii="Microsoft YaHei" w:hAnsi="Microsoft YaHei" w:eastAsia="Microsoft YaHei" w:cs="Microsoft YaHei"/>
          <w:sz w:val="21"/>
          <w:szCs w:val="21"/>
          <w:spacing w:val="2"/>
        </w:rPr>
        <w:t>力用户</w:t>
      </w:r>
      <w:r>
        <w:rPr>
          <w:rFonts w:ascii="Microsoft YaHei" w:hAnsi="Microsoft YaHei" w:eastAsia="Microsoft YaHei" w:cs="Microsoft YaHei"/>
          <w:sz w:val="21"/>
          <w:szCs w:val="21"/>
          <w:spacing w:val="-22"/>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39"/>
        </w:rPr>
        <w:t xml:space="preserve"> </w:t>
      </w:r>
      <w:r>
        <w:rPr>
          <w:rFonts w:ascii="Microsoft YaHei" w:hAnsi="Microsoft YaHei" w:eastAsia="Microsoft YaHei" w:cs="Microsoft YaHei"/>
          <w:sz w:val="21"/>
          <w:szCs w:val="21"/>
          <w:spacing w:val="2"/>
        </w:rPr>
        <w:t>申报调峰可用容量</w:t>
      </w:r>
      <w:r>
        <w:rPr>
          <w:rFonts w:ascii="Microsoft YaHei" w:hAnsi="Microsoft YaHei" w:eastAsia="Microsoft YaHei" w:cs="Microsoft YaHei"/>
          <w:sz w:val="21"/>
          <w:szCs w:val="21"/>
          <w:spacing w:val="-33"/>
        </w:rPr>
        <w:t xml:space="preserve"> </w:t>
      </w:r>
      <w:r>
        <w:rPr>
          <w:rFonts w:ascii="Microsoft YaHei" w:hAnsi="Microsoft YaHei" w:eastAsia="Microsoft YaHei" w:cs="Microsoft YaHei"/>
          <w:sz w:val="21"/>
          <w:szCs w:val="21"/>
          <w:spacing w:val="2"/>
        </w:rPr>
        <w:t>，并根据实际调用情况进行结算。对根据电力调度机构指</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令进入充电状态的电储能设施所充电的电量进行补偿</w:t>
      </w:r>
      <w:r>
        <w:rPr>
          <w:rFonts w:ascii="Microsoft YaHei" w:hAnsi="Microsoft YaHei" w:eastAsia="Microsoft YaHei" w:cs="Microsoft YaHei"/>
          <w:sz w:val="21"/>
          <w:szCs w:val="21"/>
          <w:spacing w:val="-22"/>
        </w:rPr>
        <w:t xml:space="preserve"> </w:t>
      </w:r>
      <w:r>
        <w:rPr>
          <w:rFonts w:ascii="Microsoft YaHei" w:hAnsi="Microsoft YaHei" w:eastAsia="Microsoft YaHei" w:cs="Microsoft YaHei"/>
          <w:sz w:val="21"/>
          <w:szCs w:val="21"/>
          <w:spacing w:val="2"/>
        </w:rPr>
        <w:t>，补偿标准为0.55元/千瓦时</w:t>
      </w:r>
      <w:r>
        <w:rPr>
          <w:rFonts w:ascii="Microsoft YaHei" w:hAnsi="Microsoft YaHei" w:eastAsia="Microsoft YaHei" w:cs="Microsoft YaHei"/>
          <w:sz w:val="13"/>
          <w:szCs w:val="13"/>
          <w:spacing w:val="2"/>
          <w:position w:val="6"/>
        </w:rPr>
        <w:t>27</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“弃光”逐渐减少</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2"/>
        </w:rPr>
        <w:t>，光伏电站内储能系统选择储能为调峰可用容量</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，被电网调</w:t>
      </w:r>
      <w:r>
        <w:rPr>
          <w:rFonts w:ascii="Microsoft YaHei" w:hAnsi="Microsoft YaHei" w:eastAsia="Microsoft YaHei" w:cs="Microsoft YaHei"/>
          <w:sz w:val="21"/>
          <w:szCs w:val="21"/>
          <w:spacing w:val="1"/>
        </w:rPr>
        <w:t>用后</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可获得0.55元/千瓦时的充电补贴。</w:t>
      </w:r>
    </w:p>
    <w:p>
      <w:pPr>
        <w:ind w:left="7"/>
        <w:spacing w:before="235" w:line="186" w:lineRule="auto"/>
        <w:rPr>
          <w:rFonts w:ascii="Microsoft YaHei" w:hAnsi="Microsoft YaHei" w:eastAsia="Microsoft YaHei" w:cs="Microsoft YaHei"/>
          <w:sz w:val="24"/>
          <w:szCs w:val="24"/>
        </w:rPr>
      </w:pPr>
      <w:r>
        <w:rPr>
          <w:rFonts w:ascii="Microsoft YaHei" w:hAnsi="Microsoft YaHei" w:eastAsia="Microsoft YaHei" w:cs="Microsoft YaHei"/>
          <w:sz w:val="24"/>
          <w:szCs w:val="24"/>
          <w:b/>
          <w:bCs/>
          <w:color w:val="00C0AE"/>
          <w:spacing w:val="-1"/>
        </w:rPr>
        <w:t>推动新能源配储电站参与“两个细则”考核</w:t>
      </w:r>
      <w:r>
        <w:rPr>
          <w:rFonts w:ascii="Microsoft YaHei" w:hAnsi="Microsoft YaHei" w:eastAsia="Microsoft YaHei" w:cs="Microsoft YaHei"/>
          <w:sz w:val="15"/>
          <w:szCs w:val="15"/>
          <w:b/>
          <w:bCs/>
          <w:color w:val="00C0AE"/>
          <w:spacing w:val="-1"/>
          <w:position w:val="7"/>
        </w:rPr>
        <w:t>28</w:t>
      </w:r>
      <w:r>
        <w:rPr>
          <w:rFonts w:ascii="Microsoft YaHei" w:hAnsi="Microsoft YaHei" w:eastAsia="Microsoft YaHei" w:cs="Microsoft YaHei"/>
          <w:sz w:val="24"/>
          <w:szCs w:val="24"/>
          <w:b/>
          <w:bCs/>
          <w:color w:val="00C0AE"/>
          <w:spacing w:val="-1"/>
        </w:rPr>
        <w:t>，减少考核支出</w:t>
      </w:r>
    </w:p>
    <w:p>
      <w:pPr>
        <w:ind w:left="9" w:right="2827" w:firstLine="26"/>
        <w:spacing w:before="167" w:line="218"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目前</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，各省尚未形成统一、规范的储能参与电力市场模式</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，对储能市场主体能够</w:t>
      </w:r>
      <w:r>
        <w:rPr>
          <w:rFonts w:ascii="Microsoft YaHei" w:hAnsi="Microsoft YaHei" w:eastAsia="Microsoft YaHei" w:cs="Microsoft YaHei"/>
          <w:sz w:val="21"/>
          <w:szCs w:val="21"/>
          <w:spacing w:val="1"/>
        </w:rPr>
        <w:t>参与</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的市场模式、交易规则要求存在明显差异。</w:t>
      </w:r>
      <w:r>
        <w:rPr>
          <w:rFonts w:ascii="Microsoft YaHei" w:hAnsi="Microsoft YaHei" w:eastAsia="Microsoft YaHei" w:cs="Microsoft YaHei"/>
          <w:sz w:val="21"/>
          <w:szCs w:val="21"/>
          <w:spacing w:val="-32"/>
        </w:rPr>
        <w:t xml:space="preserve"> </w:t>
      </w:r>
      <w:r>
        <w:rPr>
          <w:rFonts w:ascii="Microsoft YaHei" w:hAnsi="Microsoft YaHei" w:eastAsia="Microsoft YaHei" w:cs="Microsoft YaHei"/>
          <w:sz w:val="21"/>
          <w:szCs w:val="21"/>
          <w:spacing w:val="3"/>
        </w:rPr>
        <w:t>国</w:t>
      </w:r>
      <w:r>
        <w:rPr>
          <w:rFonts w:ascii="Microsoft YaHei" w:hAnsi="Microsoft YaHei" w:eastAsia="Microsoft YaHei" w:cs="Microsoft YaHei"/>
          <w:sz w:val="21"/>
          <w:szCs w:val="21"/>
          <w:spacing w:val="2"/>
        </w:rPr>
        <w:t>家能源局提出要加强储能并网运行管理，</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推动建立储能电站运行效果评估与考核机制</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，将储能电站纳入“</w:t>
      </w:r>
      <w:r>
        <w:rPr>
          <w:rFonts w:ascii="Microsoft YaHei" w:hAnsi="Microsoft YaHei" w:eastAsia="Microsoft YaHei" w:cs="Microsoft YaHei"/>
          <w:sz w:val="21"/>
          <w:szCs w:val="21"/>
          <w:spacing w:val="-46"/>
        </w:rPr>
        <w:t xml:space="preserve"> </w:t>
      </w:r>
      <w:r>
        <w:rPr>
          <w:rFonts w:ascii="Microsoft YaHei" w:hAnsi="Microsoft YaHei" w:eastAsia="Microsoft YaHei" w:cs="Microsoft YaHei"/>
          <w:sz w:val="21"/>
          <w:szCs w:val="21"/>
          <w:spacing w:val="2"/>
        </w:rPr>
        <w:t>两个细则”考核范围，</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新能源配建储能与新能源电站一起参与考核，减少考核支出，提升储能电站运行水平</w:t>
      </w:r>
      <w:r>
        <w:rPr>
          <w:rFonts w:ascii="Microsoft YaHei" w:hAnsi="Microsoft YaHei" w:eastAsia="Microsoft YaHei" w:cs="Microsoft YaHei"/>
          <w:sz w:val="13"/>
          <w:szCs w:val="13"/>
          <w:spacing w:val="-1"/>
          <w:position w:val="6"/>
        </w:rPr>
        <w:t>29</w:t>
      </w:r>
      <w:r>
        <w:rPr>
          <w:rFonts w:ascii="Microsoft YaHei" w:hAnsi="Microsoft YaHei" w:eastAsia="Microsoft YaHei" w:cs="Microsoft YaHei"/>
          <w:sz w:val="21"/>
          <w:szCs w:val="21"/>
          <w:spacing w:val="-1"/>
        </w:rPr>
        <w:t>。</w:t>
      </w:r>
    </w:p>
    <w:p>
      <w:pPr>
        <w:ind w:left="7" w:right="2996" w:firstLine="3"/>
        <w:spacing w:before="125" w:line="218"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我国电力市场化机制尚不成熟</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，新能源配储参与电</w:t>
      </w:r>
      <w:r>
        <w:rPr>
          <w:rFonts w:ascii="Microsoft YaHei" w:hAnsi="Microsoft YaHei" w:eastAsia="Microsoft YaHei" w:cs="Microsoft YaHei"/>
          <w:sz w:val="21"/>
          <w:szCs w:val="21"/>
          <w:spacing w:val="2"/>
        </w:rPr>
        <w:t>力市场现货交易仍在探索中</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，容量</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补偿机制仍在研究制定中</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，缺乏统一、平等、稳定的储能容</w:t>
      </w:r>
      <w:r>
        <w:rPr>
          <w:rFonts w:ascii="Microsoft YaHei" w:hAnsi="Microsoft YaHei" w:eastAsia="Microsoft YaHei" w:cs="Microsoft YaHei"/>
          <w:sz w:val="21"/>
          <w:szCs w:val="21"/>
          <w:spacing w:val="2"/>
        </w:rPr>
        <w:t>量回收机制</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，并且发电侧</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储能参与辅助服务市场条件不成熟。另外</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4"/>
        </w:rPr>
        <w:t>，新能源配储利用率低</w:t>
      </w:r>
      <w:r>
        <w:rPr>
          <w:rFonts w:ascii="Microsoft YaHei" w:hAnsi="Microsoft YaHei" w:eastAsia="Microsoft YaHei" w:cs="Microsoft YaHei"/>
          <w:sz w:val="21"/>
          <w:szCs w:val="21"/>
          <w:spacing w:val="3"/>
        </w:rPr>
        <w:t>。新能源配储能运行</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策略相差较大</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，大部分电站采用弃电时一充一放的运行策略</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w:t>
      </w:r>
      <w:r>
        <w:rPr>
          <w:rFonts w:ascii="Microsoft YaHei" w:hAnsi="Microsoft YaHei" w:eastAsia="Microsoft YaHei" w:cs="Microsoft YaHei"/>
          <w:sz w:val="21"/>
          <w:szCs w:val="21"/>
          <w:spacing w:val="2"/>
        </w:rPr>
        <w:t>个别项目存在仅部分储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能单元被调用、每月平均充放2次、甚至基本不调用的情况。中电联对占全国</w:t>
      </w:r>
      <w:r>
        <w:rPr>
          <w:rFonts w:ascii="Microsoft YaHei" w:hAnsi="Microsoft YaHei" w:eastAsia="Microsoft YaHei" w:cs="Microsoft YaHei"/>
          <w:sz w:val="21"/>
          <w:szCs w:val="21"/>
        </w:rPr>
        <w:t>新能源配 </w:t>
      </w:r>
      <w:r>
        <w:rPr>
          <w:rFonts w:ascii="Microsoft YaHei" w:hAnsi="Microsoft YaHei" w:eastAsia="Microsoft YaHei" w:cs="Microsoft YaHei"/>
          <w:sz w:val="21"/>
          <w:szCs w:val="21"/>
          <w:spacing w:val="10"/>
        </w:rPr>
        <w:t>储总装机量三分之二的新能源配储项目进行调研</w:t>
      </w:r>
      <w:r>
        <w:rPr>
          <w:rFonts w:ascii="Microsoft YaHei" w:hAnsi="Microsoft YaHei" w:eastAsia="Microsoft YaHei" w:cs="Microsoft YaHei"/>
          <w:sz w:val="21"/>
          <w:szCs w:val="21"/>
          <w:spacing w:val="-23"/>
        </w:rPr>
        <w:t xml:space="preserve"> </w:t>
      </w:r>
      <w:r>
        <w:rPr>
          <w:rFonts w:ascii="Microsoft YaHei" w:hAnsi="Microsoft YaHei" w:eastAsia="Microsoft YaHei" w:cs="Microsoft YaHei"/>
          <w:sz w:val="21"/>
          <w:szCs w:val="21"/>
          <w:spacing w:val="10"/>
        </w:rPr>
        <w:t>，新能源配储等效利用系数</w:t>
      </w:r>
      <w:r>
        <w:rPr>
          <w:rFonts w:ascii="Microsoft YaHei" w:hAnsi="Microsoft YaHei" w:eastAsia="Microsoft YaHei" w:cs="Microsoft YaHei"/>
          <w:sz w:val="13"/>
          <w:szCs w:val="13"/>
          <w:spacing w:val="10"/>
          <w:position w:val="6"/>
        </w:rPr>
        <w:t>30</w:t>
      </w:r>
      <w:r>
        <w:rPr>
          <w:rFonts w:ascii="Microsoft YaHei" w:hAnsi="Microsoft YaHei" w:eastAsia="Microsoft YaHei" w:cs="Microsoft YaHei"/>
          <w:sz w:val="13"/>
          <w:szCs w:val="13"/>
          <w:spacing w:val="-19"/>
          <w:position w:val="6"/>
        </w:rPr>
        <w:t xml:space="preserve"> </w:t>
      </w:r>
      <w:r>
        <w:rPr>
          <w:rFonts w:ascii="Microsoft YaHei" w:hAnsi="Microsoft YaHei" w:eastAsia="Microsoft YaHei" w:cs="Microsoft YaHei"/>
          <w:sz w:val="21"/>
          <w:szCs w:val="21"/>
          <w:spacing w:val="10"/>
        </w:rPr>
        <w:t>仅为</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6.1%</w:t>
      </w:r>
      <w:r>
        <w:rPr>
          <w:rFonts w:ascii="Microsoft YaHei" w:hAnsi="Microsoft YaHei" w:eastAsia="Microsoft YaHei" w:cs="Microsoft YaHei"/>
          <w:sz w:val="21"/>
          <w:szCs w:val="21"/>
          <w:spacing w:val="-10"/>
        </w:rPr>
        <w:t xml:space="preserve"> </w:t>
      </w:r>
      <w:r>
        <w:rPr>
          <w:rFonts w:ascii="Microsoft YaHei" w:hAnsi="Microsoft YaHei" w:eastAsia="Microsoft YaHei" w:cs="Microsoft YaHei"/>
          <w:sz w:val="21"/>
          <w:szCs w:val="21"/>
          <w:spacing w:val="1"/>
        </w:rPr>
        <w:t>，低于电化学储能12.2%的平均水平</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1"/>
        </w:rPr>
        <w:t>，在各种应用场景中利用系数最低（火电厂</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储能等效利用系数为15.3%，电网侧储能等效利用系数为14.8%，用户侧储能等效</w:t>
      </w:r>
      <w:r>
        <w:rPr>
          <w:rFonts w:ascii="Microsoft YaHei" w:hAnsi="Microsoft YaHei" w:eastAsia="Microsoft YaHei" w:cs="Microsoft YaHei"/>
          <w:sz w:val="21"/>
          <w:szCs w:val="21"/>
          <w:spacing w:val="-1"/>
        </w:rPr>
        <w:t>利用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系数为28.3%）</w:t>
      </w:r>
      <w:r>
        <w:rPr>
          <w:rFonts w:ascii="Microsoft YaHei" w:hAnsi="Microsoft YaHei" w:eastAsia="Microsoft YaHei" w:cs="Microsoft YaHei"/>
          <w:sz w:val="13"/>
          <w:szCs w:val="13"/>
          <w:spacing w:val="1"/>
          <w:position w:val="6"/>
        </w:rPr>
        <w:t>31</w:t>
      </w:r>
      <w:r>
        <w:rPr>
          <w:rFonts w:ascii="Microsoft YaHei" w:hAnsi="Microsoft YaHei" w:eastAsia="Microsoft YaHei" w:cs="Microsoft YaHei"/>
          <w:sz w:val="21"/>
          <w:szCs w:val="21"/>
          <w:spacing w:val="1"/>
        </w:rPr>
        <w:t>。这些因素导致新能源配储经济性不显著，制约</w:t>
      </w:r>
      <w:r>
        <w:rPr>
          <w:rFonts w:ascii="Microsoft YaHei" w:hAnsi="Microsoft YaHei" w:eastAsia="Microsoft YaHei" w:cs="Microsoft YaHei"/>
          <w:sz w:val="21"/>
          <w:szCs w:val="21"/>
        </w:rPr>
        <w:t>了新能源发电侧配储 </w:t>
      </w:r>
      <w:r>
        <w:rPr>
          <w:rFonts w:ascii="Microsoft YaHei" w:hAnsi="Microsoft YaHei" w:eastAsia="Microsoft YaHei" w:cs="Microsoft YaHei"/>
          <w:sz w:val="21"/>
          <w:szCs w:val="21"/>
          <w:spacing w:val="-1"/>
        </w:rPr>
        <w:t>项目的发展，政策仍是当前新能源配储发展的主要驱动因素。</w:t>
      </w:r>
    </w:p>
    <w:p>
      <w:pPr>
        <w:pStyle w:val="BodyText"/>
        <w:spacing w:line="304" w:lineRule="auto"/>
        <w:rPr/>
      </w:pPr>
      <w:r/>
    </w:p>
    <w:p>
      <w:pPr>
        <w:pStyle w:val="BodyText"/>
        <w:spacing w:line="304" w:lineRule="auto"/>
        <w:rPr/>
      </w:pPr>
      <w:r>
        <w:pict>
          <v:shape id="_x0000_s934" style="position:absolute;margin-left:0.25pt;margin-top:7.32193pt;mso-position-vertical-relative:text;mso-position-horizontal-relative:text;width:81.3pt;height:0.5pt;z-index:252489728;" filled="false" strokecolor="#000000" strokeweight="0.50pt" coordsize="1626,10" coordorigin="0,0" path="m0,5l1625,5e">
            <v:stroke joinstyle="miter"/>
          </v:shape>
        </w:pict>
      </w:r>
      <w:r/>
    </w:p>
    <w:p>
      <w:pPr>
        <w:ind w:left="14" w:right="3732" w:hanging="9"/>
        <w:spacing w:before="57" w:line="188"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6"/>
          <w:position w:val="4"/>
        </w:rPr>
        <w:t>26  </w:t>
      </w:r>
      <w:r>
        <w:rPr>
          <w:rFonts w:ascii="Microsoft YaHei" w:hAnsi="Microsoft YaHei" w:eastAsia="Microsoft YaHei" w:cs="Microsoft YaHei"/>
          <w:sz w:val="13"/>
          <w:szCs w:val="13"/>
          <w:spacing w:val="6"/>
        </w:rPr>
        <w:t>自治区发展改革委关于印发《完善我区新能源价格机制的方案》</w:t>
      </w:r>
      <w:r>
        <w:rPr>
          <w:rFonts w:ascii="Microsoft YaHei" w:hAnsi="Microsoft YaHei" w:eastAsia="Microsoft YaHei" w:cs="Microsoft YaHei"/>
          <w:sz w:val="13"/>
          <w:szCs w:val="13"/>
          <w:spacing w:val="-13"/>
        </w:rPr>
        <w:t xml:space="preserve"> </w:t>
      </w:r>
      <w:r>
        <w:rPr>
          <w:rFonts w:ascii="Microsoft YaHei" w:hAnsi="Microsoft YaHei" w:eastAsia="Microsoft YaHei" w:cs="Microsoft YaHei"/>
          <w:sz w:val="13"/>
          <w:szCs w:val="13"/>
          <w:spacing w:val="6"/>
        </w:rPr>
        <w:t>的通知，乌鲁木齐市人民政府网，</w:t>
      </w:r>
      <w:r>
        <w:rPr>
          <w:rFonts w:ascii="Microsoft YaHei" w:hAnsi="Microsoft YaHei" w:eastAsia="Microsoft YaHei" w:cs="Microsoft YaHei"/>
          <w:sz w:val="13"/>
          <w:szCs w:val="13"/>
          <w:spacing w:val="-9"/>
        </w:rPr>
        <w:t xml:space="preserve"> </w:t>
      </w:r>
      <w:r>
        <w:rPr>
          <w:rFonts w:ascii="Microsoft YaHei" w:hAnsi="Microsoft YaHei" w:eastAsia="Microsoft YaHei" w:cs="Microsoft YaHei"/>
          <w:sz w:val="13"/>
          <w:szCs w:val="13"/>
          <w:spacing w:val="6"/>
        </w:rPr>
        <w:t>2022年4月26日，</w:t>
      </w:r>
      <w:r>
        <w:rPr>
          <w:rFonts w:ascii="Microsoft YaHei" w:hAnsi="Microsoft YaHei" w:eastAsia="Microsoft YaHei" w:cs="Microsoft YaHei"/>
          <w:sz w:val="13"/>
          <w:szCs w:val="13"/>
        </w:rPr>
        <w:t xml:space="preserve"> </w:t>
      </w:r>
      <w:hyperlink w:history="true" r:id="rId214">
        <w:r>
          <w:rPr>
            <w:rFonts w:ascii="Microsoft YaHei" w:hAnsi="Microsoft YaHei" w:eastAsia="Microsoft YaHei" w:cs="Microsoft YaHei"/>
            <w:sz w:val="13"/>
            <w:szCs w:val="13"/>
          </w:rPr>
          <w:t>http</w:t>
        </w:r>
        <w:r>
          <w:rPr>
            <w:rFonts w:ascii="Microsoft YaHei" w:hAnsi="Microsoft YaHei" w:eastAsia="Microsoft YaHei" w:cs="Microsoft YaHei"/>
            <w:sz w:val="13"/>
            <w:szCs w:val="13"/>
            <w:spacing w:val="7"/>
          </w:rPr>
          <w:t>://</w:t>
        </w:r>
        <w:r>
          <w:rPr>
            <w:rFonts w:ascii="Microsoft YaHei" w:hAnsi="Microsoft YaHei" w:eastAsia="Microsoft YaHei" w:cs="Microsoft YaHei"/>
            <w:sz w:val="13"/>
            <w:szCs w:val="13"/>
          </w:rPr>
          <w:t>www</w:t>
        </w:r>
        <w:r>
          <w:rPr>
            <w:rFonts w:ascii="Microsoft YaHei" w:hAnsi="Microsoft YaHei" w:eastAsia="Microsoft YaHei" w:cs="Microsoft YaHei"/>
            <w:sz w:val="13"/>
            <w:szCs w:val="13"/>
            <w:spacing w:val="7"/>
          </w:rPr>
          <w:t>.</w:t>
        </w:r>
        <w:r>
          <w:rPr>
            <w:rFonts w:ascii="Microsoft YaHei" w:hAnsi="Microsoft YaHei" w:eastAsia="Microsoft YaHei" w:cs="Microsoft YaHei"/>
            <w:sz w:val="13"/>
            <w:szCs w:val="13"/>
          </w:rPr>
          <w:t>urumqi</w:t>
        </w:r>
        <w:r>
          <w:rPr>
            <w:rFonts w:ascii="Microsoft YaHei" w:hAnsi="Microsoft YaHei" w:eastAsia="Microsoft YaHei" w:cs="Microsoft YaHei"/>
            <w:sz w:val="13"/>
            <w:szCs w:val="13"/>
            <w:spacing w:val="7"/>
          </w:rPr>
          <w:t>.</w:t>
        </w:r>
        <w:r>
          <w:rPr>
            <w:rFonts w:ascii="Microsoft YaHei" w:hAnsi="Microsoft YaHei" w:eastAsia="Microsoft YaHei" w:cs="Microsoft YaHei"/>
            <w:sz w:val="13"/>
            <w:szCs w:val="13"/>
          </w:rPr>
          <w:t>gov</w:t>
        </w:r>
        <w:r>
          <w:rPr>
            <w:rFonts w:ascii="Microsoft YaHei" w:hAnsi="Microsoft YaHei" w:eastAsia="Microsoft YaHei" w:cs="Microsoft YaHei"/>
            <w:sz w:val="13"/>
            <w:szCs w:val="13"/>
            <w:spacing w:val="7"/>
          </w:rPr>
          <w:t>.</w:t>
        </w:r>
        <w:r>
          <w:rPr>
            <w:rFonts w:ascii="Microsoft YaHei" w:hAnsi="Microsoft YaHei" w:eastAsia="Microsoft YaHei" w:cs="Microsoft YaHei"/>
            <w:sz w:val="13"/>
            <w:szCs w:val="13"/>
          </w:rPr>
          <w:t>cn</w:t>
        </w:r>
        <w:r>
          <w:rPr>
            <w:rFonts w:ascii="Microsoft YaHei" w:hAnsi="Microsoft YaHei" w:eastAsia="Microsoft YaHei" w:cs="Microsoft YaHei"/>
            <w:sz w:val="13"/>
            <w:szCs w:val="13"/>
            <w:spacing w:val="7"/>
          </w:rPr>
          <w:t>/</w:t>
        </w:r>
        <w:r>
          <w:rPr>
            <w:rFonts w:ascii="Microsoft YaHei" w:hAnsi="Microsoft YaHei" w:eastAsia="Microsoft YaHei" w:cs="Microsoft YaHei"/>
            <w:sz w:val="13"/>
            <w:szCs w:val="13"/>
          </w:rPr>
          <w:t>fjbm</w:t>
        </w:r>
        <w:r>
          <w:rPr>
            <w:rFonts w:ascii="Microsoft YaHei" w:hAnsi="Microsoft YaHei" w:eastAsia="Microsoft YaHei" w:cs="Microsoft YaHei"/>
            <w:sz w:val="13"/>
            <w:szCs w:val="13"/>
            <w:spacing w:val="7"/>
          </w:rPr>
          <w:t>/</w:t>
        </w:r>
        <w:r>
          <w:rPr>
            <w:rFonts w:ascii="Microsoft YaHei" w:hAnsi="Microsoft YaHei" w:eastAsia="Microsoft YaHei" w:cs="Microsoft YaHei"/>
            <w:sz w:val="13"/>
            <w:szCs w:val="13"/>
          </w:rPr>
          <w:t>fgw</w:t>
        </w:r>
        <w:r>
          <w:rPr>
            <w:rFonts w:ascii="Microsoft YaHei" w:hAnsi="Microsoft YaHei" w:eastAsia="Microsoft YaHei" w:cs="Microsoft YaHei"/>
            <w:sz w:val="13"/>
            <w:szCs w:val="13"/>
            <w:spacing w:val="7"/>
          </w:rPr>
          <w:t>/</w:t>
        </w:r>
        <w:r>
          <w:rPr>
            <w:rFonts w:ascii="Microsoft YaHei" w:hAnsi="Microsoft YaHei" w:eastAsia="Microsoft YaHei" w:cs="Microsoft YaHei"/>
            <w:sz w:val="13"/>
            <w:szCs w:val="13"/>
          </w:rPr>
          <w:t>zcfg</w:t>
        </w:r>
        <w:r>
          <w:rPr>
            <w:rFonts w:ascii="Microsoft YaHei" w:hAnsi="Microsoft YaHei" w:eastAsia="Microsoft YaHei" w:cs="Microsoft YaHei"/>
            <w:sz w:val="13"/>
            <w:szCs w:val="13"/>
            <w:spacing w:val="7"/>
          </w:rPr>
          <w:t>/505168.</w:t>
        </w:r>
        <w:r>
          <w:rPr>
            <w:rFonts w:ascii="Microsoft YaHei" w:hAnsi="Microsoft YaHei" w:eastAsia="Microsoft YaHei" w:cs="Microsoft YaHei"/>
            <w:sz w:val="13"/>
            <w:szCs w:val="13"/>
          </w:rPr>
          <w:t>htm</w:t>
        </w:r>
      </w:hyperlink>
    </w:p>
    <w:p>
      <w:pPr>
        <w:ind w:left="6" w:right="3161" w:hanging="1"/>
        <w:spacing w:before="49" w:line="188"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7"/>
          <w:position w:val="4"/>
        </w:rPr>
        <w:t>27  </w:t>
      </w:r>
      <w:r>
        <w:rPr>
          <w:rFonts w:ascii="Microsoft YaHei" w:hAnsi="Microsoft YaHei" w:eastAsia="Microsoft YaHei" w:cs="Microsoft YaHei"/>
          <w:sz w:val="13"/>
          <w:szCs w:val="13"/>
          <w:spacing w:val="7"/>
        </w:rPr>
        <w:t>自治区发展改革委关于印发《新疆电网发电侧储能管理暂行规则》</w:t>
      </w:r>
      <w:r>
        <w:rPr>
          <w:rFonts w:ascii="Microsoft YaHei" w:hAnsi="Microsoft YaHei" w:eastAsia="Microsoft YaHei" w:cs="Microsoft YaHei"/>
          <w:sz w:val="13"/>
          <w:szCs w:val="13"/>
          <w:spacing w:val="-15"/>
        </w:rPr>
        <w:t xml:space="preserve"> </w:t>
      </w:r>
      <w:r>
        <w:rPr>
          <w:rFonts w:ascii="Microsoft YaHei" w:hAnsi="Microsoft YaHei" w:eastAsia="Microsoft YaHei" w:cs="Microsoft YaHei"/>
          <w:sz w:val="13"/>
          <w:szCs w:val="13"/>
          <w:spacing w:val="7"/>
        </w:rPr>
        <w:t>的通知，新疆维吾尔</w:t>
      </w:r>
      <w:r>
        <w:rPr>
          <w:rFonts w:ascii="Microsoft YaHei" w:hAnsi="Microsoft YaHei" w:eastAsia="Microsoft YaHei" w:cs="Microsoft YaHei"/>
          <w:sz w:val="13"/>
          <w:szCs w:val="13"/>
          <w:spacing w:val="6"/>
        </w:rPr>
        <w:t>自治区发展和改革委员会， 2020年6月</w:t>
      </w:r>
      <w:r>
        <w:rPr>
          <w:rFonts w:ascii="Microsoft YaHei" w:hAnsi="Microsoft YaHei" w:eastAsia="Microsoft YaHei" w:cs="Microsoft YaHei"/>
          <w:sz w:val="13"/>
          <w:szCs w:val="13"/>
        </w:rPr>
        <w:t xml:space="preserve"> </w:t>
      </w:r>
      <w:r>
        <w:rPr>
          <w:rFonts w:ascii="Microsoft YaHei" w:hAnsi="Microsoft YaHei" w:eastAsia="Microsoft YaHei" w:cs="Microsoft YaHei"/>
          <w:sz w:val="13"/>
          <w:szCs w:val="13"/>
          <w:spacing w:val="5"/>
        </w:rPr>
        <w:t>28日，</w:t>
      </w:r>
      <w:r>
        <w:rPr>
          <w:rFonts w:ascii="Microsoft YaHei" w:hAnsi="Microsoft YaHei" w:eastAsia="Microsoft YaHei" w:cs="Microsoft YaHei"/>
          <w:sz w:val="13"/>
          <w:szCs w:val="13"/>
          <w:spacing w:val="-7"/>
        </w:rPr>
        <w:t xml:space="preserve"> </w:t>
      </w:r>
      <w:hyperlink w:history="true" r:id="rId199">
        <w:r>
          <w:rPr>
            <w:rFonts w:ascii="Microsoft YaHei" w:hAnsi="Microsoft YaHei" w:eastAsia="Microsoft YaHei" w:cs="Microsoft YaHei"/>
            <w:sz w:val="13"/>
            <w:szCs w:val="13"/>
          </w:rPr>
          <w:t>http</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xjdrc</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xinjiang</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gov</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cn</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xjfgw</w:t>
        </w:r>
        <w:r>
          <w:rPr>
            <w:rFonts w:ascii="Microsoft YaHei" w:hAnsi="Microsoft YaHei" w:eastAsia="Microsoft YaHei" w:cs="Microsoft YaHei"/>
            <w:sz w:val="13"/>
            <w:szCs w:val="13"/>
            <w:spacing w:val="5"/>
          </w:rPr>
          <w:t>/c108361/202006/</w:t>
        </w:r>
        <w:r>
          <w:rPr>
            <w:rFonts w:ascii="Microsoft YaHei" w:hAnsi="Microsoft YaHei" w:eastAsia="Microsoft YaHei" w:cs="Microsoft YaHei"/>
            <w:sz w:val="13"/>
            <w:szCs w:val="13"/>
          </w:rPr>
          <w:t>eaaa</w:t>
        </w:r>
        <w:r>
          <w:rPr>
            <w:rFonts w:ascii="Microsoft YaHei" w:hAnsi="Microsoft YaHei" w:eastAsia="Microsoft YaHei" w:cs="Microsoft YaHei"/>
            <w:sz w:val="13"/>
            <w:szCs w:val="13"/>
            <w:spacing w:val="5"/>
          </w:rPr>
          <w:t>9a</w:t>
        </w:r>
        <w:r>
          <w:rPr>
            <w:rFonts w:ascii="Microsoft YaHei" w:hAnsi="Microsoft YaHei" w:eastAsia="Microsoft YaHei" w:cs="Microsoft YaHei"/>
            <w:sz w:val="13"/>
            <w:szCs w:val="13"/>
            <w:spacing w:val="4"/>
          </w:rPr>
          <w:t>77</w:t>
        </w:r>
        <w:r>
          <w:rPr>
            <w:rFonts w:ascii="Microsoft YaHei" w:hAnsi="Microsoft YaHei" w:eastAsia="Microsoft YaHei" w:cs="Microsoft YaHei"/>
            <w:sz w:val="13"/>
            <w:szCs w:val="13"/>
          </w:rPr>
          <w:t>fbe</w:t>
        </w:r>
        <w:r>
          <w:rPr>
            <w:rFonts w:ascii="Microsoft YaHei" w:hAnsi="Microsoft YaHei" w:eastAsia="Microsoft YaHei" w:cs="Microsoft YaHei"/>
            <w:sz w:val="13"/>
            <w:szCs w:val="13"/>
            <w:spacing w:val="4"/>
          </w:rPr>
          <w:t>34d8d98c020</w:t>
        </w:r>
        <w:r>
          <w:rPr>
            <w:rFonts w:ascii="Microsoft YaHei" w:hAnsi="Microsoft YaHei" w:eastAsia="Microsoft YaHei" w:cs="Microsoft YaHei"/>
            <w:sz w:val="13"/>
            <w:szCs w:val="13"/>
          </w:rPr>
          <w:t>fa</w:t>
        </w:r>
        <w:r>
          <w:rPr>
            <w:rFonts w:ascii="Microsoft YaHei" w:hAnsi="Microsoft YaHei" w:eastAsia="Microsoft YaHei" w:cs="Microsoft YaHei"/>
            <w:sz w:val="13"/>
            <w:szCs w:val="13"/>
            <w:spacing w:val="4"/>
          </w:rPr>
          <w:t>9</w:t>
        </w:r>
        <w:r>
          <w:rPr>
            <w:rFonts w:ascii="Microsoft YaHei" w:hAnsi="Microsoft YaHei" w:eastAsia="Microsoft YaHei" w:cs="Microsoft YaHei"/>
            <w:sz w:val="13"/>
            <w:szCs w:val="13"/>
          </w:rPr>
          <w:t>cd</w:t>
        </w:r>
        <w:r>
          <w:rPr>
            <w:rFonts w:ascii="Microsoft YaHei" w:hAnsi="Microsoft YaHei" w:eastAsia="Microsoft YaHei" w:cs="Microsoft YaHei"/>
            <w:sz w:val="13"/>
            <w:szCs w:val="13"/>
            <w:spacing w:val="4"/>
          </w:rPr>
          <w:t>38</w:t>
        </w:r>
        <w:r>
          <w:rPr>
            <w:rFonts w:ascii="Microsoft YaHei" w:hAnsi="Microsoft YaHei" w:eastAsia="Microsoft YaHei" w:cs="Microsoft YaHei"/>
            <w:sz w:val="13"/>
            <w:szCs w:val="13"/>
          </w:rPr>
          <w:t>ef</w:t>
        </w:r>
        <w:r>
          <w:rPr>
            <w:rFonts w:ascii="Microsoft YaHei" w:hAnsi="Microsoft YaHei" w:eastAsia="Microsoft YaHei" w:cs="Microsoft YaHei"/>
            <w:sz w:val="13"/>
            <w:szCs w:val="13"/>
            <w:spacing w:val="4"/>
          </w:rPr>
          <w:t>2.</w:t>
        </w:r>
        <w:r>
          <w:rPr>
            <w:rFonts w:ascii="Microsoft YaHei" w:hAnsi="Microsoft YaHei" w:eastAsia="Microsoft YaHei" w:cs="Microsoft YaHei"/>
            <w:sz w:val="13"/>
            <w:szCs w:val="13"/>
          </w:rPr>
          <w:t>shtml</w:t>
        </w:r>
      </w:hyperlink>
    </w:p>
    <w:p>
      <w:pPr>
        <w:ind w:left="6" w:right="3156" w:hanging="1"/>
        <w:spacing w:before="44" w:line="183"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7"/>
          <w:position w:val="4"/>
        </w:rPr>
        <w:t>28</w:t>
      </w:r>
      <w:r>
        <w:rPr>
          <w:rFonts w:ascii="Microsoft YaHei" w:hAnsi="Microsoft YaHei" w:eastAsia="Microsoft YaHei" w:cs="Microsoft YaHei"/>
          <w:sz w:val="9"/>
          <w:szCs w:val="9"/>
          <w:spacing w:val="27"/>
          <w:w w:val="102"/>
          <w:position w:val="4"/>
        </w:rPr>
        <w:t xml:space="preserve"> </w:t>
      </w:r>
      <w:r>
        <w:rPr>
          <w:rFonts w:ascii="Microsoft YaHei" w:hAnsi="Microsoft YaHei" w:eastAsia="Microsoft YaHei" w:cs="Microsoft YaHei"/>
          <w:sz w:val="13"/>
          <w:szCs w:val="13"/>
          <w:spacing w:val="7"/>
        </w:rPr>
        <w:t>“两个细则”指：并网发电厂辅助服务管理实施细则、发电厂并网运行管理实施细则。其中，</w:t>
      </w:r>
      <w:r>
        <w:rPr>
          <w:rFonts w:ascii="Microsoft YaHei" w:hAnsi="Microsoft YaHei" w:eastAsia="Microsoft YaHei" w:cs="Microsoft YaHei"/>
          <w:sz w:val="13"/>
          <w:szCs w:val="13"/>
          <w:spacing w:val="34"/>
        </w:rPr>
        <w:t xml:space="preserve"> </w:t>
      </w:r>
      <w:r>
        <w:rPr>
          <w:rFonts w:ascii="Microsoft YaHei" w:hAnsi="Microsoft YaHei" w:eastAsia="Microsoft YaHei" w:cs="Microsoft YaHei"/>
          <w:sz w:val="13"/>
          <w:szCs w:val="13"/>
          <w:spacing w:val="7"/>
        </w:rPr>
        <w:t>并网运行管理细则为罚分部分，</w:t>
      </w:r>
      <w:r>
        <w:rPr>
          <w:rFonts w:ascii="Microsoft YaHei" w:hAnsi="Microsoft YaHei" w:eastAsia="Microsoft YaHei" w:cs="Microsoft YaHei"/>
          <w:sz w:val="13"/>
          <w:szCs w:val="13"/>
        </w:rPr>
        <w:t xml:space="preserve"> </w:t>
      </w:r>
      <w:r>
        <w:rPr>
          <w:rFonts w:ascii="Microsoft YaHei" w:hAnsi="Microsoft YaHei" w:eastAsia="Microsoft YaHei" w:cs="Microsoft YaHei"/>
          <w:sz w:val="13"/>
          <w:szCs w:val="13"/>
          <w:spacing w:val="7"/>
        </w:rPr>
        <w:t>辅助服务管理细则为奖分和分摊部分。</w:t>
      </w:r>
    </w:p>
    <w:p>
      <w:pPr>
        <w:ind w:left="26" w:right="3069" w:hanging="21"/>
        <w:spacing w:before="58" w:line="187"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7"/>
          <w:position w:val="4"/>
        </w:rPr>
        <w:t>29</w:t>
      </w:r>
      <w:r>
        <w:rPr>
          <w:rFonts w:ascii="Microsoft YaHei" w:hAnsi="Microsoft YaHei" w:eastAsia="Microsoft YaHei" w:cs="Microsoft YaHei"/>
          <w:sz w:val="9"/>
          <w:szCs w:val="9"/>
          <w:spacing w:val="40"/>
          <w:position w:val="4"/>
        </w:rPr>
        <w:t xml:space="preserve"> </w:t>
      </w:r>
      <w:r>
        <w:rPr>
          <w:rFonts w:ascii="Microsoft YaHei" w:hAnsi="Microsoft YaHei" w:eastAsia="Microsoft YaHei" w:cs="Microsoft YaHei"/>
          <w:sz w:val="13"/>
          <w:szCs w:val="13"/>
          <w:spacing w:val="7"/>
        </w:rPr>
        <w:t>国家能源局科技司副司长刘亚芳：新型储能成为电力系统安全稳定、经济运行不可或缺的配套设施，经济日报，</w:t>
      </w:r>
      <w:r>
        <w:rPr>
          <w:rFonts w:ascii="Microsoft YaHei" w:hAnsi="Microsoft YaHei" w:eastAsia="Microsoft YaHei" w:cs="Microsoft YaHei"/>
          <w:sz w:val="13"/>
          <w:szCs w:val="13"/>
          <w:spacing w:val="-10"/>
        </w:rPr>
        <w:t xml:space="preserve"> </w:t>
      </w:r>
      <w:r>
        <w:rPr>
          <w:rFonts w:ascii="Microsoft YaHei" w:hAnsi="Microsoft YaHei" w:eastAsia="Microsoft YaHei" w:cs="Microsoft YaHei"/>
          <w:sz w:val="13"/>
          <w:szCs w:val="13"/>
          <w:spacing w:val="7"/>
        </w:rPr>
        <w:t>2022年11月30</w:t>
      </w:r>
      <w:r>
        <w:rPr>
          <w:rFonts w:ascii="Microsoft YaHei" w:hAnsi="Microsoft YaHei" w:eastAsia="Microsoft YaHei" w:cs="Microsoft YaHei"/>
          <w:sz w:val="13"/>
          <w:szCs w:val="13"/>
        </w:rPr>
        <w:t xml:space="preserve"> </w:t>
      </w:r>
      <w:r>
        <w:rPr>
          <w:rFonts w:ascii="Microsoft YaHei" w:hAnsi="Microsoft YaHei" w:eastAsia="Microsoft YaHei" w:cs="Microsoft YaHei"/>
          <w:sz w:val="13"/>
          <w:szCs w:val="13"/>
          <w:spacing w:val="5"/>
        </w:rPr>
        <w:t>日，</w:t>
      </w:r>
      <w:hyperlink w:history="true" r:id="rId215">
        <w:r>
          <w:rPr>
            <w:rFonts w:ascii="Microsoft YaHei" w:hAnsi="Microsoft YaHei" w:eastAsia="Microsoft YaHei" w:cs="Microsoft YaHei"/>
            <w:sz w:val="13"/>
            <w:szCs w:val="13"/>
          </w:rPr>
          <w:t>https</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news</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solarbe</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com</w:t>
        </w:r>
        <w:r>
          <w:rPr>
            <w:rFonts w:ascii="Microsoft YaHei" w:hAnsi="Microsoft YaHei" w:eastAsia="Microsoft YaHei" w:cs="Microsoft YaHei"/>
            <w:sz w:val="13"/>
            <w:szCs w:val="13"/>
            <w:spacing w:val="5"/>
          </w:rPr>
          <w:t>/202211/30/362481.</w:t>
        </w:r>
        <w:r>
          <w:rPr>
            <w:rFonts w:ascii="Microsoft YaHei" w:hAnsi="Microsoft YaHei" w:eastAsia="Microsoft YaHei" w:cs="Microsoft YaHei"/>
            <w:sz w:val="13"/>
            <w:szCs w:val="13"/>
          </w:rPr>
          <w:t>html</w:t>
        </w:r>
      </w:hyperlink>
    </w:p>
    <w:p>
      <w:pPr>
        <w:ind w:left="4"/>
        <w:spacing w:before="47" w:line="184"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8"/>
          <w:position w:val="4"/>
        </w:rPr>
        <w:t>30</w:t>
      </w:r>
      <w:r>
        <w:rPr>
          <w:rFonts w:ascii="Microsoft YaHei" w:hAnsi="Microsoft YaHei" w:eastAsia="Microsoft YaHei" w:cs="Microsoft YaHei"/>
          <w:sz w:val="9"/>
          <w:szCs w:val="9"/>
          <w:spacing w:val="15"/>
          <w:w w:val="101"/>
          <w:position w:val="4"/>
        </w:rPr>
        <w:t xml:space="preserve"> </w:t>
      </w:r>
      <w:r>
        <w:rPr>
          <w:rFonts w:ascii="Microsoft YaHei" w:hAnsi="Microsoft YaHei" w:eastAsia="Microsoft YaHei" w:cs="Microsoft YaHei"/>
          <w:sz w:val="13"/>
          <w:szCs w:val="13"/>
          <w:spacing w:val="8"/>
        </w:rPr>
        <w:t>等效利用系数：机组可用小时减去机组降低出力等效停运小时与机组的统计期间小时的比例。</w:t>
      </w:r>
    </w:p>
    <w:p>
      <w:pPr>
        <w:ind w:left="4"/>
        <w:spacing w:before="59" w:line="189"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3"/>
          <w:position w:val="4"/>
        </w:rPr>
        <w:t>31</w:t>
      </w:r>
      <w:r>
        <w:rPr>
          <w:rFonts w:ascii="Microsoft YaHei" w:hAnsi="Microsoft YaHei" w:eastAsia="Microsoft YaHei" w:cs="Microsoft YaHei"/>
          <w:sz w:val="9"/>
          <w:szCs w:val="9"/>
          <w:spacing w:val="23"/>
          <w:position w:val="4"/>
        </w:rPr>
        <w:t xml:space="preserve"> </w:t>
      </w:r>
      <w:r>
        <w:rPr>
          <w:rFonts w:ascii="Microsoft YaHei" w:hAnsi="Microsoft YaHei" w:eastAsia="Microsoft YaHei" w:cs="Microsoft YaHei"/>
          <w:sz w:val="13"/>
          <w:szCs w:val="13"/>
          <w:spacing w:val="3"/>
        </w:rPr>
        <w:t>中国电力企业联合会，</w:t>
      </w:r>
      <w:r>
        <w:rPr>
          <w:rFonts w:ascii="Microsoft YaHei" w:hAnsi="Microsoft YaHei" w:eastAsia="Microsoft YaHei" w:cs="Microsoft YaHei"/>
          <w:sz w:val="13"/>
          <w:szCs w:val="13"/>
          <w:spacing w:val="13"/>
        </w:rPr>
        <w:t xml:space="preserve">  </w:t>
      </w:r>
      <w:r>
        <w:rPr>
          <w:rFonts w:ascii="Microsoft YaHei" w:hAnsi="Microsoft YaHei" w:eastAsia="Microsoft YaHei" w:cs="Microsoft YaHei"/>
          <w:sz w:val="13"/>
          <w:szCs w:val="13"/>
          <w:spacing w:val="3"/>
        </w:rPr>
        <w:t>《新能源配储能运行情况调研报告》</w:t>
      </w:r>
      <w:r>
        <w:rPr>
          <w:rFonts w:ascii="Microsoft YaHei" w:hAnsi="Microsoft YaHei" w:eastAsia="Microsoft YaHei" w:cs="Microsoft YaHei"/>
          <w:sz w:val="13"/>
          <w:szCs w:val="13"/>
          <w:spacing w:val="-9"/>
        </w:rPr>
        <w:t xml:space="preserve"> </w:t>
      </w:r>
      <w:r>
        <w:rPr>
          <w:rFonts w:ascii="Microsoft YaHei" w:hAnsi="Microsoft YaHei" w:eastAsia="Microsoft YaHei" w:cs="Microsoft YaHei"/>
          <w:sz w:val="13"/>
          <w:szCs w:val="13"/>
          <w:spacing w:val="3"/>
        </w:rPr>
        <w:t>，2022年11月8日。</w:t>
      </w:r>
    </w:p>
    <w:p>
      <w:pPr>
        <w:ind w:left="505" w:right="1241" w:hanging="411"/>
        <w:spacing w:before="191"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1300" w:header="0" w:footer="0" w:gutter="0"/>
        </w:sectPr>
        <w:rPr>
          <w:rFonts w:ascii="Microsoft YaHei" w:hAnsi="Microsoft YaHei" w:eastAsia="Microsoft YaHei" w:cs="Microsoft YaHei"/>
          <w:sz w:val="11"/>
          <w:szCs w:val="11"/>
        </w:rPr>
      </w:pPr>
    </w:p>
    <w:p>
      <w:pPr>
        <w:spacing w:before="314" w:line="193" w:lineRule="auto"/>
        <w:rPr>
          <w:rFonts w:ascii="Microsoft YaHei" w:hAnsi="Microsoft YaHei" w:eastAsia="Microsoft YaHei" w:cs="Microsoft YaHei"/>
          <w:sz w:val="18"/>
          <w:szCs w:val="18"/>
        </w:rPr>
      </w:pPr>
      <w:r>
        <w:pict>
          <v:rect id="_x0000_s936" style="position:absolute;margin-left:611.99pt;margin-top:0pt;mso-position-vertical-relative:page;mso-position-horizontal-relative:page;width:0.25pt;height:859pt;z-index:252526592;" o:allowincell="f" fillcolor="#000000" filled="true" stroked="false"/>
        </w:pict>
      </w:r>
      <w:r>
        <w:rPr>
          <w:rFonts w:ascii="Microsoft YaHei" w:hAnsi="Microsoft YaHei" w:eastAsia="Microsoft YaHei" w:cs="Microsoft YaHei"/>
          <w:sz w:val="18"/>
          <w:szCs w:val="18"/>
          <w:b/>
          <w:bCs/>
          <w:color w:val="A8A8A8"/>
          <w:spacing w:val="-1"/>
        </w:rPr>
        <w:t>39</w:t>
      </w:r>
      <w:r>
        <w:rPr>
          <w:rFonts w:ascii="Microsoft YaHei" w:hAnsi="Microsoft YaHei" w:eastAsia="Microsoft YaHei" w:cs="Microsoft YaHei"/>
          <w:sz w:val="18"/>
          <w:szCs w:val="18"/>
          <w:b/>
          <w:bCs/>
          <w:color w:val="A8A8A8"/>
          <w:spacing w:val="14"/>
          <w:w w:val="101"/>
        </w:rPr>
        <w:t xml:space="preserve">  </w:t>
      </w:r>
      <w:r>
        <w:rPr>
          <w:sz w:val="18"/>
          <w:szCs w:val="18"/>
          <w:position w:val="-4"/>
        </w:rPr>
        <w:drawing>
          <wp:inline distT="0" distB="0" distL="0" distR="0">
            <wp:extent cx="6350" cy="130175"/>
            <wp:effectExtent l="0" t="0" r="0" b="0"/>
            <wp:docPr id="476" name="IM 476"/>
            <wp:cNvGraphicFramePr/>
            <a:graphic>
              <a:graphicData uri="http://schemas.openxmlformats.org/drawingml/2006/picture">
                <pic:pic>
                  <pic:nvPicPr>
                    <pic:cNvPr id="476" name="IM 476"/>
                    <pic:cNvPicPr/>
                  </pic:nvPicPr>
                  <pic:blipFill>
                    <a:blip r:embed="rId216"/>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A8A8A8"/>
          <w:spacing w:val="26"/>
          <w:w w:val="101"/>
        </w:rPr>
        <w:t xml:space="preserve">  </w:t>
      </w:r>
      <w:r>
        <w:rPr>
          <w:rFonts w:ascii="Microsoft YaHei" w:hAnsi="Microsoft YaHei" w:eastAsia="Microsoft YaHei" w:cs="Microsoft YaHei"/>
          <w:sz w:val="18"/>
          <w:szCs w:val="18"/>
          <w:color w:val="A8A8A8"/>
          <w:spacing w:val="-1"/>
        </w:rPr>
        <w:t>新型储能助力能源转型</w:t>
      </w:r>
    </w:p>
    <w:p>
      <w:pPr>
        <w:pStyle w:val="BodyText"/>
        <w:spacing w:line="272" w:lineRule="auto"/>
        <w:rPr/>
      </w:pPr>
      <w:r/>
    </w:p>
    <w:p>
      <w:pPr>
        <w:pStyle w:val="BodyText"/>
        <w:spacing w:line="272" w:lineRule="auto"/>
        <w:rPr/>
      </w:pPr>
      <w:r/>
    </w:p>
    <w:p>
      <w:pPr>
        <w:pStyle w:val="BodyText"/>
        <w:spacing w:line="272" w:lineRule="auto"/>
        <w:rPr/>
      </w:pPr>
      <w:r/>
    </w:p>
    <w:p>
      <w:pPr>
        <w:ind w:left="443"/>
        <w:spacing w:before="309" w:line="179" w:lineRule="auto"/>
        <w:outlineLvl w:val="0"/>
        <w:rPr>
          <w:rFonts w:ascii="Microsoft YaHei" w:hAnsi="Microsoft YaHei" w:eastAsia="Microsoft YaHei" w:cs="Microsoft YaHei"/>
          <w:sz w:val="72"/>
          <w:szCs w:val="72"/>
        </w:rPr>
      </w:pPr>
      <w:r>
        <w:rPr>
          <w:rFonts w:ascii="Microsoft YaHei" w:hAnsi="Microsoft YaHei" w:eastAsia="Microsoft YaHei" w:cs="Microsoft YaHei"/>
          <w:sz w:val="72"/>
          <w:szCs w:val="72"/>
          <w:b/>
          <w:bCs/>
          <w:color w:val="00338D"/>
          <w:spacing w:val="-19"/>
        </w:rPr>
        <w:t>电网侧</w:t>
      </w:r>
    </w:p>
    <w:p>
      <w:pPr>
        <w:ind w:left="345" w:right="2996"/>
        <w:spacing w:before="204" w:line="21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狭义上</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2"/>
        </w:rPr>
        <w:t>电网侧储能是在已建变电站内、废弃变电站内或专用站址等地区建设</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1"/>
        </w:rPr>
        <w:t>直接</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接入公用电网的储能系统</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，这一定义主要根据储能接入电力系</w:t>
      </w:r>
      <w:r>
        <w:rPr>
          <w:rFonts w:ascii="Microsoft YaHei" w:hAnsi="Microsoft YaHei" w:eastAsia="Microsoft YaHei" w:cs="Microsoft YaHei"/>
          <w:sz w:val="21"/>
          <w:szCs w:val="21"/>
          <w:spacing w:val="2"/>
        </w:rPr>
        <w:t>统位置的不同来界定。</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广义上</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3"/>
        </w:rPr>
        <w:t>电网侧储能是指电力系统中能接受电力调度机构统一调度、响应电</w:t>
      </w:r>
      <w:r>
        <w:rPr>
          <w:rFonts w:ascii="Microsoft YaHei" w:hAnsi="Microsoft YaHei" w:eastAsia="Microsoft YaHei" w:cs="Microsoft YaHei"/>
          <w:sz w:val="21"/>
          <w:szCs w:val="21"/>
          <w:spacing w:val="2"/>
        </w:rPr>
        <w:t>网灵活性</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需求、能发挥全局性、系统性作用的储能资源</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，这一定义下</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，储能项目建设位置不受</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限制</w:t>
      </w:r>
      <w:r>
        <w:rPr>
          <w:rFonts w:ascii="Microsoft YaHei" w:hAnsi="Microsoft YaHei" w:eastAsia="Microsoft YaHei" w:cs="Microsoft YaHei"/>
          <w:sz w:val="21"/>
          <w:szCs w:val="21"/>
          <w:spacing w:val="-22"/>
        </w:rPr>
        <w:t xml:space="preserve"> </w:t>
      </w:r>
      <w:r>
        <w:rPr>
          <w:rFonts w:ascii="Microsoft YaHei" w:hAnsi="Microsoft YaHei" w:eastAsia="Microsoft YaHei" w:cs="Microsoft YaHei"/>
          <w:sz w:val="21"/>
          <w:szCs w:val="21"/>
        </w:rPr>
        <w:t>，投资建设主体具有多样性</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rPr>
        <w:t>，本部分分析中</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rPr>
        <w:t>，除特别说明外</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rPr>
        <w:t>，</w:t>
      </w:r>
      <w:r>
        <w:rPr>
          <w:rFonts w:ascii="Microsoft YaHei" w:hAnsi="Microsoft YaHei" w:eastAsia="Microsoft YaHei" w:cs="Microsoft YaHei"/>
          <w:sz w:val="21"/>
          <w:szCs w:val="21"/>
          <w:spacing w:val="-36"/>
        </w:rPr>
        <w:t xml:space="preserve"> </w:t>
      </w:r>
      <w:r>
        <w:rPr>
          <w:rFonts w:ascii="Microsoft YaHei" w:hAnsi="Microsoft YaHei" w:eastAsia="Microsoft YaHei" w:cs="Microsoft YaHei"/>
          <w:sz w:val="21"/>
          <w:szCs w:val="21"/>
        </w:rPr>
        <w:t>电网侧储能主要从 </w:t>
      </w:r>
      <w:r>
        <w:rPr>
          <w:rFonts w:ascii="Microsoft YaHei" w:hAnsi="Microsoft YaHei" w:eastAsia="Microsoft YaHei" w:cs="Microsoft YaHei"/>
          <w:sz w:val="21"/>
          <w:szCs w:val="21"/>
          <w:spacing w:val="-4"/>
        </w:rPr>
        <w:t>广义角度来理解。</w:t>
      </w:r>
    </w:p>
    <w:p>
      <w:pPr>
        <w:ind w:left="383" w:right="2999" w:hanging="11"/>
        <w:spacing w:before="341" w:line="172" w:lineRule="auto"/>
        <w:rPr>
          <w:rFonts w:ascii="Microsoft YaHei" w:hAnsi="Microsoft YaHei" w:eastAsia="Microsoft YaHei" w:cs="Microsoft YaHei"/>
          <w:sz w:val="36"/>
          <w:szCs w:val="36"/>
        </w:rPr>
      </w:pPr>
      <w:r>
        <w:rPr>
          <w:rFonts w:ascii="Microsoft YaHei" w:hAnsi="Microsoft YaHei" w:eastAsia="Microsoft YaHei" w:cs="Microsoft YaHei"/>
          <w:sz w:val="36"/>
          <w:szCs w:val="36"/>
          <w:b/>
          <w:bCs/>
          <w:color w:val="00338D"/>
          <w:spacing w:val="-3"/>
        </w:rPr>
        <w:t>投资运营模式：</w:t>
      </w:r>
      <w:r>
        <w:rPr>
          <w:rFonts w:ascii="Microsoft YaHei" w:hAnsi="Microsoft YaHei" w:eastAsia="Microsoft YaHei" w:cs="Microsoft YaHei"/>
          <w:sz w:val="36"/>
          <w:szCs w:val="36"/>
          <w:b/>
          <w:bCs/>
          <w:color w:val="00338D"/>
          <w:spacing w:val="-53"/>
        </w:rPr>
        <w:t xml:space="preserve"> </w:t>
      </w:r>
      <w:r>
        <w:rPr>
          <w:rFonts w:ascii="Microsoft YaHei" w:hAnsi="Microsoft YaHei" w:eastAsia="Microsoft YaHei" w:cs="Microsoft YaHei"/>
          <w:sz w:val="36"/>
          <w:szCs w:val="36"/>
          <w:color w:val="00338D"/>
          <w:spacing w:val="-3"/>
        </w:rPr>
        <w:t>电网企业投资意愿仍待激发，现有</w:t>
      </w:r>
      <w:r>
        <w:rPr>
          <w:rFonts w:ascii="Microsoft YaHei" w:hAnsi="Microsoft YaHei" w:eastAsia="Microsoft YaHei" w:cs="Microsoft YaHei"/>
          <w:sz w:val="36"/>
          <w:szCs w:val="36"/>
          <w:color w:val="00338D"/>
        </w:rPr>
        <w:t xml:space="preserve"> </w:t>
      </w:r>
      <w:r>
        <w:rPr>
          <w:rFonts w:ascii="Microsoft YaHei" w:hAnsi="Microsoft YaHei" w:eastAsia="Microsoft YaHei" w:cs="Microsoft YaHei"/>
          <w:sz w:val="36"/>
          <w:szCs w:val="36"/>
          <w:color w:val="00338D"/>
          <w:spacing w:val="-2"/>
        </w:rPr>
        <w:t>非独立储能项目面临“结算难”问题</w:t>
      </w:r>
    </w:p>
    <w:p>
      <w:pPr>
        <w:ind w:left="349" w:right="2997" w:firstLine="16"/>
        <w:spacing w:before="238" w:line="219"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电网侧储能应用主要包括调峰、调频、备用电源等电力辅助服务和独立储能等创</w:t>
      </w:r>
      <w:r>
        <w:rPr>
          <w:rFonts w:ascii="Microsoft YaHei" w:hAnsi="Microsoft YaHei" w:eastAsia="Microsoft YaHei" w:cs="Microsoft YaHei"/>
          <w:sz w:val="21"/>
          <w:szCs w:val="21"/>
          <w:spacing w:val="3"/>
        </w:rPr>
        <w:t>新服</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务（表 8</w:t>
      </w:r>
      <w:r>
        <w:rPr>
          <w:rFonts w:ascii="Microsoft YaHei" w:hAnsi="Microsoft YaHei" w:eastAsia="Microsoft YaHei" w:cs="Microsoft YaHei"/>
          <w:sz w:val="21"/>
          <w:szCs w:val="21"/>
          <w:spacing w:val="4"/>
        </w:rPr>
        <w:t>），</w:t>
      </w:r>
      <w:r>
        <w:rPr>
          <w:rFonts w:ascii="Microsoft YaHei" w:hAnsi="Microsoft YaHei" w:eastAsia="Microsoft YaHei" w:cs="Microsoft YaHei"/>
          <w:sz w:val="21"/>
          <w:szCs w:val="21"/>
          <w:spacing w:val="-1"/>
        </w:rPr>
        <w:t>服务提供方主要有发电企业、电网公司、参与市场化交易的电力用户、储</w:t>
      </w:r>
      <w:r>
        <w:rPr>
          <w:rFonts w:ascii="Microsoft YaHei" w:hAnsi="Microsoft YaHei" w:eastAsia="Microsoft YaHei" w:cs="Microsoft YaHei"/>
          <w:sz w:val="21"/>
          <w:szCs w:val="21"/>
          <w:spacing w:val="1"/>
        </w:rPr>
        <w:t xml:space="preserve"> </w:t>
      </w:r>
      <w:r>
        <w:rPr>
          <w:rFonts w:ascii="Microsoft YaHei" w:hAnsi="Microsoft YaHei" w:eastAsia="Microsoft YaHei" w:cs="Microsoft YaHei"/>
          <w:sz w:val="21"/>
          <w:szCs w:val="21"/>
          <w:spacing w:val="-1"/>
        </w:rPr>
        <w:t>能企业等，目的是维护电力系统安全稳定、保证电能质量等。</w:t>
      </w:r>
    </w:p>
    <w:p>
      <w:pPr>
        <w:pStyle w:val="BodyText"/>
        <w:spacing w:line="259" w:lineRule="auto"/>
        <w:rPr/>
      </w:pPr>
      <w:r/>
    </w:p>
    <w:p>
      <w:pPr>
        <w:ind w:left="366"/>
        <w:spacing w:before="90" w:line="19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C0AE"/>
          <w:spacing w:val="-4"/>
        </w:rPr>
        <w:t>表 8 | 电网侧储能应用服务</w:t>
      </w:r>
    </w:p>
    <w:p>
      <w:pPr>
        <w:spacing w:line="139" w:lineRule="exact"/>
        <w:rPr/>
      </w:pPr>
      <w:r/>
    </w:p>
    <w:tbl>
      <w:tblPr>
        <w:tblStyle w:val="TableNormal"/>
        <w:tblW w:w="9646" w:type="dxa"/>
        <w:tblInd w:w="361" w:type="dxa"/>
        <w:tblLayout w:type="fixed"/>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
      <w:tblGrid>
        <w:gridCol w:w="1707"/>
        <w:gridCol w:w="1140"/>
        <w:gridCol w:w="6799"/>
      </w:tblGrid>
      <w:tr>
        <w:trPr>
          <w:trHeight w:val="618" w:hRule="atLeast"/>
        </w:trPr>
        <w:tc>
          <w:tcPr>
            <w:shd w:val="clear" w:fill="00C0AE"/>
            <w:tcW w:w="2847" w:type="dxa"/>
            <w:vAlign w:val="top"/>
            <w:gridSpan w:val="2"/>
            <w:tcBorders>
              <w:bottom w:val="single" w:color="FFFFFF" w:sz="24" w:space="0"/>
            </w:tcBorders>
          </w:tcPr>
          <w:p>
            <w:pPr>
              <w:pStyle w:val="TableText"/>
              <w:ind w:left="998"/>
              <w:spacing w:before="194" w:line="178" w:lineRule="auto"/>
              <w:rPr>
                <w:sz w:val="21"/>
                <w:szCs w:val="21"/>
              </w:rPr>
            </w:pPr>
            <w:r>
              <w:rPr>
                <w:sz w:val="21"/>
                <w:szCs w:val="21"/>
                <w:b/>
                <w:bCs/>
                <w:color w:val="FFFFFF"/>
                <w:spacing w:val="-2"/>
              </w:rPr>
              <w:t>主要类型</w:t>
            </w:r>
          </w:p>
        </w:tc>
        <w:tc>
          <w:tcPr>
            <w:shd w:val="clear" w:fill="00C0AE"/>
            <w:tcW w:w="6799" w:type="dxa"/>
            <w:vAlign w:val="top"/>
            <w:tcBorders>
              <w:bottom w:val="single" w:color="FFFFFF" w:sz="24" w:space="0"/>
            </w:tcBorders>
          </w:tcPr>
          <w:p>
            <w:pPr>
              <w:pStyle w:val="TableText"/>
              <w:ind w:left="3184"/>
              <w:spacing w:before="192" w:line="180" w:lineRule="auto"/>
              <w:rPr>
                <w:sz w:val="21"/>
                <w:szCs w:val="21"/>
              </w:rPr>
            </w:pPr>
            <w:r>
              <w:rPr>
                <w:sz w:val="21"/>
                <w:szCs w:val="21"/>
                <w:b/>
                <w:bCs/>
                <w:color w:val="FFFFFF"/>
                <w:spacing w:val="-1"/>
              </w:rPr>
              <w:t>定义</w:t>
            </w:r>
          </w:p>
        </w:tc>
      </w:tr>
      <w:tr>
        <w:trPr>
          <w:trHeight w:val="955" w:hRule="atLeast"/>
        </w:trPr>
        <w:tc>
          <w:tcPr>
            <w:shd w:val="clear" w:fill="F1F1F1"/>
            <w:tcW w:w="1707" w:type="dxa"/>
            <w:vAlign w:val="top"/>
            <w:vMerge w:val="restart"/>
            <w:tcBorders>
              <w:bottom w:val="nil"/>
              <w:top w:val="single" w:color="FFFFFF" w:sz="24" w:space="0"/>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140"/>
              <w:spacing w:before="90" w:line="176" w:lineRule="auto"/>
              <w:rPr>
                <w:rFonts w:ascii="Arial" w:hAnsi="Arial" w:eastAsia="Arial" w:cs="Arial"/>
                <w:sz w:val="13"/>
                <w:szCs w:val="13"/>
              </w:rPr>
            </w:pPr>
            <w:r>
              <w:rPr>
                <w:sz w:val="21"/>
                <w:szCs w:val="21"/>
                <w:b/>
                <w:bCs/>
                <w:color w:val="00C0AE"/>
                <w:spacing w:val="2"/>
              </w:rPr>
              <w:t>电力辅助服务</w:t>
            </w:r>
            <w:r>
              <w:rPr>
                <w:rFonts w:ascii="Arial" w:hAnsi="Arial" w:eastAsia="Arial" w:cs="Arial"/>
                <w:sz w:val="13"/>
                <w:szCs w:val="13"/>
                <w:b/>
                <w:bCs/>
                <w:color w:val="00C0AE"/>
                <w:spacing w:val="2"/>
                <w:position w:val="5"/>
              </w:rPr>
              <w:t>32</w:t>
            </w:r>
          </w:p>
        </w:tc>
        <w:tc>
          <w:tcPr>
            <w:tcW w:w="1140" w:type="dxa"/>
            <w:vAlign w:val="top"/>
            <w:tcBorders>
              <w:bottom w:val="single" w:color="A8A8A8" w:sz="2" w:space="0"/>
              <w:right w:val="single" w:color="A8A8A8" w:sz="2" w:space="0"/>
              <w:top w:val="single" w:color="FFFFFF" w:sz="24" w:space="0"/>
            </w:tcBorders>
          </w:tcPr>
          <w:p>
            <w:pPr>
              <w:spacing w:line="251" w:lineRule="auto"/>
              <w:rPr>
                <w:rFonts w:ascii="Arial"/>
                <w:sz w:val="21"/>
              </w:rPr>
            </w:pPr>
            <w:r/>
          </w:p>
          <w:p>
            <w:pPr>
              <w:pStyle w:val="TableText"/>
              <w:ind w:left="352"/>
              <w:spacing w:before="90" w:line="176" w:lineRule="auto"/>
              <w:rPr>
                <w:sz w:val="21"/>
                <w:szCs w:val="21"/>
              </w:rPr>
            </w:pPr>
            <w:r>
              <w:rPr>
                <w:sz w:val="21"/>
                <w:szCs w:val="21"/>
                <w:spacing w:val="-2"/>
              </w:rPr>
              <w:t>调峰</w:t>
            </w:r>
          </w:p>
        </w:tc>
        <w:tc>
          <w:tcPr>
            <w:tcW w:w="6799" w:type="dxa"/>
            <w:vAlign w:val="top"/>
            <w:tcBorders>
              <w:left w:val="single" w:color="A8A8A8" w:sz="2" w:space="0"/>
              <w:bottom w:val="single" w:color="A8A8A8" w:sz="2" w:space="0"/>
              <w:top w:val="single" w:color="FFFFFF" w:sz="24" w:space="0"/>
            </w:tcBorders>
          </w:tcPr>
          <w:p>
            <w:pPr>
              <w:pStyle w:val="TableText"/>
              <w:ind w:left="95" w:right="170" w:firstLine="4"/>
              <w:spacing w:before="215" w:line="173" w:lineRule="auto"/>
              <w:rPr>
                <w:sz w:val="21"/>
                <w:szCs w:val="21"/>
              </w:rPr>
            </w:pPr>
            <w:r>
              <w:rPr>
                <w:sz w:val="21"/>
                <w:szCs w:val="21"/>
              </w:rPr>
              <w:t>为跟踪系统负荷的峰谷变化及可再生能源出力变化，并网主体根据调度</w:t>
            </w:r>
            <w:r>
              <w:rPr>
                <w:sz w:val="21"/>
                <w:szCs w:val="21"/>
                <w:spacing w:val="4"/>
              </w:rPr>
              <w:t xml:space="preserve"> </w:t>
            </w:r>
            <w:r>
              <w:rPr>
                <w:sz w:val="21"/>
                <w:szCs w:val="21"/>
              </w:rPr>
              <w:t>指令进行的发用电功率调整或设备启停所提供的服务。</w:t>
            </w:r>
          </w:p>
        </w:tc>
      </w:tr>
      <w:tr>
        <w:trPr>
          <w:trHeight w:val="1391" w:hRule="atLeast"/>
        </w:trPr>
        <w:tc>
          <w:tcPr>
            <w:tcW w:w="1707" w:type="dxa"/>
            <w:vAlign w:val="top"/>
            <w:vMerge w:val="continue"/>
            <w:tcBorders>
              <w:bottom w:val="nil"/>
              <w:top w:val="nil"/>
            </w:tcBorders>
          </w:tcPr>
          <w:p>
            <w:pPr>
              <w:rPr>
                <w:rFonts w:ascii="Arial"/>
                <w:sz w:val="21"/>
              </w:rPr>
            </w:pPr>
            <w:r/>
          </w:p>
        </w:tc>
        <w:tc>
          <w:tcPr>
            <w:tcW w:w="1140" w:type="dxa"/>
            <w:vAlign w:val="top"/>
            <w:tcBorders>
              <w:bottom w:val="single" w:color="A8A8A8" w:sz="2" w:space="0"/>
              <w:right w:val="single" w:color="A8A8A8" w:sz="2" w:space="0"/>
              <w:top w:val="single" w:color="A8A8A8" w:sz="2" w:space="0"/>
            </w:tcBorders>
          </w:tcPr>
          <w:p>
            <w:pPr>
              <w:spacing w:line="249" w:lineRule="auto"/>
              <w:rPr>
                <w:rFonts w:ascii="Arial"/>
                <w:sz w:val="21"/>
              </w:rPr>
            </w:pPr>
            <w:r/>
          </w:p>
          <w:p>
            <w:pPr>
              <w:spacing w:line="250" w:lineRule="auto"/>
              <w:rPr>
                <w:rFonts w:ascii="Arial"/>
                <w:sz w:val="21"/>
              </w:rPr>
            </w:pPr>
            <w:r/>
          </w:p>
          <w:p>
            <w:pPr>
              <w:pStyle w:val="TableText"/>
              <w:ind w:left="352"/>
              <w:spacing w:before="90" w:line="175" w:lineRule="auto"/>
              <w:rPr>
                <w:sz w:val="21"/>
                <w:szCs w:val="21"/>
              </w:rPr>
            </w:pPr>
            <w:r>
              <w:rPr>
                <w:sz w:val="21"/>
                <w:szCs w:val="21"/>
                <w:spacing w:val="-2"/>
              </w:rPr>
              <w:t>调频</w:t>
            </w:r>
          </w:p>
        </w:tc>
        <w:tc>
          <w:tcPr>
            <w:tcW w:w="6799" w:type="dxa"/>
            <w:vAlign w:val="top"/>
            <w:tcBorders>
              <w:left w:val="single" w:color="A8A8A8" w:sz="2" w:space="0"/>
              <w:bottom w:val="single" w:color="A8A8A8" w:sz="2" w:space="0"/>
              <w:top w:val="single" w:color="A8A8A8" w:sz="2" w:space="0"/>
            </w:tcBorders>
          </w:tcPr>
          <w:p>
            <w:pPr>
              <w:pStyle w:val="TableText"/>
              <w:ind w:left="96" w:right="94" w:firstLine="19"/>
              <w:spacing w:before="215" w:line="170" w:lineRule="auto"/>
              <w:jc w:val="both"/>
              <w:rPr>
                <w:sz w:val="21"/>
                <w:szCs w:val="21"/>
              </w:rPr>
            </w:pPr>
            <w:r>
              <w:rPr>
                <w:sz w:val="21"/>
                <w:szCs w:val="21"/>
              </w:rPr>
              <w:t>电力系统频率偏离目标频率时，并网主体通过</w:t>
            </w:r>
            <w:r>
              <w:rPr>
                <w:sz w:val="21"/>
                <w:szCs w:val="21"/>
                <w:spacing w:val="-1"/>
              </w:rPr>
              <w:t>调速系统、自动功率控制</w:t>
            </w:r>
            <w:r>
              <w:rPr>
                <w:sz w:val="21"/>
                <w:szCs w:val="21"/>
              </w:rPr>
              <w:t xml:space="preserve">  </w:t>
            </w:r>
            <w:r>
              <w:rPr>
                <w:sz w:val="21"/>
                <w:szCs w:val="21"/>
              </w:rPr>
              <w:t>等方式，调整有功出力减少频率偏差所提供的服务。中国电网额定频率</w:t>
            </w:r>
            <w:r>
              <w:rPr>
                <w:sz w:val="21"/>
                <w:szCs w:val="21"/>
                <w:spacing w:val="4"/>
              </w:rPr>
              <w:t xml:space="preserve">  </w:t>
            </w:r>
            <w:r>
              <w:rPr>
                <w:sz w:val="21"/>
                <w:szCs w:val="21"/>
                <w:spacing w:val="1"/>
              </w:rPr>
              <w:t>为</w:t>
            </w:r>
            <w:r>
              <w:rPr>
                <w:rFonts w:ascii="Arial" w:hAnsi="Arial" w:eastAsia="Arial" w:cs="Arial"/>
                <w:sz w:val="21"/>
                <w:szCs w:val="21"/>
                <w:spacing w:val="1"/>
              </w:rPr>
              <w:t>50</w:t>
            </w:r>
            <w:r>
              <w:rPr>
                <w:rFonts w:ascii="Arial" w:hAnsi="Arial" w:eastAsia="Arial" w:cs="Arial"/>
                <w:sz w:val="21"/>
                <w:szCs w:val="21"/>
              </w:rPr>
              <w:t>Hz</w:t>
            </w:r>
            <w:r>
              <w:rPr>
                <w:rFonts w:ascii="Arial" w:hAnsi="Arial" w:eastAsia="Arial" w:cs="Arial"/>
                <w:sz w:val="21"/>
                <w:szCs w:val="21"/>
                <w:spacing w:val="1"/>
              </w:rPr>
              <w:t>,</w:t>
            </w:r>
            <w:r>
              <w:rPr>
                <w:sz w:val="21"/>
                <w:szCs w:val="21"/>
                <w:spacing w:val="1"/>
              </w:rPr>
              <w:t>对</w:t>
            </w:r>
            <w:r>
              <w:rPr>
                <w:rFonts w:ascii="Arial" w:hAnsi="Arial" w:eastAsia="Arial" w:cs="Arial"/>
                <w:sz w:val="21"/>
                <w:szCs w:val="21"/>
                <w:spacing w:val="1"/>
              </w:rPr>
              <w:t>3</w:t>
            </w:r>
            <w:r>
              <w:rPr>
                <w:rFonts w:ascii="Arial" w:hAnsi="Arial" w:eastAsia="Arial" w:cs="Arial"/>
                <w:sz w:val="21"/>
                <w:szCs w:val="21"/>
              </w:rPr>
              <w:t>GW</w:t>
            </w:r>
            <w:r>
              <w:rPr>
                <w:sz w:val="21"/>
                <w:szCs w:val="21"/>
                <w:spacing w:val="1"/>
              </w:rPr>
              <w:t>以上的大容量系统，正常频率偏差运行值为±</w:t>
            </w:r>
            <w:r>
              <w:rPr>
                <w:rFonts w:ascii="Arial" w:hAnsi="Arial" w:eastAsia="Arial" w:cs="Arial"/>
                <w:sz w:val="21"/>
                <w:szCs w:val="21"/>
                <w:spacing w:val="1"/>
              </w:rPr>
              <w:t>0.2</w:t>
            </w:r>
            <w:r>
              <w:rPr>
                <w:rFonts w:ascii="Arial" w:hAnsi="Arial" w:eastAsia="Arial" w:cs="Arial"/>
                <w:sz w:val="21"/>
                <w:szCs w:val="21"/>
              </w:rPr>
              <w:t>Hz</w:t>
            </w:r>
            <w:r>
              <w:rPr>
                <w:sz w:val="21"/>
                <w:szCs w:val="21"/>
                <w:spacing w:val="1"/>
              </w:rPr>
              <w:t>，小</w:t>
            </w:r>
            <w:r>
              <w:rPr>
                <w:sz w:val="21"/>
                <w:szCs w:val="21"/>
                <w:spacing w:val="2"/>
              </w:rPr>
              <w:t xml:space="preserve"> </w:t>
            </w:r>
            <w:r>
              <w:rPr>
                <w:sz w:val="21"/>
                <w:szCs w:val="21"/>
                <w:spacing w:val="4"/>
              </w:rPr>
              <w:t>系统则为±</w:t>
            </w:r>
            <w:r>
              <w:rPr>
                <w:rFonts w:ascii="Arial" w:hAnsi="Arial" w:eastAsia="Arial" w:cs="Arial"/>
                <w:sz w:val="21"/>
                <w:szCs w:val="21"/>
                <w:spacing w:val="4"/>
              </w:rPr>
              <w:t>0.5</w:t>
            </w:r>
            <w:r>
              <w:rPr>
                <w:rFonts w:ascii="Arial" w:hAnsi="Arial" w:eastAsia="Arial" w:cs="Arial"/>
                <w:sz w:val="21"/>
                <w:szCs w:val="21"/>
              </w:rPr>
              <w:t>Hz</w:t>
            </w:r>
            <w:r>
              <w:rPr>
                <w:sz w:val="21"/>
                <w:szCs w:val="21"/>
                <w:spacing w:val="4"/>
              </w:rPr>
              <w:t>。</w:t>
            </w:r>
          </w:p>
        </w:tc>
      </w:tr>
      <w:tr>
        <w:trPr>
          <w:trHeight w:val="1009" w:hRule="atLeast"/>
        </w:trPr>
        <w:tc>
          <w:tcPr>
            <w:tcW w:w="1707" w:type="dxa"/>
            <w:vAlign w:val="top"/>
            <w:vMerge w:val="continue"/>
            <w:tcBorders>
              <w:bottom w:val="single" w:color="00C0AE" w:sz="8" w:space="0"/>
              <w:top w:val="nil"/>
            </w:tcBorders>
          </w:tcPr>
          <w:p>
            <w:pPr>
              <w:rPr>
                <w:rFonts w:ascii="Arial"/>
                <w:sz w:val="21"/>
              </w:rPr>
            </w:pPr>
            <w:r/>
          </w:p>
        </w:tc>
        <w:tc>
          <w:tcPr>
            <w:tcW w:w="1140" w:type="dxa"/>
            <w:vAlign w:val="top"/>
            <w:tcBorders>
              <w:right w:val="single" w:color="A8A8A8" w:sz="2" w:space="0"/>
              <w:top w:val="single" w:color="A8A8A8" w:sz="2" w:space="0"/>
              <w:bottom w:val="single" w:color="00C0AE" w:sz="8" w:space="0"/>
            </w:tcBorders>
          </w:tcPr>
          <w:p>
            <w:pPr>
              <w:spacing w:line="313" w:lineRule="auto"/>
              <w:rPr>
                <w:rFonts w:ascii="Arial"/>
                <w:sz w:val="21"/>
              </w:rPr>
            </w:pPr>
            <w:r/>
          </w:p>
          <w:p>
            <w:pPr>
              <w:pStyle w:val="TableText"/>
              <w:ind w:left="139"/>
              <w:spacing w:before="91" w:line="176" w:lineRule="auto"/>
              <w:rPr>
                <w:sz w:val="21"/>
                <w:szCs w:val="21"/>
              </w:rPr>
            </w:pPr>
            <w:r>
              <w:rPr>
                <w:sz w:val="21"/>
                <w:szCs w:val="21"/>
                <w:spacing w:val="-1"/>
              </w:rPr>
              <w:t>备用电源</w:t>
            </w:r>
          </w:p>
        </w:tc>
        <w:tc>
          <w:tcPr>
            <w:tcW w:w="6799" w:type="dxa"/>
            <w:vAlign w:val="top"/>
            <w:tcBorders>
              <w:left w:val="single" w:color="A8A8A8" w:sz="2" w:space="0"/>
              <w:top w:val="single" w:color="A8A8A8" w:sz="2" w:space="0"/>
              <w:bottom w:val="single" w:color="00C0AE" w:sz="8" w:space="0"/>
            </w:tcBorders>
          </w:tcPr>
          <w:p>
            <w:pPr>
              <w:pStyle w:val="TableText"/>
              <w:ind w:left="100" w:right="170"/>
              <w:spacing w:before="281" w:line="174" w:lineRule="auto"/>
              <w:rPr>
                <w:sz w:val="21"/>
                <w:szCs w:val="21"/>
              </w:rPr>
            </w:pPr>
            <w:r>
              <w:rPr>
                <w:sz w:val="21"/>
                <w:szCs w:val="21"/>
              </w:rPr>
              <w:t>为保证电力系统可靠供电，在调度需求指令下，并网主体通过预留调节</w:t>
            </w:r>
            <w:r>
              <w:rPr>
                <w:sz w:val="21"/>
                <w:szCs w:val="21"/>
                <w:spacing w:val="4"/>
              </w:rPr>
              <w:t xml:space="preserve"> </w:t>
            </w:r>
            <w:r>
              <w:rPr>
                <w:sz w:val="21"/>
                <w:szCs w:val="21"/>
              </w:rPr>
              <w:t>能力，并在规定的时间内响应调度指令所提供的服务。</w:t>
            </w:r>
          </w:p>
        </w:tc>
      </w:tr>
      <w:tr>
        <w:trPr>
          <w:trHeight w:val="1386" w:hRule="atLeast"/>
        </w:trPr>
        <w:tc>
          <w:tcPr>
            <w:shd w:val="clear" w:fill="F1F1F1"/>
            <w:tcW w:w="1707" w:type="dxa"/>
            <w:vAlign w:val="top"/>
            <w:tcBorders>
              <w:bottom w:val="single" w:color="00C0AE" w:sz="8" w:space="0"/>
              <w:top w:val="single" w:color="00C0AE" w:sz="8" w:space="0"/>
            </w:tcBorders>
          </w:tcPr>
          <w:p>
            <w:pPr>
              <w:spacing w:line="246" w:lineRule="auto"/>
              <w:rPr>
                <w:rFonts w:ascii="Arial"/>
                <w:sz w:val="21"/>
              </w:rPr>
            </w:pPr>
            <w:r/>
          </w:p>
          <w:p>
            <w:pPr>
              <w:spacing w:line="247" w:lineRule="auto"/>
              <w:rPr>
                <w:rFonts w:ascii="Arial"/>
                <w:sz w:val="21"/>
              </w:rPr>
            </w:pPr>
            <w:r/>
          </w:p>
          <w:p>
            <w:pPr>
              <w:pStyle w:val="TableText"/>
              <w:ind w:left="412"/>
              <w:spacing w:before="90" w:line="176" w:lineRule="auto"/>
              <w:rPr>
                <w:sz w:val="21"/>
                <w:szCs w:val="21"/>
              </w:rPr>
            </w:pPr>
            <w:r>
              <w:rPr>
                <w:sz w:val="21"/>
                <w:szCs w:val="21"/>
                <w:b/>
                <w:bCs/>
                <w:color w:val="00C0AE"/>
                <w:spacing w:val="3"/>
              </w:rPr>
              <w:t>创新服务</w:t>
            </w:r>
          </w:p>
        </w:tc>
        <w:tc>
          <w:tcPr>
            <w:tcW w:w="1140" w:type="dxa"/>
            <w:vAlign w:val="top"/>
            <w:tcBorders>
              <w:bottom w:val="single" w:color="00C0AE" w:sz="8" w:space="0"/>
              <w:top w:val="single" w:color="00C0AE" w:sz="8" w:space="0"/>
              <w:right w:val="single" w:color="00C0AE" w:sz="2" w:space="0"/>
            </w:tcBorders>
          </w:tcPr>
          <w:p>
            <w:pPr>
              <w:spacing w:line="246" w:lineRule="auto"/>
              <w:rPr>
                <w:rFonts w:ascii="Arial"/>
                <w:sz w:val="21"/>
              </w:rPr>
            </w:pPr>
            <w:r/>
          </w:p>
          <w:p>
            <w:pPr>
              <w:spacing w:line="247" w:lineRule="auto"/>
              <w:rPr>
                <w:rFonts w:ascii="Arial"/>
                <w:sz w:val="21"/>
              </w:rPr>
            </w:pPr>
            <w:r/>
          </w:p>
          <w:p>
            <w:pPr>
              <w:pStyle w:val="TableText"/>
              <w:ind w:left="139"/>
              <w:spacing w:before="90" w:line="177" w:lineRule="auto"/>
              <w:rPr>
                <w:sz w:val="21"/>
                <w:szCs w:val="21"/>
              </w:rPr>
            </w:pPr>
            <w:r>
              <w:rPr>
                <w:sz w:val="21"/>
                <w:szCs w:val="21"/>
                <w:spacing w:val="-1"/>
              </w:rPr>
              <w:t>独立储能</w:t>
            </w:r>
          </w:p>
        </w:tc>
        <w:tc>
          <w:tcPr>
            <w:tcW w:w="6799" w:type="dxa"/>
            <w:vAlign w:val="top"/>
            <w:tcBorders>
              <w:bottom w:val="single" w:color="00C0AE" w:sz="8" w:space="0"/>
              <w:top w:val="single" w:color="00C0AE" w:sz="8" w:space="0"/>
              <w:left w:val="single" w:color="00C0AE" w:sz="2" w:space="0"/>
            </w:tcBorders>
          </w:tcPr>
          <w:p>
            <w:pPr>
              <w:pStyle w:val="TableText"/>
              <w:ind w:left="96" w:right="170" w:firstLine="1"/>
              <w:spacing w:before="209" w:line="171" w:lineRule="auto"/>
              <w:jc w:val="both"/>
              <w:rPr>
                <w:sz w:val="21"/>
                <w:szCs w:val="21"/>
              </w:rPr>
            </w:pPr>
            <w:r>
              <w:rPr>
                <w:sz w:val="21"/>
                <w:szCs w:val="21"/>
              </w:rPr>
              <w:t>具备独立计量、控制等技术条件，接入调度自动化系统可被电网监控和</w:t>
            </w:r>
            <w:r>
              <w:rPr>
                <w:sz w:val="21"/>
                <w:szCs w:val="21"/>
                <w:spacing w:val="7"/>
              </w:rPr>
              <w:t xml:space="preserve"> </w:t>
            </w:r>
            <w:r>
              <w:rPr>
                <w:sz w:val="21"/>
                <w:szCs w:val="21"/>
              </w:rPr>
              <w:t>调度，符合相关标准规范和电力市场运营机构等有关方面要</w:t>
            </w:r>
            <w:r>
              <w:rPr>
                <w:sz w:val="21"/>
                <w:szCs w:val="21"/>
                <w:spacing w:val="-1"/>
              </w:rPr>
              <w:t>求，具有法</w:t>
            </w:r>
            <w:r>
              <w:rPr>
                <w:sz w:val="21"/>
                <w:szCs w:val="21"/>
              </w:rPr>
              <w:t xml:space="preserve"> </w:t>
            </w:r>
            <w:r>
              <w:rPr>
                <w:sz w:val="21"/>
                <w:szCs w:val="21"/>
              </w:rPr>
              <w:t>人资格的新型储能项目。在电网侧可提供电力辅助服务，参与中长期市</w:t>
            </w:r>
            <w:r>
              <w:rPr>
                <w:sz w:val="21"/>
                <w:szCs w:val="21"/>
                <w:spacing w:val="8"/>
              </w:rPr>
              <w:t xml:space="preserve"> </w:t>
            </w:r>
            <w:r>
              <w:rPr>
                <w:sz w:val="21"/>
                <w:szCs w:val="21"/>
              </w:rPr>
              <w:t>场与现货市场，通过电力交易发挥移峰填谷和</w:t>
            </w:r>
            <w:r>
              <w:rPr>
                <w:sz w:val="21"/>
                <w:szCs w:val="21"/>
                <w:spacing w:val="-1"/>
              </w:rPr>
              <w:t>顶峰发电的作用等。</w:t>
            </w:r>
          </w:p>
        </w:tc>
      </w:tr>
    </w:tbl>
    <w:p>
      <w:pPr>
        <w:ind w:left="347"/>
        <w:spacing w:before="269" w:line="187"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8"/>
        </w:rPr>
        <w:t>资料来源：国家能源局等，毕马威分析</w:t>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1" w:lineRule="auto"/>
        <w:rPr/>
      </w:pPr>
      <w:r>
        <w:pict>
          <v:shape id="_x0000_s938" style="position:absolute;margin-left:17.119pt;margin-top:5.62201pt;mso-position-vertical-relative:text;mso-position-horizontal-relative:text;width:81.3pt;height:0.5pt;z-index:252527616;" filled="false" strokecolor="#000000" strokeweight="0.50pt" coordsize="1626,10" coordorigin="0,0" path="m0,5l1625,5e">
            <v:stroke joinstyle="miter"/>
          </v:shape>
        </w:pict>
      </w:r>
      <w:r/>
    </w:p>
    <w:p>
      <w:pPr>
        <w:ind w:left="341"/>
        <w:spacing w:before="57" w:line="189"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2"/>
          <w:position w:val="4"/>
        </w:rPr>
        <w:t>32</w:t>
      </w:r>
      <w:r>
        <w:rPr>
          <w:rFonts w:ascii="Microsoft YaHei" w:hAnsi="Microsoft YaHei" w:eastAsia="Microsoft YaHei" w:cs="Microsoft YaHei"/>
          <w:sz w:val="9"/>
          <w:szCs w:val="9"/>
          <w:spacing w:val="3"/>
          <w:position w:val="4"/>
        </w:rPr>
        <w:t xml:space="preserve">  </w:t>
      </w:r>
      <w:r>
        <w:rPr>
          <w:rFonts w:ascii="Microsoft YaHei" w:hAnsi="Microsoft YaHei" w:eastAsia="Microsoft YaHei" w:cs="Microsoft YaHei"/>
          <w:sz w:val="13"/>
          <w:szCs w:val="13"/>
          <w:spacing w:val="2"/>
        </w:rPr>
        <w:t>电力辅助服务管理办法，国家能源局，</w:t>
      </w:r>
      <w:r>
        <w:rPr>
          <w:rFonts w:ascii="Microsoft YaHei" w:hAnsi="Microsoft YaHei" w:eastAsia="Microsoft YaHei" w:cs="Microsoft YaHei"/>
          <w:sz w:val="13"/>
          <w:szCs w:val="13"/>
          <w:spacing w:val="11"/>
        </w:rPr>
        <w:t xml:space="preserve">  </w:t>
      </w:r>
      <w:r>
        <w:rPr>
          <w:rFonts w:ascii="Microsoft YaHei" w:hAnsi="Microsoft YaHei" w:eastAsia="Microsoft YaHei" w:cs="Microsoft YaHei"/>
          <w:sz w:val="13"/>
          <w:szCs w:val="13"/>
          <w:spacing w:val="2"/>
        </w:rPr>
        <w:t>2021年12月21日</w:t>
      </w:r>
    </w:p>
    <w:p>
      <w:pPr>
        <w:ind w:left="842" w:right="1241" w:hanging="411"/>
        <w:spacing w:before="195"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963" w:header="0" w:footer="0" w:gutter="0"/>
        </w:sectPr>
        <w:rPr>
          <w:rFonts w:ascii="Microsoft YaHei" w:hAnsi="Microsoft YaHei" w:eastAsia="Microsoft YaHei" w:cs="Microsoft YaHei"/>
          <w:sz w:val="11"/>
          <w:szCs w:val="11"/>
        </w:rPr>
      </w:pPr>
    </w:p>
    <w:p>
      <w:pPr>
        <w:ind w:left="7674"/>
        <w:spacing w:before="314" w:line="193" w:lineRule="auto"/>
        <w:outlineLvl w:val="0"/>
        <w:rPr>
          <w:rFonts w:ascii="Microsoft YaHei" w:hAnsi="Microsoft YaHei" w:eastAsia="Microsoft YaHei" w:cs="Microsoft YaHei"/>
          <w:sz w:val="18"/>
          <w:szCs w:val="18"/>
        </w:rPr>
      </w:pPr>
      <w:r>
        <w:pict>
          <v:rect id="_x0000_s940" style="position:absolute;margin-left:611.99pt;margin-top:0pt;mso-position-vertical-relative:page;mso-position-horizontal-relative:page;width:0.25pt;height:859pt;z-index:252564480;" o:allowincell="f" fillcolor="#000000" filled="true" stroked="false"/>
        </w:pict>
      </w:r>
      <w:r>
        <w:rPr>
          <w:rFonts w:ascii="Microsoft YaHei" w:hAnsi="Microsoft YaHei" w:eastAsia="Microsoft YaHei" w:cs="Microsoft YaHei"/>
          <w:sz w:val="18"/>
          <w:szCs w:val="18"/>
          <w:color w:val="A8A8A8"/>
        </w:rPr>
        <w:t>新型储能助力能源转型</w:t>
      </w:r>
      <w:r>
        <w:rPr>
          <w:rFonts w:ascii="Microsoft YaHei" w:hAnsi="Microsoft YaHei" w:eastAsia="Microsoft YaHei" w:cs="Microsoft YaHei"/>
          <w:sz w:val="18"/>
          <w:szCs w:val="18"/>
          <w:color w:val="A8A8A8"/>
          <w:spacing w:val="20"/>
          <w:w w:val="101"/>
        </w:rPr>
        <w:t xml:space="preserve">  </w:t>
      </w:r>
      <w:r>
        <w:rPr>
          <w:sz w:val="18"/>
          <w:szCs w:val="18"/>
          <w:position w:val="-4"/>
        </w:rPr>
        <w:drawing>
          <wp:inline distT="0" distB="0" distL="0" distR="0">
            <wp:extent cx="6350" cy="130175"/>
            <wp:effectExtent l="0" t="0" r="0" b="0"/>
            <wp:docPr id="478" name="IM 478"/>
            <wp:cNvGraphicFramePr/>
            <a:graphic>
              <a:graphicData uri="http://schemas.openxmlformats.org/drawingml/2006/picture">
                <pic:pic>
                  <pic:nvPicPr>
                    <pic:cNvPr id="478" name="IM 478"/>
                    <pic:cNvPicPr/>
                  </pic:nvPicPr>
                  <pic:blipFill>
                    <a:blip r:embed="rId217"/>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spacing w:val="14"/>
          <w:w w:val="101"/>
        </w:rPr>
        <w:t xml:space="preserve">  </w:t>
      </w:r>
      <w:r>
        <w:rPr>
          <w:rFonts w:ascii="Microsoft YaHei" w:hAnsi="Microsoft YaHei" w:eastAsia="Microsoft YaHei" w:cs="Microsoft YaHei"/>
          <w:sz w:val="18"/>
          <w:szCs w:val="18"/>
          <w:b/>
          <w:bCs/>
          <w:color w:val="A8A8A8"/>
        </w:rPr>
        <w:t>40</w:t>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7" w:right="2996" w:firstLine="21"/>
        <w:spacing w:before="90" w:line="218"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电网侧储能投资运营模式主要有二：</w:t>
      </w:r>
      <w:r>
        <w:rPr>
          <w:rFonts w:ascii="Microsoft YaHei" w:hAnsi="Microsoft YaHei" w:eastAsia="Microsoft YaHei" w:cs="Microsoft YaHei"/>
          <w:sz w:val="21"/>
          <w:szCs w:val="21"/>
          <w:spacing w:val="-18"/>
        </w:rPr>
        <w:t xml:space="preserve"> </w:t>
      </w:r>
      <w:r>
        <w:rPr>
          <w:rFonts w:ascii="Microsoft YaHei" w:hAnsi="Microsoft YaHei" w:eastAsia="Microsoft YaHei" w:cs="Microsoft YaHei"/>
          <w:sz w:val="21"/>
          <w:szCs w:val="21"/>
          <w:spacing w:val="2"/>
        </w:rPr>
        <w:t>一是租赁模式</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2"/>
        </w:rPr>
        <w:t>，租赁模式下储能可由社会资本投</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资</w:t>
      </w:r>
      <w:r>
        <w:rPr>
          <w:rFonts w:ascii="Microsoft YaHei" w:hAnsi="Microsoft YaHei" w:eastAsia="Microsoft YaHei" w:cs="Microsoft YaHei"/>
          <w:sz w:val="21"/>
          <w:szCs w:val="21"/>
          <w:spacing w:val="-25"/>
        </w:rPr>
        <w:t xml:space="preserve"> </w:t>
      </w:r>
      <w:r>
        <w:rPr>
          <w:rFonts w:ascii="Microsoft YaHei" w:hAnsi="Microsoft YaHei" w:eastAsia="Microsoft YaHei" w:cs="Microsoft YaHei"/>
          <w:sz w:val="21"/>
          <w:szCs w:val="21"/>
          <w:spacing w:val="2"/>
        </w:rPr>
        <w:t>，分为融资性租赁和经营性租赁两种。</w:t>
      </w:r>
      <w:r>
        <w:rPr>
          <w:rFonts w:ascii="Microsoft YaHei" w:hAnsi="Microsoft YaHei" w:eastAsia="Microsoft YaHei" w:cs="Microsoft YaHei"/>
          <w:sz w:val="21"/>
          <w:szCs w:val="21"/>
          <w:spacing w:val="-40"/>
        </w:rPr>
        <w:t xml:space="preserve"> </w:t>
      </w:r>
      <w:r>
        <w:rPr>
          <w:rFonts w:ascii="Microsoft YaHei" w:hAnsi="Microsoft YaHei" w:eastAsia="Microsoft YaHei" w:cs="Microsoft YaHei"/>
          <w:sz w:val="21"/>
          <w:szCs w:val="21"/>
          <w:spacing w:val="2"/>
        </w:rPr>
        <w:t>融资性租赁如江苏镇江储能示范工程中</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，许</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继电气和山东电工电气公司签订了8年项目租赁</w:t>
      </w:r>
      <w:r>
        <w:rPr>
          <w:rFonts w:ascii="Microsoft YaHei" w:hAnsi="Microsoft YaHei" w:eastAsia="Microsoft YaHei" w:cs="Microsoft YaHei"/>
          <w:sz w:val="21"/>
          <w:szCs w:val="21"/>
          <w:spacing w:val="2"/>
        </w:rPr>
        <w:t>回收期</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，8年租赁到期后储能站的资产</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5"/>
        </w:rPr>
        <w:t>所有权变为后者所有。经营性租赁如湖南长沙</w:t>
      </w:r>
      <w:r>
        <w:rPr>
          <w:rFonts w:ascii="Microsoft YaHei" w:hAnsi="Microsoft YaHei" w:eastAsia="Microsoft YaHei" w:cs="Microsoft YaHei"/>
          <w:sz w:val="21"/>
          <w:szCs w:val="21"/>
          <w:spacing w:val="4"/>
        </w:rPr>
        <w:t>储能示范工程（榔梨、延农和芙蓉三座</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储能电站）项目中</w:t>
      </w:r>
      <w:r>
        <w:rPr>
          <w:rFonts w:ascii="Microsoft YaHei" w:hAnsi="Microsoft YaHei" w:eastAsia="Microsoft YaHei" w:cs="Microsoft YaHei"/>
          <w:sz w:val="21"/>
          <w:szCs w:val="21"/>
          <w:spacing w:val="-21"/>
        </w:rPr>
        <w:t xml:space="preserve"> </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spacing w:val="-40"/>
        </w:rPr>
        <w:t xml:space="preserve"> </w:t>
      </w:r>
      <w:r>
        <w:rPr>
          <w:rFonts w:ascii="Microsoft YaHei" w:hAnsi="Microsoft YaHei" w:eastAsia="Microsoft YaHei" w:cs="Microsoft YaHei"/>
          <w:sz w:val="21"/>
          <w:szCs w:val="21"/>
          <w:spacing w:val="1"/>
        </w:rPr>
        <w:t>电池本体储能系统由电池厂家建设</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，提供租赁服务</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，湖南综合能</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源服务有限公司负责投资建设储能站。二是合同能源管理模式</w:t>
      </w:r>
      <w:r>
        <w:rPr>
          <w:rFonts w:ascii="Microsoft YaHei" w:hAnsi="Microsoft YaHei" w:eastAsia="Microsoft YaHei" w:cs="Microsoft YaHei"/>
          <w:sz w:val="21"/>
          <w:szCs w:val="21"/>
          <w:spacing w:val="-33"/>
        </w:rPr>
        <w:t xml:space="preserve"> </w:t>
      </w:r>
      <w:r>
        <w:rPr>
          <w:rFonts w:ascii="Microsoft YaHei" w:hAnsi="Microsoft YaHei" w:eastAsia="Microsoft YaHei" w:cs="Microsoft YaHei"/>
          <w:sz w:val="21"/>
          <w:szCs w:val="21"/>
          <w:spacing w:val="3"/>
        </w:rPr>
        <w:t>，</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3"/>
        </w:rPr>
        <w:t>电网企业与储能服务</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商等签订合同</w:t>
      </w:r>
      <w:r>
        <w:rPr>
          <w:rFonts w:ascii="Microsoft YaHei" w:hAnsi="Microsoft YaHei" w:eastAsia="Microsoft YaHei" w:cs="Microsoft YaHei"/>
          <w:sz w:val="21"/>
          <w:szCs w:val="21"/>
          <w:spacing w:val="-26"/>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38"/>
        </w:rPr>
        <w:t xml:space="preserve"> </w:t>
      </w:r>
      <w:r>
        <w:rPr>
          <w:rFonts w:ascii="Microsoft YaHei" w:hAnsi="Microsoft YaHei" w:eastAsia="Microsoft YaHei" w:cs="Microsoft YaHei"/>
          <w:sz w:val="21"/>
          <w:szCs w:val="21"/>
          <w:spacing w:val="2"/>
        </w:rPr>
        <w:t>由电网企业对储能设施进行运维管理</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，取得收益按双方合同约定的比</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例进行分享。</w:t>
      </w:r>
      <w:r>
        <w:rPr>
          <w:rFonts w:ascii="Microsoft YaHei" w:hAnsi="Microsoft YaHei" w:eastAsia="Microsoft YaHei" w:cs="Microsoft YaHei"/>
          <w:sz w:val="21"/>
          <w:szCs w:val="21"/>
          <w:spacing w:val="-38"/>
        </w:rPr>
        <w:t xml:space="preserve"> </w:t>
      </w:r>
      <w:r>
        <w:rPr>
          <w:rFonts w:ascii="Microsoft YaHei" w:hAnsi="Microsoft YaHei" w:eastAsia="Microsoft YaHei" w:cs="Microsoft YaHei"/>
          <w:sz w:val="21"/>
          <w:szCs w:val="21"/>
          <w:spacing w:val="3"/>
        </w:rPr>
        <w:t>同样是在江苏镇江储能示范工程中</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，江苏综合能源服务有限公司与江苏</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省电力公司签订合同进行利益分成，利益来源包括节约电费</w:t>
      </w:r>
      <w:r>
        <w:rPr>
          <w:rFonts w:ascii="Microsoft YaHei" w:hAnsi="Microsoft YaHei" w:eastAsia="Microsoft YaHei" w:cs="Microsoft YaHei"/>
          <w:sz w:val="21"/>
          <w:szCs w:val="21"/>
          <w:spacing w:val="-1"/>
        </w:rPr>
        <w:t>和调峰收益等。</w:t>
      </w:r>
    </w:p>
    <w:p>
      <w:pPr>
        <w:ind w:left="10" w:right="2996" w:firstLine="13"/>
        <w:spacing w:before="265" w:line="21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中国电网侧储能建设爆发于2018年</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，随</w:t>
      </w:r>
      <w:r>
        <w:rPr>
          <w:rFonts w:ascii="Microsoft YaHei" w:hAnsi="Microsoft YaHei" w:eastAsia="Microsoft YaHei" w:cs="Microsoft YaHei"/>
          <w:sz w:val="21"/>
          <w:szCs w:val="21"/>
          <w:spacing w:val="1"/>
        </w:rPr>
        <w:t>后国家发改委在2019年5月提出储能设施成本</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费用不得计入输配电定价成本</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4"/>
        </w:rPr>
        <w:t>，一定程度上抑</w:t>
      </w:r>
      <w:r>
        <w:rPr>
          <w:rFonts w:ascii="Microsoft YaHei" w:hAnsi="Microsoft YaHei" w:eastAsia="Microsoft YaHei" w:cs="Microsoft YaHei"/>
          <w:sz w:val="21"/>
          <w:szCs w:val="21"/>
          <w:spacing w:val="3"/>
        </w:rPr>
        <w:t>制了电网企业建设新型储能的动力。有</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观点认为</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，已投运的新型储能大多为非独立储能</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，一般处于</w:t>
      </w:r>
      <w:r>
        <w:rPr>
          <w:rFonts w:ascii="Microsoft YaHei" w:hAnsi="Microsoft YaHei" w:eastAsia="Microsoft YaHei" w:cs="Microsoft YaHei"/>
          <w:sz w:val="21"/>
          <w:szCs w:val="21"/>
          <w:spacing w:val="2"/>
        </w:rPr>
        <w:t>新能源场站内或传统火电</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等类型的电厂计量关口以内</w:t>
      </w:r>
      <w:r>
        <w:rPr>
          <w:rFonts w:ascii="Microsoft YaHei" w:hAnsi="Microsoft YaHei" w:eastAsia="Microsoft YaHei" w:cs="Microsoft YaHei"/>
          <w:sz w:val="21"/>
          <w:szCs w:val="21"/>
          <w:spacing w:val="-26"/>
        </w:rPr>
        <w:t xml:space="preserve"> </w:t>
      </w:r>
      <w:r>
        <w:rPr>
          <w:rFonts w:ascii="Microsoft YaHei" w:hAnsi="Microsoft YaHei" w:eastAsia="Microsoft YaHei" w:cs="Microsoft YaHei"/>
          <w:sz w:val="21"/>
          <w:szCs w:val="21"/>
          <w:spacing w:val="2"/>
        </w:rPr>
        <w:t>，如新能源+储能、火储联合调频、供热+储热等场景</w:t>
      </w:r>
      <w:r>
        <w:rPr>
          <w:rFonts w:ascii="Microsoft YaHei" w:hAnsi="Microsoft YaHei" w:eastAsia="Microsoft YaHei" w:cs="Microsoft YaHei"/>
          <w:sz w:val="13"/>
          <w:szCs w:val="13"/>
          <w:spacing w:val="2"/>
          <w:position w:val="6"/>
        </w:rPr>
        <w:t>33</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可以得出</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，如果严格按照接入位置来划分电源侧储能</w:t>
      </w:r>
      <w:r>
        <w:rPr>
          <w:rFonts w:ascii="Microsoft YaHei" w:hAnsi="Microsoft YaHei" w:eastAsia="Microsoft YaHei" w:cs="Microsoft YaHei"/>
          <w:sz w:val="21"/>
          <w:szCs w:val="21"/>
          <w:spacing w:val="2"/>
        </w:rPr>
        <w:t>和电网侧储能的话</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，现有已投运</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新型储能项目较少接入电网侧。</w:t>
      </w:r>
    </w:p>
    <w:p>
      <w:pPr>
        <w:ind w:left="9" w:right="2997" w:firstLine="1"/>
        <w:spacing w:before="270" w:line="218"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不过</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2"/>
        </w:rPr>
        <w:t>电源侧的部分储能项目实际上也可以接受电力调度机构统一调度</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1"/>
        </w:rPr>
        <w:t>响应电网调</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峰、调频等需求</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，其中具备电网直调条件</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，或选择和电网结算</w:t>
      </w:r>
      <w:r>
        <w:rPr>
          <w:rFonts w:ascii="Microsoft YaHei" w:hAnsi="Microsoft YaHei" w:eastAsia="Microsoft YaHei" w:cs="Microsoft YaHei"/>
          <w:sz w:val="21"/>
          <w:szCs w:val="21"/>
          <w:spacing w:val="1"/>
        </w:rPr>
        <w:t>的储能项目</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，一般会采</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取合同能源管理模式。然而这一模式下</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4"/>
        </w:rPr>
        <w:t>，非独立</w:t>
      </w:r>
      <w:r>
        <w:rPr>
          <w:rFonts w:ascii="Microsoft YaHei" w:hAnsi="Microsoft YaHei" w:eastAsia="Microsoft YaHei" w:cs="Microsoft YaHei"/>
          <w:sz w:val="21"/>
          <w:szCs w:val="21"/>
          <w:spacing w:val="3"/>
        </w:rPr>
        <w:t>储能电站常会面临业主方推迟或拖欠</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收益的情况</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4"/>
        </w:rPr>
        <w:t>，根本原因在于此类项目不具备独立计量、调度</w:t>
      </w:r>
      <w:r>
        <w:rPr>
          <w:rFonts w:ascii="Microsoft YaHei" w:hAnsi="Microsoft YaHei" w:eastAsia="Microsoft YaHei" w:cs="Microsoft YaHei"/>
          <w:sz w:val="21"/>
          <w:szCs w:val="21"/>
          <w:spacing w:val="3"/>
        </w:rPr>
        <w:t>、结算等独立市场主体身</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份</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，只能通过电网企业间接参与电力市场。</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2"/>
        </w:rPr>
        <w:t>随着储能独立市场主体地位确立</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1"/>
        </w:rPr>
        <w:t>独立储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能电站充电电量不承担输配电价和政府性基金及附加等政策利好相继释</w:t>
      </w:r>
      <w:r>
        <w:rPr>
          <w:rFonts w:ascii="Microsoft YaHei" w:hAnsi="Microsoft YaHei" w:eastAsia="Microsoft YaHei" w:cs="Microsoft YaHei"/>
          <w:sz w:val="21"/>
          <w:szCs w:val="21"/>
          <w:spacing w:val="2"/>
        </w:rPr>
        <w:t>放</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37"/>
        </w:rPr>
        <w:t xml:space="preserve"> </w:t>
      </w:r>
      <w:r>
        <w:rPr>
          <w:rFonts w:ascii="Microsoft YaHei" w:hAnsi="Microsoft YaHei" w:eastAsia="Microsoft YaHei" w:cs="Microsoft YaHei"/>
          <w:sz w:val="21"/>
          <w:szCs w:val="21"/>
          <w:spacing w:val="2"/>
        </w:rPr>
        <w:t>电网侧储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能有望更多以独立储能电站的形式落地，其具体商业模式详见下文。</w:t>
      </w:r>
    </w:p>
    <w:p>
      <w:pPr>
        <w:pStyle w:val="BodyText"/>
        <w:spacing w:line="417" w:lineRule="auto"/>
        <w:rPr/>
      </w:pPr>
      <w:r>
        <w:pict>
          <v:shape id="_x0000_s942" style="position:absolute;margin-left:0.25pt;margin-top:12.9976pt;mso-position-vertical-relative:text;mso-position-horizontal-relative:text;width:81.3pt;height:0.5pt;z-index:252565504;" filled="false" strokecolor="#000000" strokeweight="0.50pt" coordsize="1626,10" coordorigin="0,0" path="m0,5l1625,5e">
            <v:stroke joinstyle="miter"/>
          </v:shape>
        </w:pict>
      </w:r>
      <w:r/>
    </w:p>
    <w:p>
      <w:pPr>
        <w:ind w:left="14" w:right="5292" w:hanging="10"/>
        <w:spacing w:before="56" w:line="188"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3"/>
          <w:position w:val="4"/>
        </w:rPr>
        <w:t>33</w:t>
      </w:r>
      <w:r>
        <w:rPr>
          <w:rFonts w:ascii="Microsoft YaHei" w:hAnsi="Microsoft YaHei" w:eastAsia="Microsoft YaHei" w:cs="Microsoft YaHei"/>
          <w:sz w:val="9"/>
          <w:szCs w:val="9"/>
          <w:spacing w:val="24"/>
          <w:position w:val="4"/>
        </w:rPr>
        <w:t xml:space="preserve"> </w:t>
      </w:r>
      <w:r>
        <w:rPr>
          <w:rFonts w:ascii="Microsoft YaHei" w:hAnsi="Microsoft YaHei" w:eastAsia="Microsoft YaHei" w:cs="Microsoft YaHei"/>
          <w:sz w:val="13"/>
          <w:szCs w:val="13"/>
          <w:spacing w:val="3"/>
        </w:rPr>
        <w:t>政策解读 | 郑华：解决市场机制关键瓶颈，新型储能沐浴春风，</w:t>
      </w:r>
      <w:r>
        <w:rPr>
          <w:rFonts w:ascii="Microsoft YaHei" w:hAnsi="Microsoft YaHei" w:eastAsia="Microsoft YaHei" w:cs="Microsoft YaHei"/>
          <w:sz w:val="13"/>
          <w:szCs w:val="13"/>
          <w:spacing w:val="12"/>
        </w:rPr>
        <w:t xml:space="preserve">  </w:t>
      </w:r>
      <w:r>
        <w:rPr>
          <w:rFonts w:ascii="Microsoft YaHei" w:hAnsi="Microsoft YaHei" w:eastAsia="Microsoft YaHei" w:cs="Microsoft YaHei"/>
          <w:sz w:val="13"/>
          <w:szCs w:val="13"/>
        </w:rPr>
        <w:t>CNESA</w:t>
      </w:r>
      <w:r>
        <w:rPr>
          <w:rFonts w:ascii="Microsoft YaHei" w:hAnsi="Microsoft YaHei" w:eastAsia="Microsoft YaHei" w:cs="Microsoft YaHei"/>
          <w:sz w:val="13"/>
          <w:szCs w:val="13"/>
          <w:spacing w:val="-18"/>
        </w:rPr>
        <w:t xml:space="preserve"> </w:t>
      </w:r>
      <w:r>
        <w:rPr>
          <w:rFonts w:ascii="Microsoft YaHei" w:hAnsi="Microsoft YaHei" w:eastAsia="Microsoft YaHei" w:cs="Microsoft YaHei"/>
          <w:sz w:val="13"/>
          <w:szCs w:val="13"/>
          <w:spacing w:val="3"/>
        </w:rPr>
        <w:t>，2022年6月10日，</w:t>
      </w:r>
      <w:r>
        <w:rPr>
          <w:rFonts w:ascii="Microsoft YaHei" w:hAnsi="Microsoft YaHei" w:eastAsia="Microsoft YaHei" w:cs="Microsoft YaHei"/>
          <w:sz w:val="13"/>
          <w:szCs w:val="13"/>
        </w:rPr>
        <w:t xml:space="preserve"> </w:t>
      </w:r>
      <w:hyperlink w:history="true" r:id="rId218">
        <w:r>
          <w:rPr>
            <w:rFonts w:ascii="Microsoft YaHei" w:hAnsi="Microsoft YaHei" w:eastAsia="Microsoft YaHei" w:cs="Microsoft YaHei"/>
            <w:sz w:val="13"/>
            <w:szCs w:val="13"/>
          </w:rPr>
          <w:t>http</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www</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cnesa</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org</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policy</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detail</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column</w:t>
        </w:r>
      </w:hyperlink>
      <w:r>
        <w:rPr>
          <w:rFonts w:ascii="Microsoft YaHei" w:hAnsi="Microsoft YaHei" w:eastAsia="Microsoft YaHei" w:cs="Microsoft YaHei"/>
          <w:sz w:val="13"/>
          <w:szCs w:val="13"/>
          <w:spacing w:val="6"/>
        </w:rPr>
        <w:t>_</w:t>
      </w:r>
      <w:r>
        <w:rPr>
          <w:rFonts w:ascii="Microsoft YaHei" w:hAnsi="Microsoft YaHei" w:eastAsia="Microsoft YaHei" w:cs="Microsoft YaHei"/>
          <w:sz w:val="13"/>
          <w:szCs w:val="13"/>
        </w:rPr>
        <w:t>id</w:t>
      </w:r>
      <w:r>
        <w:rPr>
          <w:rFonts w:ascii="Microsoft YaHei" w:hAnsi="Microsoft YaHei" w:eastAsia="Microsoft YaHei" w:cs="Microsoft YaHei"/>
          <w:sz w:val="13"/>
          <w:szCs w:val="13"/>
          <w:spacing w:val="6"/>
        </w:rPr>
        <w:t>=6&amp;</w:t>
      </w:r>
      <w:r>
        <w:rPr>
          <w:rFonts w:ascii="Microsoft YaHei" w:hAnsi="Microsoft YaHei" w:eastAsia="Microsoft YaHei" w:cs="Microsoft YaHei"/>
          <w:sz w:val="13"/>
          <w:szCs w:val="13"/>
        </w:rPr>
        <w:t>id</w:t>
      </w:r>
      <w:r>
        <w:rPr>
          <w:rFonts w:ascii="Microsoft YaHei" w:hAnsi="Microsoft YaHei" w:eastAsia="Microsoft YaHei" w:cs="Microsoft YaHei"/>
          <w:sz w:val="13"/>
          <w:szCs w:val="13"/>
          <w:spacing w:val="6"/>
        </w:rPr>
        <w:t>=4601</w:t>
      </w:r>
    </w:p>
    <w:p>
      <w:pPr>
        <w:spacing w:before="189" w:line="5612" w:lineRule="exact"/>
        <w:rPr/>
      </w:pPr>
      <w:r>
        <w:rPr>
          <w:position w:val="-112"/>
        </w:rPr>
        <w:drawing>
          <wp:inline distT="0" distB="0" distL="0" distR="0">
            <wp:extent cx="6123431" cy="3563111"/>
            <wp:effectExtent l="0" t="0" r="0" b="0"/>
            <wp:docPr id="480" name="IM 480"/>
            <wp:cNvGraphicFramePr/>
            <a:graphic>
              <a:graphicData uri="http://schemas.openxmlformats.org/drawingml/2006/picture">
                <pic:pic>
                  <pic:nvPicPr>
                    <pic:cNvPr id="480" name="IM 480"/>
                    <pic:cNvPicPr/>
                  </pic:nvPicPr>
                  <pic:blipFill>
                    <a:blip r:embed="rId219"/>
                    <a:stretch>
                      <a:fillRect/>
                    </a:stretch>
                  </pic:blipFill>
                  <pic:spPr>
                    <a:xfrm rot="0">
                      <a:off x="0" y="0"/>
                      <a:ext cx="6123431" cy="3563111"/>
                    </a:xfrm>
                    <a:prstGeom prst="rect">
                      <a:avLst/>
                    </a:prstGeom>
                  </pic:spPr>
                </pic:pic>
              </a:graphicData>
            </a:graphic>
          </wp:inline>
        </w:drawing>
      </w:r>
    </w:p>
    <w:p>
      <w:pPr>
        <w:ind w:left="505" w:right="1241" w:hanging="411"/>
        <w:spacing w:before="251"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1300" w:header="0" w:footer="0" w:gutter="0"/>
        </w:sectPr>
        <w:rPr>
          <w:rFonts w:ascii="Microsoft YaHei" w:hAnsi="Microsoft YaHei" w:eastAsia="Microsoft YaHei" w:cs="Microsoft YaHei"/>
          <w:sz w:val="11"/>
          <w:szCs w:val="11"/>
        </w:rPr>
      </w:pPr>
    </w:p>
    <w:p>
      <w:pPr>
        <w:spacing w:before="314" w:line="193" w:lineRule="auto"/>
        <w:rPr>
          <w:rFonts w:ascii="Microsoft YaHei" w:hAnsi="Microsoft YaHei" w:eastAsia="Microsoft YaHei" w:cs="Microsoft YaHei"/>
          <w:sz w:val="18"/>
          <w:szCs w:val="18"/>
        </w:rPr>
      </w:pPr>
      <w:r>
        <w:pict>
          <v:rect id="_x0000_s944" style="position:absolute;margin-left:611.99pt;margin-top:0pt;mso-position-vertical-relative:page;mso-position-horizontal-relative:page;width:0.25pt;height:859pt;z-index:252602368;" o:allowincell="f" fillcolor="#000000" filled="true" stroked="false"/>
        </w:pict>
      </w:r>
      <w:r>
        <w:rPr>
          <w:rFonts w:ascii="Microsoft YaHei" w:hAnsi="Microsoft YaHei" w:eastAsia="Microsoft YaHei" w:cs="Microsoft YaHei"/>
          <w:sz w:val="18"/>
          <w:szCs w:val="18"/>
          <w:b/>
          <w:bCs/>
          <w:color w:val="A8A8A8"/>
          <w:spacing w:val="-1"/>
        </w:rPr>
        <w:t>41</w:t>
      </w:r>
      <w:r>
        <w:rPr>
          <w:rFonts w:ascii="Microsoft YaHei" w:hAnsi="Microsoft YaHei" w:eastAsia="Microsoft YaHei" w:cs="Microsoft YaHei"/>
          <w:sz w:val="18"/>
          <w:szCs w:val="18"/>
          <w:b/>
          <w:bCs/>
          <w:color w:val="A8A8A8"/>
          <w:spacing w:val="15"/>
          <w:w w:val="101"/>
        </w:rPr>
        <w:t xml:space="preserve">  </w:t>
      </w:r>
      <w:r>
        <w:rPr>
          <w:sz w:val="18"/>
          <w:szCs w:val="18"/>
          <w:position w:val="-4"/>
        </w:rPr>
        <w:drawing>
          <wp:inline distT="0" distB="0" distL="0" distR="0">
            <wp:extent cx="6350" cy="130175"/>
            <wp:effectExtent l="0" t="0" r="0" b="0"/>
            <wp:docPr id="482" name="IM 482"/>
            <wp:cNvGraphicFramePr/>
            <a:graphic>
              <a:graphicData uri="http://schemas.openxmlformats.org/drawingml/2006/picture">
                <pic:pic>
                  <pic:nvPicPr>
                    <pic:cNvPr id="482" name="IM 482"/>
                    <pic:cNvPicPr/>
                  </pic:nvPicPr>
                  <pic:blipFill>
                    <a:blip r:embed="rId220"/>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A8A8A8"/>
          <w:spacing w:val="26"/>
          <w:w w:val="101"/>
        </w:rPr>
        <w:t xml:space="preserve">  </w:t>
      </w:r>
      <w:r>
        <w:rPr>
          <w:rFonts w:ascii="Microsoft YaHei" w:hAnsi="Microsoft YaHei" w:eastAsia="Microsoft YaHei" w:cs="Microsoft YaHei"/>
          <w:sz w:val="18"/>
          <w:szCs w:val="18"/>
          <w:color w:val="A8A8A8"/>
          <w:spacing w:val="-1"/>
        </w:rPr>
        <w:t>新型储能助力能源转型</w:t>
      </w:r>
    </w:p>
    <w:p>
      <w:pPr>
        <w:pStyle w:val="BodyText"/>
        <w:spacing w:line="290" w:lineRule="auto"/>
        <w:rPr/>
      </w:pPr>
      <w:r/>
    </w:p>
    <w:p>
      <w:pPr>
        <w:pStyle w:val="BodyText"/>
        <w:spacing w:line="290" w:lineRule="auto"/>
        <w:rPr/>
      </w:pPr>
      <w:r/>
    </w:p>
    <w:p>
      <w:pPr>
        <w:ind w:left="381"/>
        <w:spacing w:before="154" w:line="170" w:lineRule="auto"/>
        <w:outlineLvl w:val="0"/>
        <w:rPr>
          <w:rFonts w:ascii="Microsoft YaHei" w:hAnsi="Microsoft YaHei" w:eastAsia="Microsoft YaHei" w:cs="Microsoft YaHei"/>
          <w:sz w:val="36"/>
          <w:szCs w:val="36"/>
        </w:rPr>
      </w:pPr>
      <w:r>
        <w:rPr>
          <w:rFonts w:ascii="Microsoft YaHei" w:hAnsi="Microsoft YaHei" w:eastAsia="Microsoft YaHei" w:cs="Microsoft YaHei"/>
          <w:sz w:val="36"/>
          <w:szCs w:val="36"/>
          <w:b/>
          <w:bCs/>
          <w:color w:val="00338D"/>
          <w:spacing w:val="2"/>
        </w:rPr>
        <w:t>收益定价模式：堵点在于成本无法传输到用户侧，</w:t>
      </w:r>
    </w:p>
    <w:p>
      <w:pPr>
        <w:ind w:left="383"/>
        <w:spacing w:line="176" w:lineRule="auto"/>
        <w:rPr>
          <w:rFonts w:ascii="Microsoft YaHei" w:hAnsi="Microsoft YaHei" w:eastAsia="Microsoft YaHei" w:cs="Microsoft YaHei"/>
          <w:sz w:val="36"/>
          <w:szCs w:val="36"/>
        </w:rPr>
      </w:pPr>
      <w:r>
        <w:rPr>
          <w:rFonts w:ascii="Microsoft YaHei" w:hAnsi="Microsoft YaHei" w:eastAsia="Microsoft YaHei" w:cs="Microsoft YaHei"/>
          <w:sz w:val="36"/>
          <w:szCs w:val="36"/>
          <w:b/>
          <w:bCs/>
          <w:color w:val="00338D"/>
          <w:spacing w:val="8"/>
        </w:rPr>
        <w:t>亟需开拓容量成本回收机制和电力现货市场</w:t>
      </w:r>
    </w:p>
    <w:p>
      <w:pPr>
        <w:ind w:left="346" w:right="2996" w:firstLine="3"/>
        <w:spacing w:before="227" w:line="21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从收益定价模式来看</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，调峰、调频等储能装机的收益</w:t>
      </w:r>
      <w:r>
        <w:rPr>
          <w:rFonts w:ascii="Microsoft YaHei" w:hAnsi="Microsoft YaHei" w:eastAsia="Microsoft YaHei" w:cs="Microsoft YaHei"/>
          <w:sz w:val="21"/>
          <w:szCs w:val="21"/>
          <w:spacing w:val="2"/>
        </w:rPr>
        <w:t>主要来自于辅助服务补偿</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，原因</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是在中国大部分风光发电和居民用电仍由电网调度保障运行的情况</w:t>
      </w:r>
      <w:r>
        <w:rPr>
          <w:rFonts w:ascii="Microsoft YaHei" w:hAnsi="Microsoft YaHei" w:eastAsia="Microsoft YaHei" w:cs="Microsoft YaHei"/>
          <w:sz w:val="21"/>
          <w:szCs w:val="21"/>
          <w:spacing w:val="3"/>
        </w:rPr>
        <w:t>下</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3"/>
        </w:rPr>
        <w:t>，大部分电网侧</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8"/>
        </w:rPr>
        <w:t>储能需求还是源于辅助服务市场。辅助服务的补偿方式和分摊机制</w:t>
      </w:r>
      <w:r>
        <w:rPr>
          <w:rFonts w:ascii="Microsoft YaHei" w:hAnsi="Microsoft YaHei" w:eastAsia="Microsoft YaHei" w:cs="Microsoft YaHei"/>
          <w:sz w:val="21"/>
          <w:szCs w:val="21"/>
          <w:spacing w:val="-8"/>
        </w:rPr>
        <w:t xml:space="preserve"> </w:t>
      </w:r>
      <w:r>
        <w:rPr>
          <w:rFonts w:ascii="Microsoft YaHei" w:hAnsi="Microsoft YaHei" w:eastAsia="Microsoft YaHei" w:cs="Microsoft YaHei"/>
          <w:sz w:val="21"/>
          <w:szCs w:val="21"/>
          <w:spacing w:val="8"/>
        </w:rPr>
        <w:t>，</w:t>
      </w:r>
      <w:r>
        <w:rPr>
          <w:rFonts w:ascii="Microsoft YaHei" w:hAnsi="Microsoft YaHei" w:eastAsia="Microsoft YaHei" w:cs="Microsoft YaHei"/>
          <w:sz w:val="21"/>
          <w:szCs w:val="21"/>
          <w:spacing w:val="-33"/>
        </w:rPr>
        <w:t xml:space="preserve"> </w:t>
      </w:r>
      <w:r>
        <w:rPr>
          <w:rFonts w:ascii="Microsoft YaHei" w:hAnsi="Microsoft YaHei" w:eastAsia="Microsoft YaHei" w:cs="Microsoft YaHei"/>
          <w:sz w:val="21"/>
          <w:szCs w:val="21"/>
          <w:spacing w:val="8"/>
        </w:rPr>
        <w:t>由各地区按照</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“谁提供、谁获利；谁受益、谁承担”</w:t>
      </w:r>
      <w:r>
        <w:rPr>
          <w:rFonts w:ascii="Microsoft YaHei" w:hAnsi="Microsoft YaHei" w:eastAsia="Microsoft YaHei" w:cs="Microsoft YaHei"/>
          <w:sz w:val="21"/>
          <w:szCs w:val="21"/>
          <w:spacing w:val="-43"/>
        </w:rPr>
        <w:t xml:space="preserve"> </w:t>
      </w:r>
      <w:r>
        <w:rPr>
          <w:rFonts w:ascii="Microsoft YaHei" w:hAnsi="Microsoft YaHei" w:eastAsia="Microsoft YaHei" w:cs="Microsoft YaHei"/>
          <w:sz w:val="21"/>
          <w:szCs w:val="21"/>
          <w:spacing w:val="-1"/>
        </w:rPr>
        <w:t>的原则</w:t>
      </w:r>
      <w:r>
        <w:rPr>
          <w:rFonts w:ascii="Microsoft YaHei" w:hAnsi="Microsoft YaHei" w:eastAsia="Microsoft YaHei" w:cs="Microsoft YaHei"/>
          <w:sz w:val="13"/>
          <w:szCs w:val="13"/>
          <w:spacing w:val="-1"/>
          <w:position w:val="6"/>
        </w:rPr>
        <w:t>34</w:t>
      </w:r>
      <w:r>
        <w:rPr>
          <w:rFonts w:ascii="Microsoft YaHei" w:hAnsi="Microsoft YaHei" w:eastAsia="Microsoft YaHei" w:cs="Microsoft YaHei"/>
          <w:sz w:val="21"/>
          <w:szCs w:val="21"/>
          <w:spacing w:val="-1"/>
        </w:rPr>
        <w:t>，制定相关细则。</w:t>
      </w:r>
      <w:r>
        <w:rPr>
          <w:rFonts w:ascii="Microsoft YaHei" w:hAnsi="Microsoft YaHei" w:eastAsia="Microsoft YaHei" w:cs="Microsoft YaHei"/>
          <w:sz w:val="21"/>
          <w:szCs w:val="21"/>
          <w:spacing w:val="-33"/>
        </w:rPr>
        <w:t xml:space="preserve"> </w:t>
      </w:r>
      <w:r>
        <w:rPr>
          <w:rFonts w:ascii="Microsoft YaHei" w:hAnsi="Microsoft YaHei" w:eastAsia="Microsoft YaHei" w:cs="Microsoft YaHei"/>
          <w:sz w:val="21"/>
          <w:szCs w:val="21"/>
          <w:spacing w:val="-1"/>
        </w:rPr>
        <w:t>一般来说，辅助服务</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补偿分为固定补偿和市场化补偿。</w:t>
      </w:r>
      <w:r>
        <w:rPr>
          <w:rFonts w:ascii="Microsoft YaHei" w:hAnsi="Microsoft YaHei" w:eastAsia="Microsoft YaHei" w:cs="Microsoft YaHei"/>
          <w:sz w:val="21"/>
          <w:szCs w:val="21"/>
          <w:spacing w:val="-36"/>
        </w:rPr>
        <w:t xml:space="preserve"> </w:t>
      </w:r>
      <w:r>
        <w:rPr>
          <w:rFonts w:ascii="Microsoft YaHei" w:hAnsi="Microsoft YaHei" w:eastAsia="Microsoft YaHei" w:cs="Microsoft YaHei"/>
          <w:sz w:val="21"/>
          <w:szCs w:val="21"/>
          <w:spacing w:val="4"/>
        </w:rPr>
        <w:t>固定补偿依照各省电力辅助服务管理</w:t>
      </w:r>
      <w:r>
        <w:rPr>
          <w:rFonts w:ascii="Microsoft YaHei" w:hAnsi="Microsoft YaHei" w:eastAsia="Microsoft YaHei" w:cs="Microsoft YaHei"/>
          <w:sz w:val="21"/>
          <w:szCs w:val="21"/>
          <w:spacing w:val="3"/>
        </w:rPr>
        <w:t>实施细则等规</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定进行</w:t>
      </w:r>
      <w:r>
        <w:rPr>
          <w:rFonts w:ascii="Microsoft YaHei" w:hAnsi="Microsoft YaHei" w:eastAsia="Microsoft YaHei" w:cs="Microsoft YaHei"/>
          <w:sz w:val="21"/>
          <w:szCs w:val="21"/>
          <w:spacing w:val="-33"/>
        </w:rPr>
        <w:t xml:space="preserve"> </w:t>
      </w:r>
      <w:r>
        <w:rPr>
          <w:rFonts w:ascii="Microsoft YaHei" w:hAnsi="Microsoft YaHei" w:eastAsia="Microsoft YaHei" w:cs="Microsoft YaHei"/>
          <w:sz w:val="21"/>
          <w:szCs w:val="21"/>
          <w:spacing w:val="1"/>
        </w:rPr>
        <w:t>，据不完全统计</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spacing w:val="-37"/>
        </w:rPr>
        <w:t xml:space="preserve"> </w:t>
      </w:r>
      <w:r>
        <w:rPr>
          <w:rFonts w:ascii="Microsoft YaHei" w:hAnsi="Microsoft YaHei" w:eastAsia="Microsoft YaHei" w:cs="Microsoft YaHei"/>
          <w:sz w:val="21"/>
          <w:szCs w:val="21"/>
          <w:spacing w:val="1"/>
        </w:rPr>
        <w:t>当前至少有19个省级以上地区明确了调峰调频补偿标准</w:t>
      </w:r>
      <w:r>
        <w:rPr>
          <w:rFonts w:ascii="Microsoft YaHei" w:hAnsi="Microsoft YaHei" w:eastAsia="Microsoft YaHei" w:cs="Microsoft YaHei"/>
          <w:sz w:val="21"/>
          <w:szCs w:val="21"/>
        </w:rPr>
        <w:t>（表 </w:t>
      </w:r>
      <w:r>
        <w:rPr>
          <w:rFonts w:ascii="Microsoft YaHei" w:hAnsi="Microsoft YaHei" w:eastAsia="Microsoft YaHei" w:cs="Microsoft YaHei"/>
          <w:sz w:val="21"/>
          <w:szCs w:val="21"/>
        </w:rPr>
        <w:t>9）。市场化补偿则按照各地辅助服务市场运营机制，通过市场化竞争形成交易</w:t>
      </w:r>
      <w:r>
        <w:rPr>
          <w:rFonts w:ascii="Microsoft YaHei" w:hAnsi="Microsoft YaHei" w:eastAsia="Microsoft YaHei" w:cs="Microsoft YaHei"/>
          <w:sz w:val="21"/>
          <w:szCs w:val="21"/>
          <w:spacing w:val="-1"/>
        </w:rPr>
        <w:t>价格，</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具体方式包括集中竞价、公开招标/挂牌/拍卖、双边协商等。</w:t>
      </w:r>
      <w:r>
        <w:rPr>
          <w:rFonts w:ascii="Microsoft YaHei" w:hAnsi="Microsoft YaHei" w:eastAsia="Microsoft YaHei" w:cs="Microsoft YaHei"/>
          <w:sz w:val="21"/>
          <w:szCs w:val="21"/>
          <w:spacing w:val="-1"/>
        </w:rPr>
        <w:t>以广东省电网调频为例，</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调频服务提供方可以在日前申报调频价格和电量</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w:t>
      </w:r>
      <w:r>
        <w:rPr>
          <w:rFonts w:ascii="Microsoft YaHei" w:hAnsi="Microsoft YaHei" w:eastAsia="Microsoft YaHei" w:cs="Microsoft YaHei"/>
          <w:sz w:val="21"/>
          <w:szCs w:val="21"/>
          <w:spacing w:val="-39"/>
        </w:rPr>
        <w:t xml:space="preserve"> </w:t>
      </w:r>
      <w:r>
        <w:rPr>
          <w:rFonts w:ascii="Microsoft YaHei" w:hAnsi="Microsoft YaHei" w:eastAsia="Microsoft YaHei" w:cs="Microsoft YaHei"/>
          <w:sz w:val="21"/>
          <w:szCs w:val="21"/>
          <w:spacing w:val="3"/>
        </w:rPr>
        <w:t>电网调度机构以服务成本最小为原</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则进行排序</w:t>
      </w:r>
      <w:r>
        <w:rPr>
          <w:rFonts w:ascii="Microsoft YaHei" w:hAnsi="Microsoft YaHei" w:eastAsia="Microsoft YaHei" w:cs="Microsoft YaHei"/>
          <w:sz w:val="21"/>
          <w:szCs w:val="21"/>
          <w:spacing w:val="-33"/>
        </w:rPr>
        <w:t xml:space="preserve"> </w:t>
      </w:r>
      <w:r>
        <w:rPr>
          <w:rFonts w:ascii="Microsoft YaHei" w:hAnsi="Microsoft YaHei" w:eastAsia="Microsoft YaHei" w:cs="Microsoft YaHei"/>
          <w:sz w:val="21"/>
          <w:szCs w:val="21"/>
          <w:spacing w:val="2"/>
        </w:rPr>
        <w:t>，形成出清价格（即最低报价</w:t>
      </w:r>
      <w:r>
        <w:rPr>
          <w:rFonts w:ascii="Microsoft YaHei" w:hAnsi="Microsoft YaHei" w:eastAsia="Microsoft YaHei" w:cs="Microsoft YaHei"/>
          <w:sz w:val="21"/>
          <w:szCs w:val="21"/>
          <w:spacing w:val="-4"/>
        </w:rPr>
        <w:t>）</w:t>
      </w:r>
      <w:r>
        <w:rPr>
          <w:rFonts w:ascii="Microsoft YaHei" w:hAnsi="Microsoft YaHei" w:eastAsia="Microsoft YaHei" w:cs="Microsoft YaHei"/>
          <w:sz w:val="21"/>
          <w:szCs w:val="21"/>
          <w:spacing w:val="-19"/>
        </w:rPr>
        <w:t xml:space="preserve"> </w:t>
      </w:r>
      <w:r>
        <w:rPr>
          <w:rFonts w:ascii="Microsoft YaHei" w:hAnsi="Microsoft YaHei" w:eastAsia="Microsoft YaHei" w:cs="Microsoft YaHei"/>
          <w:sz w:val="21"/>
          <w:szCs w:val="21"/>
          <w:spacing w:val="-4"/>
        </w:rPr>
        <w:t>，</w:t>
      </w:r>
      <w:r>
        <w:rPr>
          <w:rFonts w:ascii="Microsoft YaHei" w:hAnsi="Microsoft YaHei" w:eastAsia="Microsoft YaHei" w:cs="Microsoft YaHei"/>
          <w:sz w:val="21"/>
          <w:szCs w:val="21"/>
          <w:spacing w:val="2"/>
        </w:rPr>
        <w:t>服务提供方按报价从低到高顺次中标</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在执行调频指令当日以出清价格结算。</w:t>
      </w:r>
    </w:p>
    <w:p>
      <w:pPr>
        <w:ind w:left="368"/>
        <w:spacing w:before="238" w:line="19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C0AE"/>
          <w:spacing w:val="-3"/>
        </w:rPr>
        <w:t>表 9 | 2021年各地区最新调频调峰辅助服务补偿定价</w:t>
      </w:r>
    </w:p>
    <w:p>
      <w:pPr>
        <w:spacing w:line="138" w:lineRule="exact"/>
        <w:rPr/>
      </w:pPr>
      <w:r/>
    </w:p>
    <w:tbl>
      <w:tblPr>
        <w:tblStyle w:val="TableNormal"/>
        <w:tblW w:w="9617" w:type="dxa"/>
        <w:tblInd w:w="363"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012"/>
        <w:gridCol w:w="1294"/>
        <w:gridCol w:w="5343"/>
        <w:gridCol w:w="1968"/>
      </w:tblGrid>
      <w:tr>
        <w:trPr>
          <w:trHeight w:val="429" w:hRule="atLeast"/>
        </w:trPr>
        <w:tc>
          <w:tcPr>
            <w:shd w:val="clear" w:fill="00C0AE"/>
            <w:tcW w:w="7649" w:type="dxa"/>
            <w:vAlign w:val="top"/>
            <w:gridSpan w:val="3"/>
            <w:tcBorders>
              <w:right w:val="single" w:color="A8A8A8" w:sz="2" w:space="0"/>
            </w:tcBorders>
          </w:tcPr>
          <w:p>
            <w:pPr>
              <w:pStyle w:val="TableText"/>
              <w:ind w:left="326"/>
              <w:spacing w:before="119" w:line="176" w:lineRule="auto"/>
              <w:rPr>
                <w:sz w:val="18"/>
                <w:szCs w:val="18"/>
              </w:rPr>
            </w:pPr>
            <w:r>
              <w:rPr>
                <w:sz w:val="18"/>
                <w:szCs w:val="18"/>
                <w:b/>
                <w:bCs/>
                <w:color w:val="FFFFFF"/>
                <w:spacing w:val="2"/>
              </w:rPr>
              <w:t>地区</w:t>
            </w:r>
            <w:r>
              <w:rPr>
                <w:sz w:val="18"/>
                <w:szCs w:val="18"/>
                <w:b/>
                <w:bCs/>
                <w:color w:val="FFFFFF"/>
                <w:spacing w:val="1"/>
              </w:rPr>
              <w:t xml:space="preserve">           </w:t>
            </w:r>
            <w:r>
              <w:rPr>
                <w:sz w:val="18"/>
                <w:szCs w:val="18"/>
                <w:b/>
                <w:bCs/>
                <w:color w:val="FFFFFF"/>
                <w:spacing w:val="2"/>
              </w:rPr>
              <w:t>服务类型                                    </w:t>
            </w:r>
            <w:r>
              <w:rPr>
                <w:sz w:val="18"/>
                <w:szCs w:val="18"/>
                <w:b/>
                <w:bCs/>
                <w:color w:val="FFFFFF"/>
                <w:spacing w:val="1"/>
              </w:rPr>
              <w:t xml:space="preserve">           准入门槛</w:t>
            </w:r>
          </w:p>
        </w:tc>
        <w:tc>
          <w:tcPr>
            <w:shd w:val="clear" w:fill="00C0AE"/>
            <w:tcW w:w="1968" w:type="dxa"/>
            <w:vAlign w:val="top"/>
            <w:tcBorders>
              <w:left w:val="single" w:color="A8A8A8" w:sz="2" w:space="0"/>
            </w:tcBorders>
          </w:tcPr>
          <w:p>
            <w:pPr>
              <w:pStyle w:val="TableText"/>
              <w:ind w:left="611"/>
              <w:spacing w:before="118" w:line="178" w:lineRule="auto"/>
              <w:rPr>
                <w:sz w:val="18"/>
                <w:szCs w:val="18"/>
              </w:rPr>
            </w:pPr>
            <w:r>
              <w:rPr>
                <w:sz w:val="18"/>
                <w:szCs w:val="18"/>
                <w:b/>
                <w:bCs/>
                <w:color w:val="FFFFFF"/>
                <w:spacing w:val="4"/>
              </w:rPr>
              <w:t>补偿定价</w:t>
            </w:r>
          </w:p>
        </w:tc>
      </w:tr>
      <w:tr>
        <w:trPr>
          <w:trHeight w:val="366" w:hRule="atLeast"/>
        </w:trPr>
        <w:tc>
          <w:tcPr>
            <w:tcW w:w="1012" w:type="dxa"/>
            <w:vAlign w:val="top"/>
            <w:vMerge w:val="restart"/>
            <w:tcBorders>
              <w:right w:val="single" w:color="A8A8A8" w:sz="2" w:space="0"/>
              <w:bottom w:val="nil"/>
            </w:tcBorders>
          </w:tcPr>
          <w:p>
            <w:pPr>
              <w:pStyle w:val="TableText"/>
              <w:ind w:left="327"/>
              <w:spacing w:before="270" w:line="179" w:lineRule="auto"/>
              <w:rPr>
                <w:sz w:val="18"/>
                <w:szCs w:val="18"/>
              </w:rPr>
            </w:pPr>
            <w:r>
              <w:rPr>
                <w:sz w:val="18"/>
                <w:szCs w:val="18"/>
                <w:b/>
                <w:bCs/>
                <w:color w:val="00C0AE"/>
                <w:spacing w:val="1"/>
              </w:rPr>
              <w:t>福建</w:t>
            </w:r>
          </w:p>
        </w:tc>
        <w:tc>
          <w:tcPr>
            <w:tcW w:w="1294" w:type="dxa"/>
            <w:vAlign w:val="top"/>
            <w:tcBorders>
              <w:left w:val="single" w:color="A8A8A8" w:sz="2" w:space="0"/>
              <w:bottom w:val="single" w:color="A8A8A8" w:sz="2" w:space="0"/>
              <w:right w:val="single" w:color="A8A8A8" w:sz="2" w:space="0"/>
            </w:tcBorders>
          </w:tcPr>
          <w:p>
            <w:pPr>
              <w:pStyle w:val="TableText"/>
              <w:ind w:left="216"/>
              <w:spacing w:before="88" w:line="176" w:lineRule="auto"/>
              <w:rPr>
                <w:sz w:val="12"/>
                <w:szCs w:val="12"/>
              </w:rPr>
            </w:pPr>
            <w:r>
              <w:rPr>
                <w:sz w:val="18"/>
                <w:szCs w:val="18"/>
                <w:spacing w:val="-5"/>
              </w:rPr>
              <w:t>AGC调频</w:t>
            </w:r>
            <w:r>
              <w:rPr>
                <w:sz w:val="12"/>
                <w:szCs w:val="12"/>
                <w:spacing w:val="-5"/>
                <w:position w:val="4"/>
              </w:rPr>
              <w:t>35</w:t>
            </w:r>
          </w:p>
        </w:tc>
        <w:tc>
          <w:tcPr>
            <w:tcW w:w="5343" w:type="dxa"/>
            <w:vAlign w:val="top"/>
            <w:tcBorders>
              <w:left w:val="single" w:color="A8A8A8" w:sz="2" w:space="0"/>
              <w:bottom w:val="single" w:color="A8A8A8" w:sz="2" w:space="0"/>
              <w:right w:val="single" w:color="A8A8A8" w:sz="2" w:space="0"/>
            </w:tcBorders>
          </w:tcPr>
          <w:p>
            <w:pPr>
              <w:pStyle w:val="TableText"/>
              <w:ind w:left="110"/>
              <w:spacing w:before="86" w:line="178" w:lineRule="auto"/>
              <w:rPr>
                <w:sz w:val="18"/>
                <w:szCs w:val="18"/>
              </w:rPr>
            </w:pPr>
            <w:r>
              <w:rPr>
                <w:sz w:val="18"/>
                <w:szCs w:val="18"/>
                <w:spacing w:val="-2"/>
              </w:rPr>
              <w:t>储能设备、储能电站容量不少于10MW</w:t>
            </w:r>
          </w:p>
        </w:tc>
        <w:tc>
          <w:tcPr>
            <w:tcW w:w="1968" w:type="dxa"/>
            <w:vAlign w:val="top"/>
            <w:tcBorders>
              <w:left w:val="single" w:color="A8A8A8" w:sz="2" w:space="0"/>
              <w:bottom w:val="single" w:color="A8A8A8" w:sz="2" w:space="0"/>
            </w:tcBorders>
          </w:tcPr>
          <w:p>
            <w:pPr>
              <w:pStyle w:val="TableText"/>
              <w:ind w:left="360"/>
              <w:spacing w:before="96" w:line="185" w:lineRule="auto"/>
              <w:rPr>
                <w:sz w:val="18"/>
                <w:szCs w:val="18"/>
              </w:rPr>
            </w:pPr>
            <w:r>
              <w:rPr>
                <w:sz w:val="18"/>
                <w:szCs w:val="18"/>
                <w:spacing w:val="-6"/>
              </w:rPr>
              <w:t>0.1元-12元/MW</w:t>
            </w:r>
          </w:p>
        </w:tc>
      </w:tr>
      <w:tr>
        <w:trPr>
          <w:trHeight w:val="361" w:hRule="atLeast"/>
        </w:trPr>
        <w:tc>
          <w:tcPr>
            <w:tcW w:w="1012" w:type="dxa"/>
            <w:vAlign w:val="top"/>
            <w:vMerge w:val="continue"/>
            <w:tcBorders>
              <w:right w:val="single" w:color="A8A8A8" w:sz="2" w:space="0"/>
              <w:top w:val="nil"/>
            </w:tcBorders>
          </w:tcPr>
          <w:p>
            <w:pPr>
              <w:rPr>
                <w:rFonts w:ascii="Arial"/>
                <w:sz w:val="21"/>
              </w:rPr>
            </w:pPr>
            <w:r/>
          </w:p>
        </w:tc>
        <w:tc>
          <w:tcPr>
            <w:tcW w:w="1294" w:type="dxa"/>
            <w:vAlign w:val="top"/>
            <w:tcBorders>
              <w:left w:val="single" w:color="A8A8A8" w:sz="2" w:space="0"/>
              <w:right w:val="single" w:color="A8A8A8" w:sz="2" w:space="0"/>
              <w:top w:val="single" w:color="A8A8A8" w:sz="2" w:space="0"/>
            </w:tcBorders>
          </w:tcPr>
          <w:p>
            <w:pPr>
              <w:pStyle w:val="TableText"/>
              <w:ind w:left="469"/>
              <w:spacing w:before="83" w:line="177" w:lineRule="auto"/>
              <w:rPr>
                <w:sz w:val="18"/>
                <w:szCs w:val="18"/>
              </w:rPr>
            </w:pPr>
            <w:r>
              <w:rPr>
                <w:sz w:val="18"/>
                <w:szCs w:val="18"/>
                <w:spacing w:val="-1"/>
              </w:rPr>
              <w:t>调峰</w:t>
            </w:r>
          </w:p>
        </w:tc>
        <w:tc>
          <w:tcPr>
            <w:tcW w:w="5343" w:type="dxa"/>
            <w:vAlign w:val="top"/>
            <w:tcBorders>
              <w:left w:val="single" w:color="A8A8A8" w:sz="2" w:space="0"/>
              <w:right w:val="single" w:color="A8A8A8" w:sz="2" w:space="0"/>
              <w:top w:val="single" w:color="A8A8A8" w:sz="2" w:space="0"/>
            </w:tcBorders>
          </w:tcPr>
          <w:p>
            <w:pPr>
              <w:pStyle w:val="TableText"/>
              <w:ind w:left="113"/>
              <w:spacing w:before="81" w:line="192" w:lineRule="auto"/>
              <w:rPr>
                <w:sz w:val="18"/>
                <w:szCs w:val="18"/>
              </w:rPr>
            </w:pPr>
            <w:r>
              <w:rPr>
                <w:sz w:val="18"/>
                <w:szCs w:val="18"/>
                <w:spacing w:val="-6"/>
              </w:rPr>
              <w:t>参与调峰交易的储能规模不小于10MW/40MWh</w:t>
            </w:r>
          </w:p>
        </w:tc>
        <w:tc>
          <w:tcPr>
            <w:tcW w:w="1968" w:type="dxa"/>
            <w:vAlign w:val="top"/>
            <w:tcBorders>
              <w:left w:val="single" w:color="A8A8A8" w:sz="2" w:space="0"/>
              <w:top w:val="single" w:color="A8A8A8" w:sz="2" w:space="0"/>
            </w:tcBorders>
          </w:tcPr>
          <w:p>
            <w:pPr>
              <w:pStyle w:val="TableText"/>
              <w:ind w:left="959"/>
              <w:spacing w:before="180" w:line="143" w:lineRule="exact"/>
              <w:rPr>
                <w:sz w:val="18"/>
                <w:szCs w:val="18"/>
              </w:rPr>
            </w:pPr>
            <w:r>
              <w:rPr>
                <w:sz w:val="18"/>
                <w:szCs w:val="18"/>
                <w:position w:val="-1"/>
              </w:rPr>
              <w:t>-</w:t>
            </w:r>
          </w:p>
        </w:tc>
      </w:tr>
      <w:tr>
        <w:trPr>
          <w:trHeight w:val="732" w:hRule="atLeast"/>
        </w:trPr>
        <w:tc>
          <w:tcPr>
            <w:shd w:val="clear" w:fill="F1F1F1"/>
            <w:tcW w:w="1012" w:type="dxa"/>
            <w:vAlign w:val="top"/>
            <w:tcBorders>
              <w:right w:val="single" w:color="A8A8A8" w:sz="2" w:space="0"/>
            </w:tcBorders>
          </w:tcPr>
          <w:p>
            <w:pPr>
              <w:pStyle w:val="TableText"/>
              <w:ind w:left="335"/>
              <w:spacing w:before="268" w:line="181" w:lineRule="auto"/>
              <w:rPr>
                <w:sz w:val="18"/>
                <w:szCs w:val="18"/>
              </w:rPr>
            </w:pPr>
            <w:r>
              <w:rPr>
                <w:sz w:val="18"/>
                <w:szCs w:val="18"/>
                <w:b/>
                <w:bCs/>
                <w:color w:val="00C0AE"/>
                <w:spacing w:val="-2"/>
              </w:rPr>
              <w:t>青海</w:t>
            </w:r>
          </w:p>
        </w:tc>
        <w:tc>
          <w:tcPr>
            <w:shd w:val="clear" w:fill="F1F1F1"/>
            <w:tcW w:w="1294" w:type="dxa"/>
            <w:vAlign w:val="top"/>
            <w:tcBorders>
              <w:left w:val="single" w:color="A8A8A8" w:sz="2" w:space="0"/>
              <w:right w:val="single" w:color="A8A8A8" w:sz="2" w:space="0"/>
            </w:tcBorders>
          </w:tcPr>
          <w:p>
            <w:pPr>
              <w:pStyle w:val="TableText"/>
              <w:ind w:left="469"/>
              <w:spacing w:before="271" w:line="177" w:lineRule="auto"/>
              <w:rPr>
                <w:sz w:val="18"/>
                <w:szCs w:val="18"/>
              </w:rPr>
            </w:pPr>
            <w:r>
              <w:rPr>
                <w:sz w:val="18"/>
                <w:szCs w:val="18"/>
                <w:spacing w:val="-1"/>
              </w:rPr>
              <w:t>调峰</w:t>
            </w:r>
          </w:p>
        </w:tc>
        <w:tc>
          <w:tcPr>
            <w:shd w:val="clear" w:fill="F1F1F1"/>
            <w:tcW w:w="5343" w:type="dxa"/>
            <w:vAlign w:val="top"/>
            <w:tcBorders>
              <w:left w:val="single" w:color="A8A8A8" w:sz="2" w:space="0"/>
              <w:right w:val="single" w:color="A8A8A8" w:sz="2" w:space="0"/>
            </w:tcBorders>
          </w:tcPr>
          <w:p>
            <w:pPr>
              <w:pStyle w:val="TableText"/>
              <w:ind w:left="112" w:right="211" w:hanging="2"/>
              <w:spacing w:before="162" w:line="173" w:lineRule="auto"/>
              <w:rPr>
                <w:sz w:val="18"/>
                <w:szCs w:val="18"/>
              </w:rPr>
            </w:pPr>
            <w:r>
              <w:rPr>
                <w:sz w:val="18"/>
                <w:szCs w:val="18"/>
                <w:spacing w:val="-2"/>
              </w:rPr>
              <w:t>储能电站准入条件要求充电功率在10MW及以上、持续充电时间</w:t>
            </w:r>
            <w:r>
              <w:rPr>
                <w:sz w:val="18"/>
                <w:szCs w:val="18"/>
                <w:spacing w:val="2"/>
              </w:rPr>
              <w:t xml:space="preserve"> </w:t>
            </w:r>
            <w:r>
              <w:rPr>
                <w:sz w:val="18"/>
                <w:szCs w:val="18"/>
              </w:rPr>
              <w:t>在2小时及以上</w:t>
            </w:r>
          </w:p>
        </w:tc>
        <w:tc>
          <w:tcPr>
            <w:shd w:val="clear" w:fill="F1F1F1"/>
            <w:tcW w:w="1968" w:type="dxa"/>
            <w:vAlign w:val="top"/>
            <w:tcBorders>
              <w:left w:val="single" w:color="A8A8A8" w:sz="2" w:space="0"/>
            </w:tcBorders>
          </w:tcPr>
          <w:p>
            <w:pPr>
              <w:pStyle w:val="TableText"/>
              <w:ind w:left="552"/>
              <w:spacing w:before="278" w:line="186" w:lineRule="auto"/>
              <w:rPr>
                <w:sz w:val="18"/>
                <w:szCs w:val="18"/>
              </w:rPr>
            </w:pPr>
            <w:r>
              <w:rPr>
                <w:sz w:val="18"/>
                <w:szCs w:val="18"/>
                <w:spacing w:val="-4"/>
              </w:rPr>
              <w:t>0.5元/kWh</w:t>
            </w:r>
          </w:p>
        </w:tc>
      </w:tr>
      <w:tr>
        <w:trPr>
          <w:trHeight w:val="366" w:hRule="atLeast"/>
        </w:trPr>
        <w:tc>
          <w:tcPr>
            <w:tcW w:w="1012" w:type="dxa"/>
            <w:vAlign w:val="top"/>
            <w:tcBorders>
              <w:right w:val="single" w:color="A8A8A8" w:sz="2" w:space="0"/>
            </w:tcBorders>
          </w:tcPr>
          <w:p>
            <w:pPr>
              <w:pStyle w:val="TableText"/>
              <w:ind w:left="330"/>
              <w:spacing w:before="86" w:line="180" w:lineRule="auto"/>
              <w:rPr>
                <w:sz w:val="18"/>
                <w:szCs w:val="18"/>
              </w:rPr>
            </w:pPr>
            <w:r>
              <w:rPr>
                <w:sz w:val="18"/>
                <w:szCs w:val="18"/>
                <w:b/>
                <w:bCs/>
                <w:color w:val="00C0AE"/>
                <w:spacing w:val="-1"/>
              </w:rPr>
              <w:t>湖南</w:t>
            </w:r>
          </w:p>
        </w:tc>
        <w:tc>
          <w:tcPr>
            <w:tcW w:w="1294" w:type="dxa"/>
            <w:vAlign w:val="top"/>
            <w:tcBorders>
              <w:left w:val="single" w:color="A8A8A8" w:sz="2" w:space="0"/>
              <w:right w:val="single" w:color="A8A8A8" w:sz="2" w:space="0"/>
            </w:tcBorders>
          </w:tcPr>
          <w:p>
            <w:pPr>
              <w:pStyle w:val="TableText"/>
              <w:ind w:left="469"/>
              <w:spacing w:before="88" w:line="177" w:lineRule="auto"/>
              <w:rPr>
                <w:sz w:val="18"/>
                <w:szCs w:val="18"/>
              </w:rPr>
            </w:pPr>
            <w:r>
              <w:rPr>
                <w:sz w:val="18"/>
                <w:szCs w:val="18"/>
                <w:spacing w:val="-1"/>
              </w:rPr>
              <w:t>调峰</w:t>
            </w:r>
          </w:p>
        </w:tc>
        <w:tc>
          <w:tcPr>
            <w:tcW w:w="5343" w:type="dxa"/>
            <w:vAlign w:val="top"/>
            <w:tcBorders>
              <w:left w:val="single" w:color="A8A8A8" w:sz="2" w:space="0"/>
              <w:right w:val="single" w:color="A8A8A8" w:sz="2" w:space="0"/>
            </w:tcBorders>
          </w:tcPr>
          <w:p>
            <w:pPr>
              <w:pStyle w:val="TableText"/>
              <w:ind w:left="112"/>
              <w:spacing w:before="87" w:line="178" w:lineRule="auto"/>
              <w:rPr>
                <w:sz w:val="18"/>
                <w:szCs w:val="18"/>
              </w:rPr>
            </w:pPr>
            <w:r>
              <w:rPr>
                <w:sz w:val="18"/>
                <w:szCs w:val="18"/>
                <w:spacing w:val="-6"/>
              </w:rPr>
              <w:t>装机容量10MW及以上</w:t>
            </w:r>
          </w:p>
        </w:tc>
        <w:tc>
          <w:tcPr>
            <w:tcW w:w="1968" w:type="dxa"/>
            <w:vAlign w:val="top"/>
            <w:tcBorders>
              <w:left w:val="single" w:color="A8A8A8" w:sz="2" w:space="0"/>
            </w:tcBorders>
          </w:tcPr>
          <w:p>
            <w:pPr>
              <w:pStyle w:val="TableText"/>
              <w:ind w:left="341"/>
              <w:spacing w:before="95" w:line="186" w:lineRule="auto"/>
              <w:rPr>
                <w:sz w:val="18"/>
                <w:szCs w:val="18"/>
              </w:rPr>
            </w:pPr>
            <w:r>
              <w:rPr>
                <w:sz w:val="18"/>
                <w:szCs w:val="18"/>
                <w:spacing w:val="-4"/>
              </w:rPr>
              <w:t>0.45-0.6元/kWh</w:t>
            </w:r>
          </w:p>
        </w:tc>
      </w:tr>
      <w:tr>
        <w:trPr>
          <w:trHeight w:val="923" w:hRule="atLeast"/>
        </w:trPr>
        <w:tc>
          <w:tcPr>
            <w:shd w:val="clear" w:fill="F1F1F1"/>
            <w:tcW w:w="1012" w:type="dxa"/>
            <w:vAlign w:val="top"/>
            <w:tcBorders>
              <w:right w:val="single" w:color="A8A8A8" w:sz="2" w:space="0"/>
            </w:tcBorders>
          </w:tcPr>
          <w:p>
            <w:pPr>
              <w:spacing w:line="284" w:lineRule="auto"/>
              <w:rPr>
                <w:rFonts w:ascii="Arial"/>
                <w:sz w:val="21"/>
              </w:rPr>
            </w:pPr>
            <w:r/>
          </w:p>
          <w:p>
            <w:pPr>
              <w:pStyle w:val="TableText"/>
              <w:ind w:left="342"/>
              <w:spacing w:before="78" w:line="181" w:lineRule="auto"/>
              <w:rPr>
                <w:sz w:val="18"/>
                <w:szCs w:val="18"/>
              </w:rPr>
            </w:pPr>
            <w:r>
              <w:rPr>
                <w:sz w:val="18"/>
                <w:szCs w:val="18"/>
                <w:b/>
                <w:bCs/>
                <w:color w:val="00C0AE"/>
                <w:spacing w:val="-4"/>
              </w:rPr>
              <w:t>山东</w:t>
            </w:r>
          </w:p>
        </w:tc>
        <w:tc>
          <w:tcPr>
            <w:shd w:val="clear" w:fill="F1F1F1"/>
            <w:tcW w:w="1294" w:type="dxa"/>
            <w:vAlign w:val="top"/>
            <w:tcBorders>
              <w:left w:val="single" w:color="A8A8A8" w:sz="2" w:space="0"/>
              <w:right w:val="single" w:color="A8A8A8" w:sz="2" w:space="0"/>
            </w:tcBorders>
          </w:tcPr>
          <w:p>
            <w:pPr>
              <w:pStyle w:val="TableText"/>
              <w:ind w:left="469"/>
              <w:spacing w:before="184" w:line="177" w:lineRule="auto"/>
              <w:rPr>
                <w:sz w:val="18"/>
                <w:szCs w:val="18"/>
              </w:rPr>
            </w:pPr>
            <w:r>
              <w:pict>
                <v:shape id="_x0000_s946" style="position:absolute;margin-left:-64.6837pt;margin-top:27.7714pt;mso-position-vertical-relative:top-margin-area;mso-position-horizontal-relative:right-margin-area;width:64.95pt;height:0.25pt;z-index:252605440;" filled="false" strokecolor="#A8A8A8" strokeweight="0.25pt" coordsize="1298,5" coordorigin="0,0" path="m0,2l1298,2e">
                  <v:stroke miterlimit="10"/>
                </v:shape>
              </w:pict>
            </w:r>
            <w:r>
              <w:rPr>
                <w:sz w:val="18"/>
                <w:szCs w:val="18"/>
                <w:spacing w:val="-1"/>
              </w:rPr>
              <w:t>调峰</w:t>
            </w:r>
          </w:p>
          <w:p>
            <w:pPr>
              <w:pStyle w:val="TableText"/>
              <w:ind w:left="283"/>
              <w:spacing w:before="233" w:line="176" w:lineRule="auto"/>
              <w:rPr>
                <w:sz w:val="18"/>
                <w:szCs w:val="18"/>
              </w:rPr>
            </w:pPr>
            <w:r>
              <w:rPr>
                <w:sz w:val="18"/>
                <w:szCs w:val="18"/>
                <w:spacing w:val="-6"/>
              </w:rPr>
              <w:t>AGC调频</w:t>
            </w:r>
          </w:p>
        </w:tc>
        <w:tc>
          <w:tcPr>
            <w:shd w:val="clear" w:fill="F1F1F1"/>
            <w:tcW w:w="5343" w:type="dxa"/>
            <w:vAlign w:val="top"/>
            <w:tcBorders>
              <w:left w:val="single" w:color="A8A8A8" w:sz="2" w:space="0"/>
              <w:right w:val="single" w:color="A8A8A8" w:sz="2" w:space="0"/>
            </w:tcBorders>
          </w:tcPr>
          <w:p>
            <w:pPr>
              <w:spacing w:line="287" w:lineRule="auto"/>
              <w:rPr>
                <w:rFonts w:ascii="Arial"/>
                <w:sz w:val="21"/>
              </w:rPr>
            </w:pPr>
            <w:r/>
          </w:p>
          <w:p>
            <w:pPr>
              <w:pStyle w:val="TableText"/>
              <w:ind w:left="115"/>
              <w:spacing w:before="77" w:line="191" w:lineRule="auto"/>
              <w:rPr>
                <w:sz w:val="18"/>
                <w:szCs w:val="18"/>
              </w:rPr>
            </w:pPr>
            <w:r>
              <w:rPr>
                <w:sz w:val="18"/>
                <w:szCs w:val="18"/>
                <w:spacing w:val="-11"/>
              </w:rPr>
              <w:t>暂定为5MW/10MWh</w:t>
            </w:r>
          </w:p>
        </w:tc>
        <w:tc>
          <w:tcPr>
            <w:shd w:val="clear" w:fill="F1F1F1"/>
            <w:tcW w:w="1968" w:type="dxa"/>
            <w:vAlign w:val="top"/>
            <w:tcBorders>
              <w:left w:val="single" w:color="A8A8A8" w:sz="2" w:space="0"/>
            </w:tcBorders>
          </w:tcPr>
          <w:p>
            <w:pPr>
              <w:pStyle w:val="TableText"/>
              <w:ind w:left="499"/>
              <w:spacing w:before="83" w:line="162" w:lineRule="auto"/>
              <w:rPr>
                <w:sz w:val="18"/>
                <w:szCs w:val="18"/>
              </w:rPr>
            </w:pPr>
            <w:r>
              <w:pict>
                <v:shape id="_x0000_s948" style="position:absolute;margin-left:-98.539pt;margin-top:27.7714pt;mso-position-vertical-relative:top-margin-area;mso-position-horizontal-relative:right-margin-area;width:98.55pt;height:0.25pt;z-index:252604416;" filled="false" strokecolor="#A8A8A8" strokeweight="0.25pt" coordsize="1971,5" coordorigin="0,0" path="m0,2l1970,2e">
                  <v:stroke miterlimit="10"/>
                </v:shape>
              </w:pict>
            </w:r>
            <w:r>
              <w:rPr>
                <w:sz w:val="18"/>
                <w:szCs w:val="18"/>
                <w:spacing w:val="-4"/>
              </w:rPr>
              <w:t>0.15元/kWh</w:t>
            </w:r>
          </w:p>
          <w:p>
            <w:pPr>
              <w:pStyle w:val="TableText"/>
              <w:ind w:left="138"/>
              <w:spacing w:line="191" w:lineRule="auto"/>
              <w:rPr>
                <w:sz w:val="18"/>
                <w:szCs w:val="18"/>
              </w:rPr>
            </w:pPr>
            <w:r>
              <w:rPr>
                <w:sz w:val="18"/>
                <w:szCs w:val="18"/>
                <w:spacing w:val="-2"/>
              </w:rPr>
              <w:t>特殊情况0.40元/kWh</w:t>
            </w:r>
          </w:p>
          <w:p>
            <w:pPr>
              <w:pStyle w:val="TableText"/>
              <w:ind w:left="576"/>
              <w:spacing w:before="116" w:line="185" w:lineRule="auto"/>
              <w:rPr>
                <w:sz w:val="18"/>
                <w:szCs w:val="18"/>
              </w:rPr>
            </w:pPr>
            <w:r>
              <w:rPr>
                <w:sz w:val="18"/>
                <w:szCs w:val="18"/>
                <w:spacing w:val="-10"/>
              </w:rPr>
              <w:t>0-6元/MW</w:t>
            </w:r>
          </w:p>
        </w:tc>
      </w:tr>
      <w:tr>
        <w:trPr>
          <w:trHeight w:val="366" w:hRule="atLeast"/>
        </w:trPr>
        <w:tc>
          <w:tcPr>
            <w:tcW w:w="1012" w:type="dxa"/>
            <w:vAlign w:val="top"/>
            <w:tcBorders>
              <w:right w:val="single" w:color="A8A8A8" w:sz="2" w:space="0"/>
            </w:tcBorders>
          </w:tcPr>
          <w:p>
            <w:pPr>
              <w:pStyle w:val="TableText"/>
              <w:ind w:left="330"/>
              <w:spacing w:before="85" w:line="182" w:lineRule="auto"/>
              <w:rPr>
                <w:sz w:val="18"/>
                <w:szCs w:val="18"/>
              </w:rPr>
            </w:pPr>
            <w:r>
              <w:rPr>
                <w:sz w:val="18"/>
                <w:szCs w:val="18"/>
                <w:b/>
                <w:bCs/>
                <w:color w:val="00C0AE"/>
                <w:spacing w:val="-1"/>
              </w:rPr>
              <w:t>广东</w:t>
            </w:r>
          </w:p>
        </w:tc>
        <w:tc>
          <w:tcPr>
            <w:tcW w:w="1294" w:type="dxa"/>
            <w:vAlign w:val="top"/>
            <w:tcBorders>
              <w:left w:val="single" w:color="A8A8A8" w:sz="2" w:space="0"/>
              <w:right w:val="single" w:color="A8A8A8" w:sz="2" w:space="0"/>
            </w:tcBorders>
          </w:tcPr>
          <w:p>
            <w:pPr>
              <w:pStyle w:val="TableText"/>
              <w:ind w:left="284"/>
              <w:spacing w:before="89" w:line="176" w:lineRule="auto"/>
              <w:rPr>
                <w:sz w:val="18"/>
                <w:szCs w:val="18"/>
              </w:rPr>
            </w:pPr>
            <w:r>
              <w:rPr>
                <w:sz w:val="18"/>
                <w:szCs w:val="18"/>
                <w:spacing w:val="-6"/>
              </w:rPr>
              <w:t>AGC调频</w:t>
            </w:r>
          </w:p>
        </w:tc>
        <w:tc>
          <w:tcPr>
            <w:tcW w:w="5343" w:type="dxa"/>
            <w:vAlign w:val="top"/>
            <w:tcBorders>
              <w:left w:val="single" w:color="A8A8A8" w:sz="2" w:space="0"/>
              <w:right w:val="single" w:color="A8A8A8" w:sz="2" w:space="0"/>
            </w:tcBorders>
          </w:tcPr>
          <w:p>
            <w:pPr>
              <w:pStyle w:val="TableText"/>
              <w:ind w:left="113"/>
              <w:spacing w:before="186" w:line="143" w:lineRule="exact"/>
              <w:rPr>
                <w:sz w:val="18"/>
                <w:szCs w:val="18"/>
              </w:rPr>
            </w:pPr>
            <w:r>
              <w:rPr>
                <w:sz w:val="18"/>
                <w:szCs w:val="18"/>
                <w:position w:val="-1"/>
              </w:rPr>
              <w:t>-</w:t>
            </w:r>
          </w:p>
        </w:tc>
        <w:tc>
          <w:tcPr>
            <w:tcW w:w="1968" w:type="dxa"/>
            <w:vAlign w:val="top"/>
            <w:tcBorders>
              <w:left w:val="single" w:color="A8A8A8" w:sz="2" w:space="0"/>
            </w:tcBorders>
          </w:tcPr>
          <w:p>
            <w:pPr>
              <w:pStyle w:val="TableText"/>
              <w:ind w:left="529"/>
              <w:spacing w:before="97" w:line="185" w:lineRule="auto"/>
              <w:rPr>
                <w:sz w:val="18"/>
                <w:szCs w:val="18"/>
              </w:rPr>
            </w:pPr>
            <w:r>
              <w:rPr>
                <w:sz w:val="18"/>
                <w:szCs w:val="18"/>
                <w:spacing w:val="-9"/>
              </w:rPr>
              <w:t>6-15元/MW</w:t>
            </w:r>
          </w:p>
        </w:tc>
      </w:tr>
      <w:tr>
        <w:trPr>
          <w:trHeight w:val="366" w:hRule="atLeast"/>
        </w:trPr>
        <w:tc>
          <w:tcPr>
            <w:shd w:val="clear" w:fill="F1F1F1"/>
            <w:tcW w:w="1012" w:type="dxa"/>
            <w:vAlign w:val="top"/>
            <w:tcBorders>
              <w:right w:val="single" w:color="A8A8A8" w:sz="2" w:space="0"/>
            </w:tcBorders>
          </w:tcPr>
          <w:p>
            <w:pPr>
              <w:pStyle w:val="TableText"/>
              <w:ind w:left="330"/>
              <w:spacing w:before="86" w:line="179" w:lineRule="auto"/>
              <w:rPr>
                <w:sz w:val="18"/>
                <w:szCs w:val="18"/>
              </w:rPr>
            </w:pPr>
            <w:r>
              <w:rPr>
                <w:sz w:val="18"/>
                <w:szCs w:val="18"/>
                <w:b/>
                <w:bCs/>
                <w:color w:val="00C0AE"/>
                <w:spacing w:val="-1"/>
              </w:rPr>
              <w:t>新疆</w:t>
            </w:r>
          </w:p>
        </w:tc>
        <w:tc>
          <w:tcPr>
            <w:shd w:val="clear" w:fill="F1F1F1"/>
            <w:tcW w:w="1294" w:type="dxa"/>
            <w:vAlign w:val="top"/>
            <w:tcBorders>
              <w:left w:val="single" w:color="A8A8A8" w:sz="2" w:space="0"/>
              <w:right w:val="single" w:color="A8A8A8" w:sz="2" w:space="0"/>
            </w:tcBorders>
          </w:tcPr>
          <w:p>
            <w:pPr>
              <w:pStyle w:val="TableText"/>
              <w:ind w:left="470"/>
              <w:spacing w:before="89" w:line="177" w:lineRule="auto"/>
              <w:rPr>
                <w:sz w:val="18"/>
                <w:szCs w:val="18"/>
              </w:rPr>
            </w:pPr>
            <w:r>
              <w:rPr>
                <w:sz w:val="18"/>
                <w:szCs w:val="18"/>
                <w:spacing w:val="-1"/>
              </w:rPr>
              <w:t>调峰</w:t>
            </w:r>
          </w:p>
        </w:tc>
        <w:tc>
          <w:tcPr>
            <w:shd w:val="clear" w:fill="F1F1F1"/>
            <w:tcW w:w="5343" w:type="dxa"/>
            <w:vAlign w:val="top"/>
            <w:tcBorders>
              <w:left w:val="single" w:color="A8A8A8" w:sz="2" w:space="0"/>
              <w:right w:val="single" w:color="A8A8A8" w:sz="2" w:space="0"/>
            </w:tcBorders>
          </w:tcPr>
          <w:p>
            <w:pPr>
              <w:pStyle w:val="TableText"/>
              <w:ind w:left="114"/>
              <w:spacing w:before="186" w:line="143" w:lineRule="exact"/>
              <w:rPr>
                <w:sz w:val="18"/>
                <w:szCs w:val="18"/>
              </w:rPr>
            </w:pPr>
            <w:r>
              <w:rPr>
                <w:sz w:val="18"/>
                <w:szCs w:val="18"/>
                <w:position w:val="-1"/>
              </w:rPr>
              <w:t>-</w:t>
            </w:r>
          </w:p>
        </w:tc>
        <w:tc>
          <w:tcPr>
            <w:shd w:val="clear" w:fill="F1F1F1"/>
            <w:tcW w:w="1968" w:type="dxa"/>
            <w:vAlign w:val="top"/>
            <w:tcBorders>
              <w:left w:val="single" w:color="A8A8A8" w:sz="2" w:space="0"/>
            </w:tcBorders>
          </w:tcPr>
          <w:p>
            <w:pPr>
              <w:pStyle w:val="TableText"/>
              <w:ind w:left="499"/>
              <w:spacing w:before="96" w:line="186" w:lineRule="auto"/>
              <w:rPr>
                <w:sz w:val="18"/>
                <w:szCs w:val="18"/>
              </w:rPr>
            </w:pPr>
            <w:r>
              <w:rPr>
                <w:sz w:val="18"/>
                <w:szCs w:val="18"/>
                <w:spacing w:val="-4"/>
              </w:rPr>
              <w:t>0.55元/kWh</w:t>
            </w:r>
          </w:p>
        </w:tc>
      </w:tr>
      <w:tr>
        <w:trPr>
          <w:trHeight w:val="366" w:hRule="atLeast"/>
        </w:trPr>
        <w:tc>
          <w:tcPr>
            <w:tcW w:w="1012" w:type="dxa"/>
            <w:vAlign w:val="top"/>
            <w:tcBorders>
              <w:right w:val="single" w:color="A8A8A8" w:sz="2" w:space="0"/>
            </w:tcBorders>
          </w:tcPr>
          <w:p>
            <w:pPr>
              <w:pStyle w:val="TableText"/>
              <w:ind w:left="153"/>
              <w:spacing w:before="86" w:line="181" w:lineRule="auto"/>
              <w:rPr>
                <w:sz w:val="18"/>
                <w:szCs w:val="18"/>
              </w:rPr>
            </w:pPr>
            <w:r>
              <w:rPr>
                <w:sz w:val="18"/>
                <w:szCs w:val="18"/>
                <w:b/>
                <w:bCs/>
                <w:color w:val="00C0AE"/>
                <w:spacing w:val="-1"/>
              </w:rPr>
              <w:t>东北三省</w:t>
            </w:r>
          </w:p>
        </w:tc>
        <w:tc>
          <w:tcPr>
            <w:tcW w:w="1294" w:type="dxa"/>
            <w:vAlign w:val="top"/>
            <w:tcBorders>
              <w:left w:val="single" w:color="A8A8A8" w:sz="2" w:space="0"/>
              <w:right w:val="single" w:color="A8A8A8" w:sz="2" w:space="0"/>
            </w:tcBorders>
          </w:tcPr>
          <w:p>
            <w:pPr>
              <w:pStyle w:val="TableText"/>
              <w:ind w:left="286"/>
              <w:spacing w:before="88" w:line="177" w:lineRule="auto"/>
              <w:rPr>
                <w:sz w:val="18"/>
                <w:szCs w:val="18"/>
              </w:rPr>
            </w:pPr>
            <w:r>
              <w:rPr>
                <w:sz w:val="18"/>
                <w:szCs w:val="18"/>
              </w:rPr>
              <w:t>深度调峰</w:t>
            </w:r>
          </w:p>
        </w:tc>
        <w:tc>
          <w:tcPr>
            <w:tcW w:w="5343" w:type="dxa"/>
            <w:vAlign w:val="top"/>
            <w:tcBorders>
              <w:left w:val="single" w:color="A8A8A8" w:sz="2" w:space="0"/>
              <w:right w:val="single" w:color="A8A8A8" w:sz="2" w:space="0"/>
            </w:tcBorders>
          </w:tcPr>
          <w:p>
            <w:pPr>
              <w:pStyle w:val="TableText"/>
              <w:ind w:left="113"/>
              <w:spacing w:before="89" w:line="191" w:lineRule="auto"/>
              <w:rPr>
                <w:sz w:val="18"/>
                <w:szCs w:val="18"/>
              </w:rPr>
            </w:pPr>
            <w:r>
              <w:rPr>
                <w:sz w:val="18"/>
                <w:szCs w:val="18"/>
                <w:spacing w:val="-9"/>
              </w:rPr>
              <w:t>装机规模10MW/40MWh以上</w:t>
            </w:r>
          </w:p>
        </w:tc>
        <w:tc>
          <w:tcPr>
            <w:tcW w:w="1968" w:type="dxa"/>
            <w:vAlign w:val="top"/>
            <w:tcBorders>
              <w:left w:val="single" w:color="A8A8A8" w:sz="2" w:space="0"/>
            </w:tcBorders>
          </w:tcPr>
          <w:p>
            <w:pPr>
              <w:pStyle w:val="TableText"/>
              <w:ind w:left="470"/>
              <w:spacing w:before="96" w:line="186" w:lineRule="auto"/>
              <w:rPr>
                <w:sz w:val="18"/>
                <w:szCs w:val="18"/>
              </w:rPr>
            </w:pPr>
            <w:r>
              <w:rPr>
                <w:sz w:val="18"/>
                <w:szCs w:val="18"/>
                <w:spacing w:val="-5"/>
              </w:rPr>
              <w:t>0.4-1元/kWh</w:t>
            </w:r>
          </w:p>
        </w:tc>
      </w:tr>
      <w:tr>
        <w:trPr>
          <w:trHeight w:val="366" w:hRule="atLeast"/>
        </w:trPr>
        <w:tc>
          <w:tcPr>
            <w:shd w:val="clear" w:fill="F1F1F1"/>
            <w:tcW w:w="1012" w:type="dxa"/>
            <w:vAlign w:val="top"/>
            <w:tcBorders>
              <w:right w:val="single" w:color="A8A8A8" w:sz="2" w:space="0"/>
            </w:tcBorders>
          </w:tcPr>
          <w:p>
            <w:pPr>
              <w:pStyle w:val="TableText"/>
              <w:ind w:left="336"/>
              <w:spacing w:before="87" w:line="180" w:lineRule="auto"/>
              <w:rPr>
                <w:sz w:val="18"/>
                <w:szCs w:val="18"/>
              </w:rPr>
            </w:pPr>
            <w:r>
              <w:rPr>
                <w:sz w:val="18"/>
                <w:szCs w:val="18"/>
                <w:b/>
                <w:bCs/>
                <w:color w:val="00C0AE"/>
                <w:spacing w:val="-2"/>
              </w:rPr>
              <w:t>安徽</w:t>
            </w:r>
          </w:p>
        </w:tc>
        <w:tc>
          <w:tcPr>
            <w:shd w:val="clear" w:fill="F1F1F1"/>
            <w:tcW w:w="1294" w:type="dxa"/>
            <w:vAlign w:val="top"/>
            <w:tcBorders>
              <w:left w:val="single" w:color="A8A8A8" w:sz="2" w:space="0"/>
              <w:right w:val="single" w:color="A8A8A8" w:sz="2" w:space="0"/>
            </w:tcBorders>
          </w:tcPr>
          <w:p>
            <w:pPr>
              <w:pStyle w:val="TableText"/>
              <w:ind w:left="470"/>
              <w:spacing w:before="89" w:line="177" w:lineRule="auto"/>
              <w:rPr>
                <w:sz w:val="18"/>
                <w:szCs w:val="18"/>
              </w:rPr>
            </w:pPr>
            <w:r>
              <w:rPr>
                <w:sz w:val="18"/>
                <w:szCs w:val="18"/>
                <w:spacing w:val="-1"/>
              </w:rPr>
              <w:t>调峰</w:t>
            </w:r>
          </w:p>
        </w:tc>
        <w:tc>
          <w:tcPr>
            <w:shd w:val="clear" w:fill="F1F1F1"/>
            <w:tcW w:w="5343" w:type="dxa"/>
            <w:vAlign w:val="top"/>
            <w:tcBorders>
              <w:left w:val="single" w:color="A8A8A8" w:sz="2" w:space="0"/>
              <w:right w:val="single" w:color="A8A8A8" w:sz="2" w:space="0"/>
            </w:tcBorders>
          </w:tcPr>
          <w:p>
            <w:pPr>
              <w:pStyle w:val="TableText"/>
              <w:ind w:left="116"/>
              <w:spacing w:before="88" w:line="181" w:lineRule="auto"/>
              <w:rPr>
                <w:sz w:val="18"/>
                <w:szCs w:val="18"/>
              </w:rPr>
            </w:pPr>
            <w:r>
              <w:rPr>
                <w:sz w:val="18"/>
                <w:szCs w:val="18"/>
                <w:spacing w:val="-1"/>
              </w:rPr>
              <w:t>可被电力调度机构管辖，接入35千伏电压等级</w:t>
            </w:r>
          </w:p>
        </w:tc>
        <w:tc>
          <w:tcPr>
            <w:shd w:val="clear" w:fill="F1F1F1"/>
            <w:tcW w:w="1968" w:type="dxa"/>
            <w:vAlign w:val="top"/>
            <w:tcBorders>
              <w:left w:val="single" w:color="A8A8A8" w:sz="2" w:space="0"/>
            </w:tcBorders>
          </w:tcPr>
          <w:p>
            <w:pPr>
              <w:pStyle w:val="TableText"/>
              <w:ind w:left="394"/>
              <w:spacing w:before="96" w:line="186" w:lineRule="auto"/>
              <w:rPr>
                <w:sz w:val="18"/>
                <w:szCs w:val="18"/>
              </w:rPr>
            </w:pPr>
            <w:r>
              <w:rPr>
                <w:sz w:val="18"/>
                <w:szCs w:val="18"/>
                <w:spacing w:val="-4"/>
              </w:rPr>
              <w:t>0.3-0.8元/kWh</w:t>
            </w:r>
          </w:p>
        </w:tc>
      </w:tr>
      <w:tr>
        <w:trPr>
          <w:trHeight w:val="366" w:hRule="atLeast"/>
        </w:trPr>
        <w:tc>
          <w:tcPr>
            <w:tcW w:w="1012" w:type="dxa"/>
            <w:vAlign w:val="top"/>
            <w:tcBorders>
              <w:right w:val="single" w:color="A8A8A8" w:sz="2" w:space="0"/>
            </w:tcBorders>
          </w:tcPr>
          <w:p>
            <w:pPr>
              <w:pStyle w:val="TableText"/>
              <w:ind w:left="331"/>
              <w:spacing w:before="88" w:line="179" w:lineRule="auto"/>
              <w:rPr>
                <w:sz w:val="18"/>
                <w:szCs w:val="18"/>
              </w:rPr>
            </w:pPr>
            <w:r>
              <w:rPr>
                <w:sz w:val="18"/>
                <w:szCs w:val="18"/>
                <w:b/>
                <w:bCs/>
                <w:color w:val="00C0AE"/>
                <w:spacing w:val="-1"/>
              </w:rPr>
              <w:t>江苏</w:t>
            </w:r>
          </w:p>
        </w:tc>
        <w:tc>
          <w:tcPr>
            <w:tcW w:w="1294" w:type="dxa"/>
            <w:vAlign w:val="top"/>
            <w:tcBorders>
              <w:left w:val="single" w:color="A8A8A8" w:sz="2" w:space="0"/>
              <w:right w:val="single" w:color="A8A8A8" w:sz="2" w:space="0"/>
            </w:tcBorders>
          </w:tcPr>
          <w:p>
            <w:pPr>
              <w:pStyle w:val="TableText"/>
              <w:ind w:left="284"/>
              <w:spacing w:before="89" w:line="176" w:lineRule="auto"/>
              <w:rPr>
                <w:sz w:val="18"/>
                <w:szCs w:val="18"/>
              </w:rPr>
            </w:pPr>
            <w:r>
              <w:rPr>
                <w:sz w:val="18"/>
                <w:szCs w:val="18"/>
                <w:spacing w:val="-6"/>
              </w:rPr>
              <w:t>AGC调频</w:t>
            </w:r>
          </w:p>
        </w:tc>
        <w:tc>
          <w:tcPr>
            <w:tcW w:w="5343" w:type="dxa"/>
            <w:vAlign w:val="top"/>
            <w:tcBorders>
              <w:left w:val="single" w:color="A8A8A8" w:sz="2" w:space="0"/>
              <w:right w:val="single" w:color="A8A8A8" w:sz="2" w:space="0"/>
            </w:tcBorders>
          </w:tcPr>
          <w:p>
            <w:pPr>
              <w:pStyle w:val="TableText"/>
              <w:ind w:left="116"/>
              <w:spacing w:before="88" w:line="191" w:lineRule="auto"/>
              <w:rPr>
                <w:sz w:val="18"/>
                <w:szCs w:val="18"/>
              </w:rPr>
            </w:pPr>
            <w:r>
              <w:rPr>
                <w:sz w:val="18"/>
                <w:szCs w:val="18"/>
                <w:spacing w:val="-8"/>
              </w:rPr>
              <w:t>充电/放电功率10MW/20MWh以上</w:t>
            </w:r>
          </w:p>
        </w:tc>
        <w:tc>
          <w:tcPr>
            <w:tcW w:w="1968" w:type="dxa"/>
            <w:vAlign w:val="top"/>
            <w:tcBorders>
              <w:left w:val="single" w:color="A8A8A8" w:sz="2" w:space="0"/>
            </w:tcBorders>
          </w:tcPr>
          <w:p>
            <w:pPr>
              <w:pStyle w:val="TableText"/>
              <w:ind w:left="428"/>
              <w:spacing w:before="97" w:line="185" w:lineRule="auto"/>
              <w:rPr>
                <w:sz w:val="18"/>
                <w:szCs w:val="18"/>
              </w:rPr>
            </w:pPr>
            <w:r>
              <w:rPr>
                <w:sz w:val="18"/>
                <w:szCs w:val="18"/>
                <w:spacing w:val="-5"/>
              </w:rPr>
              <w:t>0.1-1.2元/MW</w:t>
            </w:r>
          </w:p>
        </w:tc>
      </w:tr>
      <w:tr>
        <w:trPr>
          <w:trHeight w:val="366" w:hRule="atLeast"/>
        </w:trPr>
        <w:tc>
          <w:tcPr>
            <w:shd w:val="clear" w:fill="F1F1F1"/>
            <w:tcW w:w="1012" w:type="dxa"/>
            <w:vAlign w:val="top"/>
            <w:tcBorders>
              <w:right w:val="single" w:color="A8A8A8" w:sz="2" w:space="0"/>
            </w:tcBorders>
          </w:tcPr>
          <w:p>
            <w:pPr>
              <w:pStyle w:val="TableText"/>
              <w:ind w:left="342"/>
              <w:spacing w:before="88" w:line="179" w:lineRule="auto"/>
              <w:rPr>
                <w:sz w:val="18"/>
                <w:szCs w:val="18"/>
              </w:rPr>
            </w:pPr>
            <w:r>
              <w:rPr>
                <w:sz w:val="18"/>
                <w:szCs w:val="18"/>
                <w:b/>
                <w:bCs/>
                <w:color w:val="00C0AE"/>
                <w:spacing w:val="-4"/>
              </w:rPr>
              <w:t>山西</w:t>
            </w:r>
          </w:p>
        </w:tc>
        <w:tc>
          <w:tcPr>
            <w:shd w:val="clear" w:fill="F1F1F1"/>
            <w:tcW w:w="1294" w:type="dxa"/>
            <w:vAlign w:val="top"/>
            <w:tcBorders>
              <w:left w:val="single" w:color="A8A8A8" w:sz="2" w:space="0"/>
              <w:right w:val="single" w:color="A8A8A8" w:sz="2" w:space="0"/>
            </w:tcBorders>
          </w:tcPr>
          <w:p>
            <w:pPr>
              <w:pStyle w:val="TableText"/>
              <w:ind w:left="284"/>
              <w:spacing w:before="89" w:line="176" w:lineRule="auto"/>
              <w:rPr>
                <w:sz w:val="18"/>
                <w:szCs w:val="18"/>
              </w:rPr>
            </w:pPr>
            <w:r>
              <w:rPr>
                <w:sz w:val="18"/>
                <w:szCs w:val="18"/>
                <w:spacing w:val="-6"/>
              </w:rPr>
              <w:t>AGC调频</w:t>
            </w:r>
          </w:p>
        </w:tc>
        <w:tc>
          <w:tcPr>
            <w:shd w:val="clear" w:fill="F1F1F1"/>
            <w:tcW w:w="5343" w:type="dxa"/>
            <w:vAlign w:val="top"/>
            <w:tcBorders>
              <w:left w:val="single" w:color="A8A8A8" w:sz="2" w:space="0"/>
              <w:right w:val="single" w:color="A8A8A8" w:sz="2" w:space="0"/>
            </w:tcBorders>
          </w:tcPr>
          <w:p>
            <w:pPr>
              <w:pStyle w:val="TableText"/>
              <w:ind w:left="114"/>
              <w:spacing w:before="186" w:line="143" w:lineRule="exact"/>
              <w:rPr>
                <w:sz w:val="18"/>
                <w:szCs w:val="18"/>
              </w:rPr>
            </w:pPr>
            <w:r>
              <w:rPr>
                <w:sz w:val="18"/>
                <w:szCs w:val="18"/>
                <w:position w:val="-1"/>
              </w:rPr>
              <w:t>-</w:t>
            </w:r>
          </w:p>
        </w:tc>
        <w:tc>
          <w:tcPr>
            <w:shd w:val="clear" w:fill="F1F1F1"/>
            <w:tcW w:w="1968" w:type="dxa"/>
            <w:vAlign w:val="top"/>
            <w:tcBorders>
              <w:left w:val="single" w:color="A8A8A8" w:sz="2" w:space="0"/>
            </w:tcBorders>
          </w:tcPr>
          <w:p>
            <w:pPr>
              <w:pStyle w:val="TableText"/>
              <w:ind w:left="525"/>
              <w:spacing w:before="97" w:line="185" w:lineRule="auto"/>
              <w:rPr>
                <w:sz w:val="18"/>
                <w:szCs w:val="18"/>
              </w:rPr>
            </w:pPr>
            <w:r>
              <w:rPr>
                <w:sz w:val="18"/>
                <w:szCs w:val="18"/>
                <w:spacing w:val="-9"/>
              </w:rPr>
              <w:t>5-10元/MW</w:t>
            </w:r>
          </w:p>
        </w:tc>
      </w:tr>
      <w:tr>
        <w:trPr>
          <w:trHeight w:val="366" w:hRule="atLeast"/>
        </w:trPr>
        <w:tc>
          <w:tcPr>
            <w:tcW w:w="1012" w:type="dxa"/>
            <w:vAlign w:val="top"/>
            <w:tcBorders>
              <w:right w:val="single" w:color="A8A8A8" w:sz="2" w:space="0"/>
            </w:tcBorders>
          </w:tcPr>
          <w:p>
            <w:pPr>
              <w:pStyle w:val="TableText"/>
              <w:ind w:left="334"/>
              <w:spacing w:before="87" w:line="180" w:lineRule="auto"/>
              <w:rPr>
                <w:sz w:val="18"/>
                <w:szCs w:val="18"/>
              </w:rPr>
            </w:pPr>
            <w:r>
              <w:rPr>
                <w:sz w:val="18"/>
                <w:szCs w:val="18"/>
                <w:b/>
                <w:bCs/>
                <w:color w:val="00C0AE"/>
                <w:spacing w:val="-1"/>
              </w:rPr>
              <w:t>蒙西</w:t>
            </w:r>
          </w:p>
        </w:tc>
        <w:tc>
          <w:tcPr>
            <w:tcW w:w="1294" w:type="dxa"/>
            <w:vAlign w:val="top"/>
            <w:tcBorders>
              <w:left w:val="single" w:color="A8A8A8" w:sz="2" w:space="0"/>
              <w:right w:val="single" w:color="A8A8A8" w:sz="2" w:space="0"/>
            </w:tcBorders>
          </w:tcPr>
          <w:p>
            <w:pPr>
              <w:pStyle w:val="TableText"/>
              <w:ind w:left="284"/>
              <w:spacing w:before="89" w:line="176" w:lineRule="auto"/>
              <w:rPr>
                <w:sz w:val="18"/>
                <w:szCs w:val="18"/>
              </w:rPr>
            </w:pPr>
            <w:r>
              <w:rPr>
                <w:sz w:val="18"/>
                <w:szCs w:val="18"/>
                <w:spacing w:val="-6"/>
              </w:rPr>
              <w:t>AGC调频</w:t>
            </w:r>
          </w:p>
        </w:tc>
        <w:tc>
          <w:tcPr>
            <w:tcW w:w="5343" w:type="dxa"/>
            <w:vAlign w:val="top"/>
            <w:tcBorders>
              <w:left w:val="single" w:color="A8A8A8" w:sz="2" w:space="0"/>
              <w:right w:val="single" w:color="A8A8A8" w:sz="2" w:space="0"/>
            </w:tcBorders>
          </w:tcPr>
          <w:p>
            <w:pPr>
              <w:pStyle w:val="TableText"/>
              <w:ind w:left="114"/>
              <w:spacing w:before="186" w:line="144" w:lineRule="exact"/>
              <w:rPr>
                <w:sz w:val="18"/>
                <w:szCs w:val="18"/>
              </w:rPr>
            </w:pPr>
            <w:r>
              <w:rPr>
                <w:sz w:val="18"/>
                <w:szCs w:val="18"/>
                <w:position w:val="-1"/>
              </w:rPr>
              <w:t>-</w:t>
            </w:r>
          </w:p>
        </w:tc>
        <w:tc>
          <w:tcPr>
            <w:tcW w:w="1968" w:type="dxa"/>
            <w:vAlign w:val="top"/>
            <w:tcBorders>
              <w:left w:val="single" w:color="A8A8A8" w:sz="2" w:space="0"/>
            </w:tcBorders>
          </w:tcPr>
          <w:p>
            <w:pPr>
              <w:pStyle w:val="TableText"/>
              <w:ind w:left="527"/>
              <w:spacing w:before="98" w:line="185" w:lineRule="auto"/>
              <w:rPr>
                <w:sz w:val="18"/>
                <w:szCs w:val="18"/>
              </w:rPr>
            </w:pPr>
            <w:r>
              <w:rPr>
                <w:sz w:val="18"/>
                <w:szCs w:val="18"/>
                <w:spacing w:val="-9"/>
              </w:rPr>
              <w:t>2-12元/MW</w:t>
            </w:r>
          </w:p>
        </w:tc>
      </w:tr>
      <w:tr>
        <w:trPr>
          <w:trHeight w:val="366" w:hRule="atLeast"/>
        </w:trPr>
        <w:tc>
          <w:tcPr>
            <w:shd w:val="clear" w:fill="F1F1F1"/>
            <w:tcW w:w="1012" w:type="dxa"/>
            <w:vAlign w:val="top"/>
            <w:tcBorders>
              <w:right w:val="single" w:color="A8A8A8" w:sz="2" w:space="0"/>
            </w:tcBorders>
          </w:tcPr>
          <w:p>
            <w:pPr>
              <w:pStyle w:val="TableText"/>
              <w:ind w:left="242"/>
              <w:spacing w:before="86" w:line="181" w:lineRule="auto"/>
              <w:rPr>
                <w:sz w:val="18"/>
                <w:szCs w:val="18"/>
              </w:rPr>
            </w:pPr>
            <w:r>
              <w:rPr>
                <w:sz w:val="18"/>
                <w:szCs w:val="18"/>
                <w:b/>
                <w:bCs/>
                <w:color w:val="00C0AE"/>
                <w:spacing w:val="-1"/>
              </w:rPr>
              <w:t>京津唐</w:t>
            </w:r>
          </w:p>
        </w:tc>
        <w:tc>
          <w:tcPr>
            <w:shd w:val="clear" w:fill="F1F1F1"/>
            <w:tcW w:w="1294" w:type="dxa"/>
            <w:vAlign w:val="top"/>
            <w:tcBorders>
              <w:left w:val="single" w:color="A8A8A8" w:sz="2" w:space="0"/>
              <w:right w:val="single" w:color="A8A8A8" w:sz="2" w:space="0"/>
            </w:tcBorders>
          </w:tcPr>
          <w:p>
            <w:pPr>
              <w:pStyle w:val="TableText"/>
              <w:ind w:left="285"/>
              <w:spacing w:before="89" w:line="176" w:lineRule="auto"/>
              <w:rPr>
                <w:sz w:val="18"/>
                <w:szCs w:val="18"/>
              </w:rPr>
            </w:pPr>
            <w:r>
              <w:rPr>
                <w:sz w:val="18"/>
                <w:szCs w:val="18"/>
                <w:spacing w:val="-6"/>
              </w:rPr>
              <w:t>AGC调频</w:t>
            </w:r>
          </w:p>
        </w:tc>
        <w:tc>
          <w:tcPr>
            <w:shd w:val="clear" w:fill="F1F1F1"/>
            <w:tcW w:w="5343" w:type="dxa"/>
            <w:vAlign w:val="top"/>
            <w:tcBorders>
              <w:left w:val="single" w:color="A8A8A8" w:sz="2" w:space="0"/>
              <w:right w:val="single" w:color="A8A8A8" w:sz="2" w:space="0"/>
            </w:tcBorders>
          </w:tcPr>
          <w:p>
            <w:pPr>
              <w:pStyle w:val="TableText"/>
              <w:ind w:left="114"/>
              <w:spacing w:before="186" w:line="144" w:lineRule="exact"/>
              <w:rPr>
                <w:sz w:val="18"/>
                <w:szCs w:val="18"/>
              </w:rPr>
            </w:pPr>
            <w:r>
              <w:rPr>
                <w:sz w:val="18"/>
                <w:szCs w:val="18"/>
                <w:position w:val="-1"/>
              </w:rPr>
              <w:t>-</w:t>
            </w:r>
          </w:p>
        </w:tc>
        <w:tc>
          <w:tcPr>
            <w:shd w:val="clear" w:fill="F1F1F1"/>
            <w:tcW w:w="1968" w:type="dxa"/>
            <w:vAlign w:val="top"/>
            <w:tcBorders>
              <w:left w:val="single" w:color="A8A8A8" w:sz="2" w:space="0"/>
            </w:tcBorders>
          </w:tcPr>
          <w:p>
            <w:pPr>
              <w:pStyle w:val="TableText"/>
              <w:ind w:left="476"/>
              <w:spacing w:before="98" w:line="185" w:lineRule="auto"/>
              <w:rPr>
                <w:sz w:val="18"/>
                <w:szCs w:val="18"/>
              </w:rPr>
            </w:pPr>
            <w:r>
              <w:rPr>
                <w:sz w:val="18"/>
                <w:szCs w:val="18"/>
                <w:spacing w:val="-11"/>
              </w:rPr>
              <w:t>0—12元/MW</w:t>
            </w:r>
          </w:p>
        </w:tc>
      </w:tr>
      <w:tr>
        <w:trPr>
          <w:trHeight w:val="366" w:hRule="atLeast"/>
        </w:trPr>
        <w:tc>
          <w:tcPr>
            <w:tcW w:w="1012" w:type="dxa"/>
            <w:vAlign w:val="top"/>
            <w:tcBorders>
              <w:right w:val="single" w:color="A8A8A8" w:sz="2" w:space="0"/>
            </w:tcBorders>
          </w:tcPr>
          <w:p>
            <w:pPr>
              <w:pStyle w:val="TableText"/>
              <w:ind w:left="331"/>
              <w:spacing w:before="87" w:line="180" w:lineRule="auto"/>
              <w:rPr>
                <w:sz w:val="18"/>
                <w:szCs w:val="18"/>
              </w:rPr>
            </w:pPr>
            <w:r>
              <w:rPr>
                <w:sz w:val="18"/>
                <w:szCs w:val="18"/>
                <w:b/>
                <w:bCs/>
                <w:color w:val="00C0AE"/>
                <w:spacing w:val="-1"/>
              </w:rPr>
              <w:t>浙江</w:t>
            </w:r>
          </w:p>
        </w:tc>
        <w:tc>
          <w:tcPr>
            <w:tcW w:w="1294" w:type="dxa"/>
            <w:vAlign w:val="top"/>
            <w:tcBorders>
              <w:left w:val="single" w:color="A8A8A8" w:sz="2" w:space="0"/>
              <w:right w:val="single" w:color="A8A8A8" w:sz="2" w:space="0"/>
            </w:tcBorders>
          </w:tcPr>
          <w:p>
            <w:pPr>
              <w:pStyle w:val="TableText"/>
              <w:ind w:left="285"/>
              <w:spacing w:before="89" w:line="176" w:lineRule="auto"/>
              <w:rPr>
                <w:sz w:val="18"/>
                <w:szCs w:val="18"/>
              </w:rPr>
            </w:pPr>
            <w:r>
              <w:rPr>
                <w:sz w:val="18"/>
                <w:szCs w:val="18"/>
                <w:spacing w:val="-6"/>
              </w:rPr>
              <w:t>AGC调频</w:t>
            </w:r>
          </w:p>
        </w:tc>
        <w:tc>
          <w:tcPr>
            <w:tcW w:w="5343" w:type="dxa"/>
            <w:vAlign w:val="top"/>
            <w:tcBorders>
              <w:left w:val="single" w:color="A8A8A8" w:sz="2" w:space="0"/>
              <w:right w:val="single" w:color="A8A8A8" w:sz="2" w:space="0"/>
            </w:tcBorders>
          </w:tcPr>
          <w:p>
            <w:pPr>
              <w:pStyle w:val="TableText"/>
              <w:ind w:left="115"/>
              <w:spacing w:before="186" w:line="144" w:lineRule="exact"/>
              <w:rPr>
                <w:sz w:val="18"/>
                <w:szCs w:val="18"/>
              </w:rPr>
            </w:pPr>
            <w:r>
              <w:rPr>
                <w:sz w:val="18"/>
                <w:szCs w:val="18"/>
                <w:position w:val="-1"/>
              </w:rPr>
              <w:t>-</w:t>
            </w:r>
          </w:p>
        </w:tc>
        <w:tc>
          <w:tcPr>
            <w:tcW w:w="1968" w:type="dxa"/>
            <w:vAlign w:val="top"/>
            <w:tcBorders>
              <w:left w:val="single" w:color="A8A8A8" w:sz="2" w:space="0"/>
            </w:tcBorders>
          </w:tcPr>
          <w:p>
            <w:pPr>
              <w:pStyle w:val="TableText"/>
              <w:ind w:left="529"/>
              <w:spacing w:before="98" w:line="185" w:lineRule="auto"/>
              <w:rPr>
                <w:sz w:val="18"/>
                <w:szCs w:val="18"/>
              </w:rPr>
            </w:pPr>
            <w:r>
              <w:rPr>
                <w:sz w:val="18"/>
                <w:szCs w:val="18"/>
                <w:spacing w:val="-9"/>
              </w:rPr>
              <w:t>0-15元/MW</w:t>
            </w:r>
          </w:p>
        </w:tc>
      </w:tr>
      <w:tr>
        <w:trPr>
          <w:trHeight w:val="366" w:hRule="atLeast"/>
        </w:trPr>
        <w:tc>
          <w:tcPr>
            <w:shd w:val="clear" w:fill="F1F1F1"/>
            <w:tcW w:w="1012" w:type="dxa"/>
            <w:vAlign w:val="top"/>
            <w:vMerge w:val="restart"/>
            <w:tcBorders>
              <w:right w:val="single" w:color="A8A8A8" w:sz="2" w:space="0"/>
              <w:bottom w:val="nil"/>
            </w:tcBorders>
          </w:tcPr>
          <w:p>
            <w:pPr>
              <w:pStyle w:val="TableText"/>
              <w:ind w:left="333"/>
              <w:spacing w:before="270" w:line="178" w:lineRule="auto"/>
              <w:rPr>
                <w:sz w:val="18"/>
                <w:szCs w:val="18"/>
              </w:rPr>
            </w:pPr>
            <w:r>
              <w:rPr>
                <w:sz w:val="18"/>
                <w:szCs w:val="18"/>
                <w:b/>
                <w:bCs/>
                <w:color w:val="00C0AE"/>
                <w:spacing w:val="-1"/>
              </w:rPr>
              <w:t>甘肃</w:t>
            </w:r>
          </w:p>
        </w:tc>
        <w:tc>
          <w:tcPr>
            <w:shd w:val="clear" w:fill="F1F1F1"/>
            <w:tcW w:w="1294" w:type="dxa"/>
            <w:vAlign w:val="top"/>
            <w:tcBorders>
              <w:left w:val="single" w:color="A8A8A8" w:sz="2" w:space="0"/>
              <w:bottom w:val="single" w:color="A8A8A8" w:sz="2" w:space="0"/>
              <w:right w:val="single" w:color="A8A8A8" w:sz="2" w:space="0"/>
            </w:tcBorders>
          </w:tcPr>
          <w:p>
            <w:pPr>
              <w:pStyle w:val="TableText"/>
              <w:ind w:left="285"/>
              <w:spacing w:before="90" w:line="177" w:lineRule="auto"/>
              <w:rPr>
                <w:sz w:val="18"/>
                <w:szCs w:val="18"/>
              </w:rPr>
            </w:pPr>
            <w:r>
              <w:rPr>
                <w:sz w:val="18"/>
                <w:szCs w:val="18"/>
                <w:spacing w:val="1"/>
              </w:rPr>
              <w:t>储能调峰</w:t>
            </w:r>
          </w:p>
        </w:tc>
        <w:tc>
          <w:tcPr>
            <w:shd w:val="clear" w:fill="F1F1F1"/>
            <w:tcW w:w="5343" w:type="dxa"/>
            <w:vAlign w:val="top"/>
            <w:tcBorders>
              <w:left w:val="single" w:color="A8A8A8" w:sz="2" w:space="0"/>
              <w:bottom w:val="single" w:color="A8A8A8" w:sz="2" w:space="0"/>
              <w:right w:val="single" w:color="A8A8A8" w:sz="2" w:space="0"/>
            </w:tcBorders>
          </w:tcPr>
          <w:p>
            <w:pPr>
              <w:pStyle w:val="TableText"/>
              <w:ind w:left="115"/>
              <w:spacing w:before="186" w:line="144" w:lineRule="exact"/>
              <w:rPr>
                <w:sz w:val="18"/>
                <w:szCs w:val="18"/>
              </w:rPr>
            </w:pPr>
            <w:r>
              <w:rPr>
                <w:sz w:val="18"/>
                <w:szCs w:val="18"/>
                <w:position w:val="-1"/>
              </w:rPr>
              <w:t>-</w:t>
            </w:r>
          </w:p>
        </w:tc>
        <w:tc>
          <w:tcPr>
            <w:shd w:val="clear" w:fill="F1F1F1"/>
            <w:tcW w:w="1968" w:type="dxa"/>
            <w:vAlign w:val="top"/>
            <w:tcBorders>
              <w:left w:val="single" w:color="A8A8A8" w:sz="2" w:space="0"/>
              <w:bottom w:val="single" w:color="A8A8A8" w:sz="2" w:space="0"/>
            </w:tcBorders>
          </w:tcPr>
          <w:p>
            <w:pPr>
              <w:pStyle w:val="TableText"/>
              <w:ind w:left="279"/>
              <w:spacing w:before="90" w:line="191" w:lineRule="auto"/>
              <w:rPr>
                <w:sz w:val="18"/>
                <w:szCs w:val="18"/>
              </w:rPr>
            </w:pPr>
            <w:r>
              <w:rPr>
                <w:sz w:val="18"/>
                <w:szCs w:val="18"/>
                <w:spacing w:val="-2"/>
              </w:rPr>
              <w:t>不超过0.5元/kWh</w:t>
            </w:r>
          </w:p>
        </w:tc>
      </w:tr>
      <w:tr>
        <w:trPr>
          <w:trHeight w:val="361" w:hRule="atLeast"/>
        </w:trPr>
        <w:tc>
          <w:tcPr>
            <w:tcW w:w="1012" w:type="dxa"/>
            <w:vAlign w:val="top"/>
            <w:vMerge w:val="continue"/>
            <w:tcBorders>
              <w:right w:val="single" w:color="A8A8A8" w:sz="2" w:space="0"/>
              <w:top w:val="nil"/>
            </w:tcBorders>
          </w:tcPr>
          <w:p>
            <w:pPr>
              <w:rPr>
                <w:rFonts w:ascii="Arial"/>
                <w:sz w:val="21"/>
              </w:rPr>
            </w:pPr>
            <w:r/>
          </w:p>
        </w:tc>
        <w:tc>
          <w:tcPr>
            <w:shd w:val="clear" w:fill="F1F1F1"/>
            <w:tcW w:w="1294" w:type="dxa"/>
            <w:vAlign w:val="top"/>
            <w:tcBorders>
              <w:left w:val="single" w:color="A8A8A8" w:sz="2" w:space="0"/>
              <w:right w:val="single" w:color="A8A8A8" w:sz="2" w:space="0"/>
              <w:top w:val="single" w:color="A8A8A8" w:sz="2" w:space="0"/>
            </w:tcBorders>
          </w:tcPr>
          <w:p>
            <w:pPr>
              <w:pStyle w:val="TableText"/>
              <w:ind w:left="285"/>
              <w:spacing w:before="85" w:line="176" w:lineRule="auto"/>
              <w:rPr>
                <w:sz w:val="18"/>
                <w:szCs w:val="18"/>
              </w:rPr>
            </w:pPr>
            <w:r>
              <w:rPr>
                <w:sz w:val="18"/>
                <w:szCs w:val="18"/>
                <w:spacing w:val="-6"/>
              </w:rPr>
              <w:t>AGC调频</w:t>
            </w:r>
          </w:p>
        </w:tc>
        <w:tc>
          <w:tcPr>
            <w:shd w:val="clear" w:fill="F1F1F1"/>
            <w:tcW w:w="5343" w:type="dxa"/>
            <w:vAlign w:val="top"/>
            <w:tcBorders>
              <w:left w:val="single" w:color="A8A8A8" w:sz="2" w:space="0"/>
              <w:right w:val="single" w:color="A8A8A8" w:sz="2" w:space="0"/>
              <w:top w:val="single" w:color="A8A8A8" w:sz="2" w:space="0"/>
            </w:tcBorders>
          </w:tcPr>
          <w:p>
            <w:pPr>
              <w:pStyle w:val="TableText"/>
              <w:ind w:left="113"/>
              <w:spacing w:before="180" w:line="144" w:lineRule="exact"/>
              <w:rPr>
                <w:sz w:val="18"/>
                <w:szCs w:val="18"/>
              </w:rPr>
            </w:pPr>
            <w:r>
              <w:rPr>
                <w:sz w:val="18"/>
                <w:szCs w:val="18"/>
                <w:position w:val="-1"/>
              </w:rPr>
              <w:t>-</w:t>
            </w:r>
          </w:p>
        </w:tc>
        <w:tc>
          <w:tcPr>
            <w:shd w:val="clear" w:fill="F1F1F1"/>
            <w:tcW w:w="1968" w:type="dxa"/>
            <w:vAlign w:val="top"/>
            <w:tcBorders>
              <w:left w:val="single" w:color="A8A8A8" w:sz="2" w:space="0"/>
              <w:top w:val="single" w:color="A8A8A8" w:sz="2" w:space="0"/>
            </w:tcBorders>
          </w:tcPr>
          <w:p>
            <w:pPr>
              <w:pStyle w:val="TableText"/>
              <w:ind w:left="528"/>
              <w:spacing w:before="92" w:line="185" w:lineRule="auto"/>
              <w:rPr>
                <w:sz w:val="18"/>
                <w:szCs w:val="18"/>
              </w:rPr>
            </w:pPr>
            <w:r>
              <w:rPr>
                <w:sz w:val="18"/>
                <w:szCs w:val="18"/>
                <w:spacing w:val="-9"/>
              </w:rPr>
              <w:t>0-15元/MW</w:t>
            </w:r>
          </w:p>
        </w:tc>
      </w:tr>
      <w:tr>
        <w:trPr>
          <w:trHeight w:val="366" w:hRule="atLeast"/>
        </w:trPr>
        <w:tc>
          <w:tcPr>
            <w:tcW w:w="1012" w:type="dxa"/>
            <w:vAlign w:val="top"/>
            <w:tcBorders>
              <w:right w:val="single" w:color="A8A8A8" w:sz="2" w:space="0"/>
            </w:tcBorders>
          </w:tcPr>
          <w:p>
            <w:pPr>
              <w:pStyle w:val="TableText"/>
              <w:ind w:left="333"/>
              <w:spacing w:before="86" w:line="181" w:lineRule="auto"/>
              <w:rPr>
                <w:sz w:val="18"/>
                <w:szCs w:val="18"/>
              </w:rPr>
            </w:pPr>
            <w:r>
              <w:rPr>
                <w:sz w:val="18"/>
                <w:szCs w:val="18"/>
                <w:b/>
                <w:bCs/>
                <w:color w:val="00C0AE"/>
                <w:spacing w:val="-2"/>
              </w:rPr>
              <w:t>云南</w:t>
            </w:r>
          </w:p>
        </w:tc>
        <w:tc>
          <w:tcPr>
            <w:tcW w:w="1294" w:type="dxa"/>
            <w:vAlign w:val="top"/>
            <w:tcBorders>
              <w:left w:val="single" w:color="A8A8A8" w:sz="2" w:space="0"/>
              <w:right w:val="single" w:color="A8A8A8" w:sz="2" w:space="0"/>
            </w:tcBorders>
          </w:tcPr>
          <w:p>
            <w:pPr>
              <w:pStyle w:val="TableText"/>
              <w:ind w:left="284"/>
              <w:spacing w:before="89" w:line="176" w:lineRule="auto"/>
              <w:rPr>
                <w:sz w:val="18"/>
                <w:szCs w:val="18"/>
              </w:rPr>
            </w:pPr>
            <w:r>
              <w:rPr>
                <w:sz w:val="18"/>
                <w:szCs w:val="18"/>
                <w:spacing w:val="-6"/>
              </w:rPr>
              <w:t>AGC调频</w:t>
            </w:r>
          </w:p>
        </w:tc>
        <w:tc>
          <w:tcPr>
            <w:tcW w:w="5343" w:type="dxa"/>
            <w:vAlign w:val="top"/>
            <w:tcBorders>
              <w:left w:val="single" w:color="A8A8A8" w:sz="2" w:space="0"/>
              <w:right w:val="single" w:color="A8A8A8" w:sz="2" w:space="0"/>
            </w:tcBorders>
          </w:tcPr>
          <w:p>
            <w:pPr>
              <w:pStyle w:val="TableText"/>
              <w:ind w:left="113"/>
              <w:spacing w:before="185" w:line="144" w:lineRule="exact"/>
              <w:rPr>
                <w:sz w:val="18"/>
                <w:szCs w:val="18"/>
              </w:rPr>
            </w:pPr>
            <w:r>
              <w:rPr>
                <w:sz w:val="18"/>
                <w:szCs w:val="18"/>
                <w:position w:val="-1"/>
              </w:rPr>
              <w:t>-</w:t>
            </w:r>
          </w:p>
        </w:tc>
        <w:tc>
          <w:tcPr>
            <w:tcW w:w="1968" w:type="dxa"/>
            <w:vAlign w:val="top"/>
            <w:tcBorders>
              <w:left w:val="single" w:color="A8A8A8" w:sz="2" w:space="0"/>
            </w:tcBorders>
          </w:tcPr>
          <w:p>
            <w:pPr>
              <w:pStyle w:val="TableText"/>
              <w:ind w:left="528"/>
              <w:spacing w:before="97" w:line="185" w:lineRule="auto"/>
              <w:rPr>
                <w:sz w:val="18"/>
                <w:szCs w:val="18"/>
              </w:rPr>
            </w:pPr>
            <w:r>
              <w:rPr>
                <w:sz w:val="18"/>
                <w:szCs w:val="18"/>
                <w:spacing w:val="-9"/>
              </w:rPr>
              <w:t>0-15元/MW</w:t>
            </w:r>
          </w:p>
        </w:tc>
      </w:tr>
      <w:tr>
        <w:trPr>
          <w:trHeight w:val="366" w:hRule="atLeast"/>
        </w:trPr>
        <w:tc>
          <w:tcPr>
            <w:shd w:val="clear" w:fill="F1F1F1"/>
            <w:tcW w:w="1012" w:type="dxa"/>
            <w:vAlign w:val="top"/>
            <w:tcBorders>
              <w:right w:val="single" w:color="A8A8A8" w:sz="2" w:space="0"/>
            </w:tcBorders>
          </w:tcPr>
          <w:p>
            <w:pPr>
              <w:pStyle w:val="TableText"/>
              <w:ind w:left="339"/>
              <w:spacing w:before="96" w:line="174" w:lineRule="auto"/>
              <w:rPr>
                <w:sz w:val="18"/>
                <w:szCs w:val="18"/>
              </w:rPr>
            </w:pPr>
            <w:r>
              <w:rPr>
                <w:sz w:val="18"/>
                <w:szCs w:val="18"/>
                <w:b/>
                <w:bCs/>
                <w:color w:val="00C0AE"/>
                <w:spacing w:val="-3"/>
              </w:rPr>
              <w:t>四川</w:t>
            </w:r>
          </w:p>
        </w:tc>
        <w:tc>
          <w:tcPr>
            <w:shd w:val="clear" w:fill="F1F1F1"/>
            <w:tcW w:w="1294" w:type="dxa"/>
            <w:vAlign w:val="top"/>
            <w:tcBorders>
              <w:left w:val="single" w:color="A8A8A8" w:sz="2" w:space="0"/>
              <w:right w:val="single" w:color="A8A8A8" w:sz="2" w:space="0"/>
            </w:tcBorders>
          </w:tcPr>
          <w:p>
            <w:pPr>
              <w:pStyle w:val="TableText"/>
              <w:ind w:left="284"/>
              <w:spacing w:before="89" w:line="176" w:lineRule="auto"/>
              <w:rPr>
                <w:sz w:val="18"/>
                <w:szCs w:val="18"/>
              </w:rPr>
            </w:pPr>
            <w:r>
              <w:rPr>
                <w:sz w:val="18"/>
                <w:szCs w:val="18"/>
                <w:spacing w:val="-6"/>
              </w:rPr>
              <w:t>AGC调频</w:t>
            </w:r>
          </w:p>
        </w:tc>
        <w:tc>
          <w:tcPr>
            <w:shd w:val="clear" w:fill="F1F1F1"/>
            <w:tcW w:w="5343" w:type="dxa"/>
            <w:vAlign w:val="top"/>
            <w:tcBorders>
              <w:left w:val="single" w:color="A8A8A8" w:sz="2" w:space="0"/>
              <w:right w:val="single" w:color="A8A8A8" w:sz="2" w:space="0"/>
            </w:tcBorders>
          </w:tcPr>
          <w:p>
            <w:pPr>
              <w:pStyle w:val="TableText"/>
              <w:ind w:left="114"/>
              <w:spacing w:before="185" w:line="144" w:lineRule="exact"/>
              <w:rPr>
                <w:sz w:val="18"/>
                <w:szCs w:val="18"/>
              </w:rPr>
            </w:pPr>
            <w:r>
              <w:rPr>
                <w:sz w:val="18"/>
                <w:szCs w:val="18"/>
                <w:position w:val="-1"/>
              </w:rPr>
              <w:t>-</w:t>
            </w:r>
          </w:p>
        </w:tc>
        <w:tc>
          <w:tcPr>
            <w:shd w:val="clear" w:fill="F1F1F1"/>
            <w:tcW w:w="1968" w:type="dxa"/>
            <w:vAlign w:val="top"/>
            <w:tcBorders>
              <w:left w:val="single" w:color="A8A8A8" w:sz="2" w:space="0"/>
            </w:tcBorders>
          </w:tcPr>
          <w:p>
            <w:pPr>
              <w:pStyle w:val="TableText"/>
              <w:ind w:left="336"/>
              <w:spacing w:before="89" w:line="191" w:lineRule="auto"/>
              <w:rPr>
                <w:sz w:val="18"/>
                <w:szCs w:val="18"/>
              </w:rPr>
            </w:pPr>
            <w:r>
              <w:rPr>
                <w:sz w:val="18"/>
                <w:szCs w:val="18"/>
                <w:spacing w:val="-5"/>
              </w:rPr>
              <w:t>不超过50元/MW</w:t>
            </w:r>
          </w:p>
        </w:tc>
      </w:tr>
    </w:tbl>
    <w:p>
      <w:pPr>
        <w:ind w:left="349"/>
        <w:spacing w:before="161" w:line="186"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7"/>
        </w:rPr>
        <w:t>资料来源：公开资料，毕马威分析</w:t>
      </w:r>
    </w:p>
    <w:p>
      <w:pPr>
        <w:pStyle w:val="BodyText"/>
        <w:spacing w:line="250" w:lineRule="auto"/>
        <w:rPr/>
      </w:pPr>
      <w:r/>
    </w:p>
    <w:p>
      <w:pPr>
        <w:pStyle w:val="BodyText"/>
        <w:spacing w:line="250" w:lineRule="auto"/>
        <w:rPr/>
      </w:pPr>
      <w:r>
        <w:pict>
          <v:shape id="_x0000_s950" style="position:absolute;margin-left:17.2011pt;margin-top:4.46265pt;mso-position-vertical-relative:text;mso-position-horizontal-relative:text;width:81.3pt;height:0.5pt;z-index:252603392;" filled="false" strokecolor="#000000" strokeweight="0.50pt" coordsize="1626,10" coordorigin="0,0" path="m0,5l1625,5e">
            <v:stroke joinstyle="miter"/>
          </v:shape>
        </w:pict>
      </w:r>
      <w:r/>
    </w:p>
    <w:p>
      <w:pPr>
        <w:ind w:left="343"/>
        <w:spacing w:before="56" w:line="189"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2"/>
          <w:position w:val="4"/>
        </w:rPr>
        <w:t>34</w:t>
      </w:r>
      <w:r>
        <w:rPr>
          <w:rFonts w:ascii="Microsoft YaHei" w:hAnsi="Microsoft YaHei" w:eastAsia="Microsoft YaHei" w:cs="Microsoft YaHei"/>
          <w:sz w:val="9"/>
          <w:szCs w:val="9"/>
          <w:spacing w:val="3"/>
          <w:position w:val="4"/>
        </w:rPr>
        <w:t xml:space="preserve">  </w:t>
      </w:r>
      <w:r>
        <w:rPr>
          <w:rFonts w:ascii="Microsoft YaHei" w:hAnsi="Microsoft YaHei" w:eastAsia="Microsoft YaHei" w:cs="Microsoft YaHei"/>
          <w:sz w:val="13"/>
          <w:szCs w:val="13"/>
          <w:spacing w:val="2"/>
        </w:rPr>
        <w:t>电力辅助服务管理办法，国家能源局，</w:t>
      </w:r>
      <w:r>
        <w:rPr>
          <w:rFonts w:ascii="Microsoft YaHei" w:hAnsi="Microsoft YaHei" w:eastAsia="Microsoft YaHei" w:cs="Microsoft YaHei"/>
          <w:sz w:val="13"/>
          <w:szCs w:val="13"/>
          <w:spacing w:val="11"/>
        </w:rPr>
        <w:t xml:space="preserve">  </w:t>
      </w:r>
      <w:r>
        <w:rPr>
          <w:rFonts w:ascii="Microsoft YaHei" w:hAnsi="Microsoft YaHei" w:eastAsia="Microsoft YaHei" w:cs="Microsoft YaHei"/>
          <w:sz w:val="13"/>
          <w:szCs w:val="13"/>
          <w:spacing w:val="2"/>
        </w:rPr>
        <w:t>2021年12月21日</w:t>
      </w:r>
    </w:p>
    <w:p>
      <w:pPr>
        <w:ind w:left="348" w:right="2019" w:hanging="5"/>
        <w:spacing w:before="55" w:line="185"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8"/>
          <w:position w:val="4"/>
        </w:rPr>
        <w:t>35</w:t>
      </w:r>
      <w:r>
        <w:rPr>
          <w:rFonts w:ascii="Microsoft YaHei" w:hAnsi="Microsoft YaHei" w:eastAsia="Microsoft YaHei" w:cs="Microsoft YaHei"/>
          <w:sz w:val="9"/>
          <w:szCs w:val="9"/>
          <w:spacing w:val="9"/>
          <w:w w:val="103"/>
          <w:position w:val="4"/>
        </w:rPr>
        <w:t xml:space="preserve"> </w:t>
      </w:r>
      <w:r>
        <w:rPr>
          <w:rFonts w:ascii="Microsoft YaHei" w:hAnsi="Microsoft YaHei" w:eastAsia="Microsoft YaHei" w:cs="Microsoft YaHei"/>
          <w:sz w:val="13"/>
          <w:szCs w:val="13"/>
        </w:rPr>
        <w:t>AGC</w:t>
      </w:r>
      <w:r>
        <w:rPr>
          <w:rFonts w:ascii="Microsoft YaHei" w:hAnsi="Microsoft YaHei" w:eastAsia="Microsoft YaHei" w:cs="Microsoft YaHei"/>
          <w:sz w:val="13"/>
          <w:szCs w:val="13"/>
          <w:spacing w:val="8"/>
        </w:rPr>
        <w:t>调频即自动发电控制，属于二次调频，调频补偿分为历程补偿和容量补偿，各地标准差异较大，从价格机制来看，</w:t>
      </w:r>
      <w:r>
        <w:rPr>
          <w:rFonts w:ascii="Microsoft YaHei" w:hAnsi="Microsoft YaHei" w:eastAsia="Microsoft YaHei" w:cs="Microsoft YaHei"/>
          <w:sz w:val="13"/>
          <w:szCs w:val="13"/>
          <w:spacing w:val="33"/>
        </w:rPr>
        <w:t xml:space="preserve"> </w:t>
      </w:r>
      <w:r>
        <w:rPr>
          <w:rFonts w:ascii="Microsoft YaHei" w:hAnsi="Microsoft YaHei" w:eastAsia="Microsoft YaHei" w:cs="Microsoft YaHei"/>
          <w:sz w:val="13"/>
          <w:szCs w:val="13"/>
          <w:spacing w:val="8"/>
        </w:rPr>
        <w:t>调频市场化程度总</w:t>
      </w:r>
      <w:r>
        <w:rPr>
          <w:rFonts w:ascii="Microsoft YaHei" w:hAnsi="Microsoft YaHei" w:eastAsia="Microsoft YaHei" w:cs="Microsoft YaHei"/>
          <w:sz w:val="13"/>
          <w:szCs w:val="13"/>
          <w:spacing w:val="7"/>
        </w:rPr>
        <w:t>体上低</w:t>
      </w:r>
      <w:r>
        <w:rPr>
          <w:rFonts w:ascii="Microsoft YaHei" w:hAnsi="Microsoft YaHei" w:eastAsia="Microsoft YaHei" w:cs="Microsoft YaHei"/>
          <w:sz w:val="13"/>
          <w:szCs w:val="13"/>
        </w:rPr>
        <w:t xml:space="preserve"> </w:t>
      </w:r>
      <w:r>
        <w:rPr>
          <w:rFonts w:ascii="Microsoft YaHei" w:hAnsi="Microsoft YaHei" w:eastAsia="Microsoft YaHei" w:cs="Microsoft YaHei"/>
          <w:sz w:val="13"/>
          <w:szCs w:val="13"/>
          <w:spacing w:val="8"/>
        </w:rPr>
        <w:t>于调峰，部分区域未设立调频市场</w:t>
      </w:r>
    </w:p>
    <w:p>
      <w:pPr>
        <w:ind w:left="844" w:right="1241" w:hanging="411"/>
        <w:spacing w:before="174"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961" w:header="0" w:footer="0" w:gutter="0"/>
        </w:sectPr>
        <w:rPr>
          <w:rFonts w:ascii="Microsoft YaHei" w:hAnsi="Microsoft YaHei" w:eastAsia="Microsoft YaHei" w:cs="Microsoft YaHei"/>
          <w:sz w:val="11"/>
          <w:szCs w:val="11"/>
        </w:rPr>
      </w:pPr>
    </w:p>
    <w:p>
      <w:pPr>
        <w:ind w:left="7674"/>
        <w:spacing w:before="314" w:line="193" w:lineRule="auto"/>
        <w:outlineLvl w:val="0"/>
        <w:rPr>
          <w:rFonts w:ascii="Microsoft YaHei" w:hAnsi="Microsoft YaHei" w:eastAsia="Microsoft YaHei" w:cs="Microsoft YaHei"/>
          <w:sz w:val="18"/>
          <w:szCs w:val="18"/>
        </w:rPr>
      </w:pPr>
      <w:r>
        <w:pict>
          <v:rect id="_x0000_s952" style="position:absolute;margin-left:611.99pt;margin-top:0pt;mso-position-vertical-relative:page;mso-position-horizontal-relative:page;width:0.25pt;height:859pt;z-index:252640256;" o:allowincell="f" fillcolor="#000000" filled="true" stroked="false"/>
        </w:pict>
      </w:r>
      <w:r>
        <w:rPr>
          <w:rFonts w:ascii="Microsoft YaHei" w:hAnsi="Microsoft YaHei" w:eastAsia="Microsoft YaHei" w:cs="Microsoft YaHei"/>
          <w:sz w:val="18"/>
          <w:szCs w:val="18"/>
          <w:color w:val="A8A8A8"/>
        </w:rPr>
        <w:t>新型储能助力能源转型</w:t>
      </w:r>
      <w:r>
        <w:rPr>
          <w:rFonts w:ascii="Microsoft YaHei" w:hAnsi="Microsoft YaHei" w:eastAsia="Microsoft YaHei" w:cs="Microsoft YaHei"/>
          <w:sz w:val="18"/>
          <w:szCs w:val="18"/>
          <w:color w:val="A8A8A8"/>
          <w:spacing w:val="20"/>
          <w:w w:val="101"/>
        </w:rPr>
        <w:t xml:space="preserve">  </w:t>
      </w:r>
      <w:r>
        <w:rPr>
          <w:sz w:val="18"/>
          <w:szCs w:val="18"/>
          <w:position w:val="-4"/>
        </w:rPr>
        <w:drawing>
          <wp:inline distT="0" distB="0" distL="0" distR="0">
            <wp:extent cx="6350" cy="130175"/>
            <wp:effectExtent l="0" t="0" r="0" b="0"/>
            <wp:docPr id="484" name="IM 484"/>
            <wp:cNvGraphicFramePr/>
            <a:graphic>
              <a:graphicData uri="http://schemas.openxmlformats.org/drawingml/2006/picture">
                <pic:pic>
                  <pic:nvPicPr>
                    <pic:cNvPr id="484" name="IM 484"/>
                    <pic:cNvPicPr/>
                  </pic:nvPicPr>
                  <pic:blipFill>
                    <a:blip r:embed="rId221"/>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spacing w:val="14"/>
          <w:w w:val="101"/>
        </w:rPr>
        <w:t xml:space="preserve">  </w:t>
      </w:r>
      <w:r>
        <w:rPr>
          <w:rFonts w:ascii="Microsoft YaHei" w:hAnsi="Microsoft YaHei" w:eastAsia="Microsoft YaHei" w:cs="Microsoft YaHei"/>
          <w:sz w:val="18"/>
          <w:szCs w:val="18"/>
          <w:b/>
          <w:bCs/>
          <w:color w:val="A8A8A8"/>
        </w:rPr>
        <w:t>42</w:t>
      </w:r>
    </w:p>
    <w:p>
      <w:pPr>
        <w:pStyle w:val="BodyText"/>
        <w:spacing w:line="316" w:lineRule="auto"/>
        <w:rPr/>
      </w:pPr>
      <w:r/>
    </w:p>
    <w:p>
      <w:pPr>
        <w:pStyle w:val="BodyText"/>
        <w:spacing w:line="316" w:lineRule="auto"/>
        <w:rPr/>
      </w:pPr>
      <w:r/>
    </w:p>
    <w:p>
      <w:pPr>
        <w:ind w:left="9" w:right="2820"/>
        <w:spacing w:before="90" w:line="217"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根据国家能源局答记者问内容</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4"/>
        </w:rPr>
        <w:t>，“现阶段包括调</w:t>
      </w:r>
      <w:r>
        <w:rPr>
          <w:rFonts w:ascii="Microsoft YaHei" w:hAnsi="Microsoft YaHei" w:eastAsia="Microsoft YaHei" w:cs="Microsoft YaHei"/>
          <w:sz w:val="21"/>
          <w:szCs w:val="21"/>
          <w:spacing w:val="3"/>
        </w:rPr>
        <w:t>峰在内的辅助服务费用约占全社会总</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电费的1.5%。根据国际经验，</w:t>
      </w:r>
      <w:r>
        <w:rPr>
          <w:rFonts w:ascii="Microsoft YaHei" w:hAnsi="Microsoft YaHei" w:eastAsia="Microsoft YaHei" w:cs="Microsoft YaHei"/>
          <w:sz w:val="21"/>
          <w:szCs w:val="21"/>
          <w:spacing w:val="-26"/>
        </w:rPr>
        <w:t xml:space="preserve"> </w:t>
      </w:r>
      <w:r>
        <w:rPr>
          <w:rFonts w:ascii="Microsoft YaHei" w:hAnsi="Microsoft YaHei" w:eastAsia="Microsoft YaHei" w:cs="Microsoft YaHei"/>
          <w:sz w:val="21"/>
          <w:szCs w:val="21"/>
          <w:spacing w:val="-1"/>
        </w:rPr>
        <w:t>电力辅助服务费用一般在全社会总电费的3%以上，该比</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例随着新能源大规模接入还将不断增加”</w:t>
      </w:r>
      <w:r>
        <w:rPr>
          <w:rFonts w:ascii="Microsoft YaHei" w:hAnsi="Microsoft YaHei" w:eastAsia="Microsoft YaHei" w:cs="Microsoft YaHei"/>
          <w:sz w:val="13"/>
          <w:szCs w:val="13"/>
          <w:spacing w:val="2"/>
          <w:position w:val="6"/>
        </w:rPr>
        <w:t>36  </w:t>
      </w:r>
      <w:r>
        <w:rPr>
          <w:rFonts w:ascii="Microsoft YaHei" w:hAnsi="Microsoft YaHei" w:eastAsia="Microsoft YaHei" w:cs="Microsoft YaHei"/>
          <w:sz w:val="21"/>
          <w:szCs w:val="21"/>
          <w:spacing w:val="2"/>
        </w:rPr>
        <w:t>。值得注意的是</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，根据“谁提供、谁获</w:t>
      </w:r>
      <w:r>
        <w:rPr>
          <w:rFonts w:ascii="Microsoft YaHei" w:hAnsi="Microsoft YaHei" w:eastAsia="Microsoft YaHei" w:cs="Microsoft YaHei"/>
          <w:sz w:val="21"/>
          <w:szCs w:val="21"/>
          <w:spacing w:val="1"/>
        </w:rPr>
        <w:t>利；</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谁受益、谁承担”原则</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，辅助服务补偿应当由发电侧和用</w:t>
      </w:r>
      <w:r>
        <w:rPr>
          <w:rFonts w:ascii="Microsoft YaHei" w:hAnsi="Microsoft YaHei" w:eastAsia="Microsoft YaHei" w:cs="Microsoft YaHei"/>
          <w:sz w:val="21"/>
          <w:szCs w:val="21"/>
          <w:spacing w:val="2"/>
        </w:rPr>
        <w:t>户侧共同承担</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，但是国内电</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网侧辅助服务成本目前还难以传输到用户侧</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4"/>
        </w:rPr>
        <w:t>，在一</w:t>
      </w:r>
      <w:r>
        <w:rPr>
          <w:rFonts w:ascii="Microsoft YaHei" w:hAnsi="Microsoft YaHei" w:eastAsia="Microsoft YaHei" w:cs="Microsoft YaHei"/>
          <w:sz w:val="21"/>
          <w:szCs w:val="21"/>
          <w:spacing w:val="3"/>
        </w:rPr>
        <w:t>定程度可能会限制辅助服务市场的</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9"/>
        </w:rPr>
        <w:t>发展。</w:t>
      </w:r>
    </w:p>
    <w:p>
      <w:pPr>
        <w:ind w:left="10" w:right="2997" w:firstLine="2"/>
        <w:spacing w:before="275" w:line="218"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如何将辅助服务成本合理传输到用户侧</w:t>
      </w:r>
      <w:r>
        <w:rPr>
          <w:rFonts w:ascii="Microsoft YaHei" w:hAnsi="Microsoft YaHei" w:eastAsia="Microsoft YaHei" w:cs="Microsoft YaHei"/>
          <w:sz w:val="21"/>
          <w:szCs w:val="21"/>
          <w:spacing w:val="-10"/>
        </w:rPr>
        <w:t xml:space="preserve"> </w:t>
      </w:r>
      <w:r>
        <w:rPr>
          <w:rFonts w:ascii="Microsoft YaHei" w:hAnsi="Microsoft YaHei" w:eastAsia="Microsoft YaHei" w:cs="Microsoft YaHei"/>
          <w:sz w:val="21"/>
          <w:szCs w:val="21"/>
          <w:spacing w:val="3"/>
        </w:rPr>
        <w:t>，可引入容量成本回收机制。容量成本回收机</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制包括容量成本补偿机制、稀缺定价机制和容量市场三类</w:t>
      </w:r>
      <w:r>
        <w:rPr>
          <w:rFonts w:ascii="Microsoft YaHei" w:hAnsi="Microsoft YaHei" w:eastAsia="Microsoft YaHei" w:cs="Microsoft YaHei"/>
          <w:sz w:val="21"/>
          <w:szCs w:val="21"/>
          <w:spacing w:val="-1"/>
        </w:rPr>
        <w:t>（表  10</w:t>
      </w:r>
      <w:r>
        <w:rPr>
          <w:rFonts w:ascii="Microsoft YaHei" w:hAnsi="Microsoft YaHei" w:eastAsia="Microsoft YaHei" w:cs="Microsoft YaHei"/>
          <w:sz w:val="21"/>
          <w:szCs w:val="21"/>
        </w:rPr>
        <w:t>），</w:t>
      </w:r>
      <w:r>
        <w:rPr>
          <w:rFonts w:ascii="Microsoft YaHei" w:hAnsi="Microsoft YaHei" w:eastAsia="Microsoft YaHei" w:cs="Microsoft YaHei"/>
          <w:sz w:val="21"/>
          <w:szCs w:val="21"/>
          <w:spacing w:val="-1"/>
        </w:rPr>
        <w:t>其中，智利所代</w:t>
      </w:r>
      <w:r>
        <w:rPr>
          <w:rFonts w:ascii="Microsoft YaHei" w:hAnsi="Microsoft YaHei" w:eastAsia="Microsoft YaHei" w:cs="Microsoft YaHei"/>
          <w:sz w:val="21"/>
          <w:szCs w:val="21"/>
          <w:spacing w:val="1"/>
        </w:rPr>
        <w:t xml:space="preserve"> </w:t>
      </w:r>
      <w:r>
        <w:rPr>
          <w:rFonts w:ascii="Microsoft YaHei" w:hAnsi="Microsoft YaHei" w:eastAsia="Microsoft YaHei" w:cs="Microsoft YaHei"/>
          <w:sz w:val="21"/>
          <w:szCs w:val="21"/>
          <w:spacing w:val="-2"/>
        </w:rPr>
        <w:t>表的容量成本补偿机制较适合中国储能产业现状，山东已率先展开尝试——山东</w:t>
      </w:r>
      <w:r>
        <w:rPr>
          <w:rFonts w:ascii="Microsoft YaHei" w:hAnsi="Microsoft YaHei" w:eastAsia="Microsoft YaHei" w:cs="Microsoft YaHei"/>
          <w:sz w:val="21"/>
          <w:szCs w:val="21"/>
          <w:spacing w:val="-3"/>
        </w:rPr>
        <w:t>容量市</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场运行前</w:t>
      </w:r>
      <w:r>
        <w:rPr>
          <w:rFonts w:ascii="Microsoft YaHei" w:hAnsi="Microsoft YaHei" w:eastAsia="Microsoft YaHei" w:cs="Microsoft YaHei"/>
          <w:sz w:val="21"/>
          <w:szCs w:val="21"/>
          <w:spacing w:val="-26"/>
        </w:rPr>
        <w:t xml:space="preserve"> </w:t>
      </w:r>
      <w:r>
        <w:rPr>
          <w:rFonts w:ascii="Microsoft YaHei" w:hAnsi="Microsoft YaHei" w:eastAsia="Microsoft YaHei" w:cs="Microsoft YaHei"/>
          <w:sz w:val="21"/>
          <w:szCs w:val="21"/>
          <w:spacing w:val="2"/>
        </w:rPr>
        <w:t>，参与电力现货市场的发电机组容量补偿费用从用户侧收取</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2"/>
        </w:rPr>
        <w:t>电价标准暂定</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为每千瓦时0.0991元（含税）</w:t>
      </w:r>
      <w:r>
        <w:rPr>
          <w:rFonts w:ascii="Microsoft YaHei" w:hAnsi="Microsoft YaHei" w:eastAsia="Microsoft YaHei" w:cs="Microsoft YaHei"/>
          <w:sz w:val="13"/>
          <w:szCs w:val="13"/>
          <w:spacing w:val="4"/>
          <w:position w:val="6"/>
        </w:rPr>
        <w:t>37</w:t>
      </w:r>
      <w:r>
        <w:rPr>
          <w:rFonts w:ascii="Microsoft YaHei" w:hAnsi="Microsoft YaHei" w:eastAsia="Microsoft YaHei" w:cs="Microsoft YaHei"/>
          <w:sz w:val="21"/>
          <w:szCs w:val="21"/>
          <w:spacing w:val="4"/>
        </w:rPr>
        <w:t>。将储能补偿费</w:t>
      </w:r>
      <w:r>
        <w:rPr>
          <w:rFonts w:ascii="Microsoft YaHei" w:hAnsi="Microsoft YaHei" w:eastAsia="Microsoft YaHei" w:cs="Microsoft YaHei"/>
          <w:sz w:val="21"/>
          <w:szCs w:val="21"/>
          <w:spacing w:val="3"/>
        </w:rPr>
        <w:t>用平摊至用户侧</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，储能建设项目至少</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能获得容量补偿电价的“保底收益”。</w:t>
      </w:r>
      <w:r>
        <w:rPr>
          <w:rFonts w:ascii="Microsoft YaHei" w:hAnsi="Microsoft YaHei" w:eastAsia="Microsoft YaHei" w:cs="Microsoft YaHei"/>
          <w:sz w:val="21"/>
          <w:szCs w:val="21"/>
          <w:spacing w:val="-37"/>
        </w:rPr>
        <w:t xml:space="preserve"> </w:t>
      </w:r>
      <w:r>
        <w:rPr>
          <w:rFonts w:ascii="Microsoft YaHei" w:hAnsi="Microsoft YaHei" w:eastAsia="Microsoft YaHei" w:cs="Microsoft YaHei"/>
          <w:sz w:val="21"/>
          <w:szCs w:val="21"/>
          <w:spacing w:val="3"/>
        </w:rPr>
        <w:t>一方面</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，容量电价已经是海外大型储能项目确</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定性收益来源之一</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，另一方面</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37"/>
        </w:rPr>
        <w:t xml:space="preserve"> </w:t>
      </w:r>
      <w:r>
        <w:rPr>
          <w:rFonts w:ascii="Microsoft YaHei" w:hAnsi="Microsoft YaHei" w:eastAsia="Microsoft YaHei" w:cs="Microsoft YaHei"/>
          <w:sz w:val="21"/>
          <w:szCs w:val="21"/>
          <w:spacing w:val="2"/>
        </w:rPr>
        <w:t>当前国内部分省份出现了煤电机组容量利用率低导致</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收益下降的问题，都将驱动各地政府积极出台容量成本回收相关政策。</w:t>
      </w:r>
    </w:p>
    <w:p>
      <w:pPr>
        <w:ind w:left="29"/>
        <w:spacing w:before="251" w:line="19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C0AE"/>
          <w:spacing w:val="-4"/>
        </w:rPr>
        <w:t>表 10 | 容量成本回收机制类型</w:t>
      </w:r>
    </w:p>
    <w:p>
      <w:pPr>
        <w:spacing w:line="142" w:lineRule="exact"/>
        <w:rPr/>
      </w:pPr>
      <w:r/>
    </w:p>
    <w:tbl>
      <w:tblPr>
        <w:tblStyle w:val="TableNormal"/>
        <w:tblW w:w="9606" w:type="dxa"/>
        <w:tblInd w:w="24" w:type="dxa"/>
        <w:tblLayout w:type="fixed"/>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
      <w:tblGrid>
        <w:gridCol w:w="1141"/>
        <w:gridCol w:w="2644"/>
        <w:gridCol w:w="2150"/>
        <w:gridCol w:w="2193"/>
        <w:gridCol w:w="1478"/>
      </w:tblGrid>
      <w:tr>
        <w:trPr>
          <w:trHeight w:val="434" w:hRule="atLeast"/>
        </w:trPr>
        <w:tc>
          <w:tcPr>
            <w:shd w:val="clear" w:fill="00C0AE"/>
            <w:tcW w:w="1141" w:type="dxa"/>
            <w:vAlign w:val="top"/>
            <w:tcBorders>
              <w:bottom w:val="single" w:color="FFFFFF" w:sz="24" w:space="0"/>
            </w:tcBorders>
          </w:tcPr>
          <w:p>
            <w:pPr>
              <w:pStyle w:val="TableText"/>
              <w:ind w:left="350"/>
              <w:spacing w:before="102" w:line="178" w:lineRule="auto"/>
              <w:rPr>
                <w:sz w:val="21"/>
                <w:szCs w:val="21"/>
              </w:rPr>
            </w:pPr>
            <w:r>
              <w:rPr>
                <w:sz w:val="21"/>
                <w:szCs w:val="21"/>
                <w:b/>
                <w:bCs/>
                <w:color w:val="FFFFFF"/>
                <w:spacing w:val="-2"/>
              </w:rPr>
              <w:t>类型</w:t>
            </w:r>
          </w:p>
        </w:tc>
        <w:tc>
          <w:tcPr>
            <w:shd w:val="clear" w:fill="00C0AE"/>
            <w:tcW w:w="2644" w:type="dxa"/>
            <w:vAlign w:val="top"/>
            <w:tcBorders>
              <w:bottom w:val="single" w:color="FFFFFF" w:sz="24" w:space="0"/>
            </w:tcBorders>
          </w:tcPr>
          <w:p>
            <w:pPr>
              <w:pStyle w:val="TableText"/>
              <w:ind w:left="1114"/>
              <w:spacing w:before="102" w:line="179" w:lineRule="auto"/>
              <w:rPr>
                <w:sz w:val="21"/>
                <w:szCs w:val="21"/>
              </w:rPr>
            </w:pPr>
            <w:r>
              <w:rPr>
                <w:sz w:val="21"/>
                <w:szCs w:val="21"/>
                <w:b/>
                <w:bCs/>
                <w:color w:val="FFFFFF"/>
                <w:spacing w:val="-5"/>
              </w:rPr>
              <w:t>内涵</w:t>
            </w:r>
          </w:p>
        </w:tc>
        <w:tc>
          <w:tcPr>
            <w:shd w:val="clear" w:fill="00C0AE"/>
            <w:tcW w:w="2150" w:type="dxa"/>
            <w:vAlign w:val="top"/>
            <w:tcBorders>
              <w:bottom w:val="single" w:color="FFFFFF" w:sz="24" w:space="0"/>
            </w:tcBorders>
          </w:tcPr>
          <w:p>
            <w:pPr>
              <w:pStyle w:val="TableText"/>
              <w:ind w:left="861"/>
              <w:spacing w:before="102" w:line="178" w:lineRule="auto"/>
              <w:rPr>
                <w:sz w:val="21"/>
                <w:szCs w:val="21"/>
              </w:rPr>
            </w:pPr>
            <w:r>
              <w:rPr>
                <w:sz w:val="21"/>
                <w:szCs w:val="21"/>
                <w:b/>
                <w:bCs/>
                <w:color w:val="FFFFFF"/>
                <w:spacing w:val="-1"/>
              </w:rPr>
              <w:t>特点</w:t>
            </w:r>
          </w:p>
        </w:tc>
        <w:tc>
          <w:tcPr>
            <w:shd w:val="clear" w:fill="00C0AE"/>
            <w:tcW w:w="2193" w:type="dxa"/>
            <w:vAlign w:val="top"/>
            <w:tcBorders>
              <w:bottom w:val="single" w:color="FFFFFF" w:sz="24" w:space="0"/>
            </w:tcBorders>
          </w:tcPr>
          <w:p>
            <w:pPr>
              <w:pStyle w:val="TableText"/>
              <w:ind w:left="251"/>
              <w:spacing w:before="100" w:line="180" w:lineRule="auto"/>
              <w:rPr>
                <w:sz w:val="21"/>
                <w:szCs w:val="21"/>
              </w:rPr>
            </w:pPr>
            <w:r>
              <w:rPr>
                <w:sz w:val="21"/>
                <w:szCs w:val="21"/>
                <w:b/>
                <w:bCs/>
                <w:color w:val="FFFFFF"/>
              </w:rPr>
              <w:t>适用电力市场类型</w:t>
            </w:r>
          </w:p>
        </w:tc>
        <w:tc>
          <w:tcPr>
            <w:shd w:val="clear" w:fill="00C0AE"/>
            <w:tcW w:w="1478" w:type="dxa"/>
            <w:vAlign w:val="top"/>
            <w:tcBorders>
              <w:bottom w:val="single" w:color="FFFFFF" w:sz="24" w:space="0"/>
            </w:tcBorders>
          </w:tcPr>
          <w:p>
            <w:pPr>
              <w:pStyle w:val="TableText"/>
              <w:ind w:left="314"/>
              <w:spacing w:before="102" w:line="178" w:lineRule="auto"/>
              <w:rPr>
                <w:sz w:val="21"/>
                <w:szCs w:val="21"/>
              </w:rPr>
            </w:pPr>
            <w:r>
              <w:rPr>
                <w:sz w:val="21"/>
                <w:szCs w:val="21"/>
                <w:b/>
                <w:bCs/>
                <w:color w:val="FFFFFF"/>
                <w:spacing w:val="-1"/>
              </w:rPr>
              <w:t>典型地区</w:t>
            </w:r>
          </w:p>
        </w:tc>
      </w:tr>
      <w:tr>
        <w:trPr>
          <w:trHeight w:val="1632" w:hRule="atLeast"/>
        </w:trPr>
        <w:tc>
          <w:tcPr>
            <w:tcW w:w="1141" w:type="dxa"/>
            <w:vAlign w:val="top"/>
            <w:tcBorders>
              <w:right w:val="single" w:color="A8A8A8" w:sz="2" w:space="0"/>
              <w:top w:val="single" w:color="FFFFFF" w:sz="24" w:space="0"/>
            </w:tcBorders>
          </w:tcPr>
          <w:p>
            <w:pPr>
              <w:spacing w:line="460" w:lineRule="auto"/>
              <w:rPr>
                <w:rFonts w:ascii="Arial"/>
                <w:sz w:val="21"/>
              </w:rPr>
            </w:pPr>
            <w:r/>
          </w:p>
          <w:p>
            <w:pPr>
              <w:pStyle w:val="TableText"/>
              <w:ind w:left="102" w:right="185" w:firstLine="2"/>
              <w:spacing w:before="90" w:line="175" w:lineRule="auto"/>
              <w:rPr>
                <w:sz w:val="21"/>
                <w:szCs w:val="21"/>
              </w:rPr>
            </w:pPr>
            <w:r>
              <w:rPr>
                <w:sz w:val="21"/>
                <w:szCs w:val="21"/>
                <w:b/>
                <w:bCs/>
                <w:color w:val="00C0AE"/>
                <w:spacing w:val="-1"/>
              </w:rPr>
              <w:t>容量成本</w:t>
            </w:r>
            <w:r>
              <w:rPr>
                <w:sz w:val="21"/>
                <w:szCs w:val="21"/>
                <w:b/>
                <w:bCs/>
                <w:color w:val="00C0AE"/>
                <w:spacing w:val="1"/>
              </w:rPr>
              <w:t xml:space="preserve"> </w:t>
            </w:r>
            <w:r>
              <w:rPr>
                <w:sz w:val="21"/>
                <w:szCs w:val="21"/>
                <w:b/>
                <w:bCs/>
                <w:color w:val="00C0AE"/>
              </w:rPr>
              <w:t>补偿机制</w:t>
            </w:r>
          </w:p>
        </w:tc>
        <w:tc>
          <w:tcPr>
            <w:tcW w:w="2644" w:type="dxa"/>
            <w:vAlign w:val="top"/>
            <w:tcBorders>
              <w:left w:val="single" w:color="A8A8A8" w:sz="2" w:space="0"/>
              <w:right w:val="single" w:color="A8A8A8" w:sz="2" w:space="0"/>
              <w:top w:val="single" w:color="FFFFFF" w:sz="24" w:space="0"/>
            </w:tcBorders>
          </w:tcPr>
          <w:p>
            <w:pPr>
              <w:pStyle w:val="TableText"/>
              <w:ind w:left="104" w:right="217" w:firstLine="2"/>
              <w:spacing w:before="177" w:line="170" w:lineRule="auto"/>
              <w:jc w:val="both"/>
              <w:rPr>
                <w:sz w:val="21"/>
                <w:szCs w:val="21"/>
              </w:rPr>
            </w:pPr>
            <w:r>
              <w:rPr>
                <w:sz w:val="21"/>
                <w:szCs w:val="21"/>
              </w:rPr>
              <w:t>在政府相关主管部门指导</w:t>
            </w:r>
            <w:r>
              <w:rPr>
                <w:sz w:val="21"/>
                <w:szCs w:val="21"/>
                <w:spacing w:val="3"/>
              </w:rPr>
              <w:t xml:space="preserve"> </w:t>
            </w:r>
            <w:r>
              <w:rPr>
                <w:sz w:val="21"/>
                <w:szCs w:val="21"/>
              </w:rPr>
              <w:t>下，通过对单位容量补偿</w:t>
            </w:r>
            <w:r>
              <w:rPr>
                <w:sz w:val="21"/>
                <w:szCs w:val="21"/>
                <w:spacing w:val="6"/>
              </w:rPr>
              <w:t xml:space="preserve"> </w:t>
            </w:r>
            <w:r>
              <w:rPr>
                <w:sz w:val="21"/>
                <w:szCs w:val="21"/>
              </w:rPr>
              <w:t>标准和各发电机组可补偿</w:t>
            </w:r>
            <w:r>
              <w:rPr>
                <w:sz w:val="21"/>
                <w:szCs w:val="21"/>
                <w:spacing w:val="6"/>
              </w:rPr>
              <w:t xml:space="preserve"> </w:t>
            </w:r>
            <w:r>
              <w:rPr>
                <w:sz w:val="21"/>
                <w:szCs w:val="21"/>
              </w:rPr>
              <w:t>容量的核算，实现对发电</w:t>
            </w:r>
            <w:r>
              <w:rPr>
                <w:sz w:val="21"/>
                <w:szCs w:val="21"/>
                <w:spacing w:val="6"/>
              </w:rPr>
              <w:t xml:space="preserve"> </w:t>
            </w:r>
            <w:r>
              <w:rPr>
                <w:sz w:val="21"/>
                <w:szCs w:val="21"/>
              </w:rPr>
              <w:t>容量成本的合理补偿</w:t>
            </w:r>
          </w:p>
        </w:tc>
        <w:tc>
          <w:tcPr>
            <w:tcW w:w="2150" w:type="dxa"/>
            <w:vAlign w:val="top"/>
            <w:tcBorders>
              <w:left w:val="single" w:color="A8A8A8" w:sz="2" w:space="0"/>
              <w:right w:val="single" w:color="A8A8A8" w:sz="2" w:space="0"/>
              <w:top w:val="single" w:color="FFFFFF" w:sz="24" w:space="0"/>
            </w:tcBorders>
          </w:tcPr>
          <w:p>
            <w:pPr>
              <w:pStyle w:val="TableText"/>
              <w:ind w:left="110" w:firstLine="3"/>
              <w:spacing w:before="307" w:line="170" w:lineRule="auto"/>
              <w:jc w:val="both"/>
              <w:rPr>
                <w:sz w:val="21"/>
                <w:szCs w:val="21"/>
              </w:rPr>
            </w:pPr>
            <w:r>
              <w:rPr>
                <w:sz w:val="21"/>
                <w:szCs w:val="21"/>
                <w:spacing w:val="-3"/>
              </w:rPr>
              <w:t>具备较好的理论基础</w:t>
            </w:r>
            <w:r>
              <w:rPr>
                <w:sz w:val="21"/>
                <w:szCs w:val="21"/>
              </w:rPr>
              <w:t xml:space="preserve">    </w:t>
            </w:r>
            <w:r>
              <w:rPr>
                <w:sz w:val="21"/>
                <w:szCs w:val="21"/>
                <w:spacing w:val="-3"/>
              </w:rPr>
              <w:t>和实践经验，能够有</w:t>
            </w:r>
            <w:r>
              <w:rPr>
                <w:sz w:val="21"/>
                <w:szCs w:val="21"/>
              </w:rPr>
              <w:t xml:space="preserve">    </w:t>
            </w:r>
            <w:r>
              <w:rPr>
                <w:sz w:val="21"/>
                <w:szCs w:val="21"/>
                <w:spacing w:val="-7"/>
              </w:rPr>
              <w:t>序引导发电容量投资，</w:t>
            </w:r>
            <w:r>
              <w:rPr>
                <w:sz w:val="21"/>
                <w:szCs w:val="21"/>
                <w:spacing w:val="3"/>
              </w:rPr>
              <w:t xml:space="preserve"> </w:t>
            </w:r>
            <w:r>
              <w:rPr>
                <w:sz w:val="21"/>
                <w:szCs w:val="21"/>
                <w:spacing w:val="-3"/>
              </w:rPr>
              <w:t>优化资源配置</w:t>
            </w:r>
          </w:p>
        </w:tc>
        <w:tc>
          <w:tcPr>
            <w:tcW w:w="2193" w:type="dxa"/>
            <w:vAlign w:val="top"/>
            <w:tcBorders>
              <w:left w:val="single" w:color="A8A8A8" w:sz="2" w:space="0"/>
              <w:right w:val="single" w:color="A8A8A8" w:sz="2" w:space="0"/>
              <w:top w:val="single" w:color="FFFFFF" w:sz="24" w:space="0"/>
            </w:tcBorders>
          </w:tcPr>
          <w:p>
            <w:pPr>
              <w:pStyle w:val="TableText"/>
              <w:ind w:left="115" w:right="178" w:firstLine="6"/>
              <w:spacing w:before="305" w:line="171" w:lineRule="auto"/>
              <w:jc w:val="both"/>
              <w:rPr>
                <w:sz w:val="21"/>
                <w:szCs w:val="21"/>
              </w:rPr>
            </w:pPr>
            <w:r>
              <w:rPr>
                <w:sz w:val="21"/>
                <w:szCs w:val="21"/>
                <w:spacing w:val="-1"/>
              </w:rPr>
              <w:t>主要适用于电力市场</w:t>
            </w:r>
            <w:r>
              <w:rPr>
                <w:sz w:val="21"/>
                <w:szCs w:val="21"/>
                <w:spacing w:val="6"/>
              </w:rPr>
              <w:t xml:space="preserve"> </w:t>
            </w:r>
            <w:r>
              <w:rPr>
                <w:sz w:val="21"/>
                <w:szCs w:val="21"/>
              </w:rPr>
              <w:t>发展初期，经济社会</w:t>
            </w:r>
            <w:r>
              <w:rPr>
                <w:sz w:val="21"/>
                <w:szCs w:val="21"/>
                <w:spacing w:val="3"/>
              </w:rPr>
              <w:t xml:space="preserve"> </w:t>
            </w:r>
            <w:r>
              <w:rPr>
                <w:sz w:val="21"/>
                <w:szCs w:val="21"/>
              </w:rPr>
              <w:t>和金融市场仍欠发达</w:t>
            </w:r>
            <w:r>
              <w:rPr>
                <w:sz w:val="21"/>
                <w:szCs w:val="21"/>
                <w:spacing w:val="3"/>
              </w:rPr>
              <w:t xml:space="preserve"> </w:t>
            </w:r>
            <w:r>
              <w:rPr>
                <w:sz w:val="21"/>
                <w:szCs w:val="21"/>
                <w:spacing w:val="-1"/>
              </w:rPr>
              <w:t>地区</w:t>
            </w:r>
          </w:p>
        </w:tc>
        <w:tc>
          <w:tcPr>
            <w:tcW w:w="1478" w:type="dxa"/>
            <w:vAlign w:val="top"/>
            <w:tcBorders>
              <w:left w:val="single" w:color="A8A8A8" w:sz="2" w:space="0"/>
              <w:top w:val="single" w:color="FFFFFF" w:sz="24" w:space="0"/>
            </w:tcBorders>
          </w:tcPr>
          <w:p>
            <w:pPr>
              <w:spacing w:line="295" w:lineRule="auto"/>
              <w:rPr>
                <w:rFonts w:ascii="Arial"/>
                <w:sz w:val="21"/>
              </w:rPr>
            </w:pPr>
            <w:r/>
          </w:p>
          <w:p>
            <w:pPr>
              <w:spacing w:line="296" w:lineRule="auto"/>
              <w:rPr>
                <w:rFonts w:ascii="Arial"/>
                <w:sz w:val="21"/>
              </w:rPr>
            </w:pPr>
            <w:r/>
          </w:p>
          <w:p>
            <w:pPr>
              <w:pStyle w:val="TableText"/>
              <w:ind w:left="535"/>
              <w:spacing w:before="90" w:line="176" w:lineRule="auto"/>
              <w:rPr>
                <w:sz w:val="21"/>
                <w:szCs w:val="21"/>
              </w:rPr>
            </w:pPr>
            <w:r>
              <w:rPr>
                <w:sz w:val="21"/>
                <w:szCs w:val="21"/>
                <w:spacing w:val="-2"/>
              </w:rPr>
              <w:t>智利</w:t>
            </w:r>
          </w:p>
        </w:tc>
      </w:tr>
      <w:tr>
        <w:trPr>
          <w:trHeight w:val="1672" w:hRule="atLeast"/>
        </w:trPr>
        <w:tc>
          <w:tcPr>
            <w:shd w:val="clear" w:fill="F1F1F1"/>
            <w:tcW w:w="1141" w:type="dxa"/>
            <w:vAlign w:val="top"/>
            <w:tcBorders>
              <w:right w:val="single" w:color="A8A8A8" w:sz="2" w:space="0"/>
            </w:tcBorders>
          </w:tcPr>
          <w:p>
            <w:pPr>
              <w:spacing w:line="255" w:lineRule="auto"/>
              <w:rPr>
                <w:rFonts w:ascii="Arial"/>
                <w:sz w:val="21"/>
              </w:rPr>
            </w:pPr>
            <w:r/>
          </w:p>
          <w:p>
            <w:pPr>
              <w:spacing w:line="255" w:lineRule="auto"/>
              <w:rPr>
                <w:rFonts w:ascii="Arial"/>
                <w:sz w:val="21"/>
              </w:rPr>
            </w:pPr>
            <w:r/>
          </w:p>
          <w:p>
            <w:pPr>
              <w:pStyle w:val="TableText"/>
              <w:ind w:left="103" w:right="185" w:hanging="1"/>
              <w:spacing w:before="90" w:line="175" w:lineRule="auto"/>
              <w:rPr>
                <w:sz w:val="21"/>
                <w:szCs w:val="21"/>
              </w:rPr>
            </w:pPr>
            <w:r>
              <w:rPr>
                <w:sz w:val="21"/>
                <w:szCs w:val="21"/>
                <w:b/>
                <w:bCs/>
                <w:color w:val="00C0AE"/>
              </w:rPr>
              <w:t>稀缺定价 </w:t>
            </w:r>
            <w:r>
              <w:rPr>
                <w:sz w:val="21"/>
                <w:szCs w:val="21"/>
                <w:b/>
                <w:bCs/>
                <w:color w:val="00C0AE"/>
                <w:spacing w:val="-1"/>
              </w:rPr>
              <w:t>机制</w:t>
            </w:r>
          </w:p>
        </w:tc>
        <w:tc>
          <w:tcPr>
            <w:shd w:val="clear" w:fill="F1F1F1"/>
            <w:tcW w:w="2644" w:type="dxa"/>
            <w:vAlign w:val="top"/>
            <w:tcBorders>
              <w:left w:val="single" w:color="A8A8A8" w:sz="2" w:space="0"/>
              <w:right w:val="single" w:color="A8A8A8" w:sz="2" w:space="0"/>
            </w:tcBorders>
          </w:tcPr>
          <w:p>
            <w:pPr>
              <w:pStyle w:val="TableText"/>
              <w:ind w:left="105" w:right="217" w:firstLine="2"/>
              <w:spacing w:before="225" w:line="170" w:lineRule="auto"/>
              <w:jc w:val="both"/>
              <w:rPr>
                <w:sz w:val="21"/>
                <w:szCs w:val="21"/>
              </w:rPr>
            </w:pPr>
            <w:r>
              <w:rPr>
                <w:sz w:val="21"/>
                <w:szCs w:val="21"/>
              </w:rPr>
              <w:t>在系统电能和备用稀缺情</w:t>
            </w:r>
            <w:r>
              <w:rPr>
                <w:sz w:val="21"/>
                <w:szCs w:val="21"/>
                <w:spacing w:val="3"/>
              </w:rPr>
              <w:t xml:space="preserve"> </w:t>
            </w:r>
            <w:r>
              <w:rPr>
                <w:sz w:val="21"/>
                <w:szCs w:val="21"/>
              </w:rPr>
              <w:t>况下提高电能价格，制定</w:t>
            </w:r>
            <w:r>
              <w:rPr>
                <w:sz w:val="21"/>
                <w:szCs w:val="21"/>
                <w:spacing w:val="5"/>
              </w:rPr>
              <w:t xml:space="preserve"> </w:t>
            </w:r>
            <w:r>
              <w:rPr>
                <w:sz w:val="21"/>
                <w:szCs w:val="21"/>
              </w:rPr>
              <w:t>现货市场价格上限时，允</w:t>
            </w:r>
            <w:r>
              <w:rPr>
                <w:sz w:val="21"/>
                <w:szCs w:val="21"/>
                <w:spacing w:val="5"/>
              </w:rPr>
              <w:t xml:space="preserve"> </w:t>
            </w:r>
            <w:r>
              <w:rPr>
                <w:sz w:val="21"/>
                <w:szCs w:val="21"/>
              </w:rPr>
              <w:t>许系统短时出现极高的价</w:t>
            </w:r>
            <w:r>
              <w:rPr>
                <w:sz w:val="21"/>
                <w:szCs w:val="21"/>
                <w:spacing w:val="5"/>
              </w:rPr>
              <w:t xml:space="preserve"> </w:t>
            </w:r>
            <w:r>
              <w:rPr>
                <w:sz w:val="21"/>
                <w:szCs w:val="21"/>
                <w:spacing w:val="-1"/>
              </w:rPr>
              <w:t>格尖峰</w:t>
            </w:r>
          </w:p>
        </w:tc>
        <w:tc>
          <w:tcPr>
            <w:shd w:val="clear" w:fill="F1F1F1"/>
            <w:tcW w:w="2150" w:type="dxa"/>
            <w:vAlign w:val="top"/>
            <w:tcBorders>
              <w:left w:val="single" w:color="A8A8A8" w:sz="2" w:space="0"/>
              <w:right w:val="single" w:color="A8A8A8" w:sz="2" w:space="0"/>
            </w:tcBorders>
          </w:tcPr>
          <w:p>
            <w:pPr>
              <w:spacing w:line="265" w:lineRule="auto"/>
              <w:rPr>
                <w:rFonts w:ascii="Arial"/>
                <w:sz w:val="21"/>
              </w:rPr>
            </w:pPr>
            <w:r/>
          </w:p>
          <w:p>
            <w:pPr>
              <w:pStyle w:val="TableText"/>
              <w:ind w:left="111" w:right="139" w:hanging="1"/>
              <w:spacing w:before="90" w:line="170" w:lineRule="auto"/>
              <w:jc w:val="both"/>
              <w:rPr>
                <w:sz w:val="21"/>
                <w:szCs w:val="21"/>
              </w:rPr>
            </w:pPr>
            <w:r>
              <w:rPr>
                <w:sz w:val="21"/>
                <w:szCs w:val="21"/>
              </w:rPr>
              <w:t>稀缺电价仅反映短时</w:t>
            </w:r>
            <w:r>
              <w:rPr>
                <w:sz w:val="21"/>
                <w:szCs w:val="21"/>
                <w:spacing w:val="3"/>
              </w:rPr>
              <w:t xml:space="preserve"> </w:t>
            </w:r>
            <w:r>
              <w:rPr>
                <w:sz w:val="21"/>
                <w:szCs w:val="21"/>
              </w:rPr>
              <w:t>的供需，会给系统长</w:t>
            </w:r>
            <w:r>
              <w:rPr>
                <w:sz w:val="21"/>
                <w:szCs w:val="21"/>
                <w:spacing w:val="1"/>
              </w:rPr>
              <w:t xml:space="preserve"> </w:t>
            </w:r>
            <w:r>
              <w:rPr>
                <w:sz w:val="21"/>
                <w:szCs w:val="21"/>
              </w:rPr>
              <w:t>期容量充裕度及发电</w:t>
            </w:r>
            <w:r>
              <w:rPr>
                <w:sz w:val="21"/>
                <w:szCs w:val="21"/>
                <w:spacing w:val="1"/>
              </w:rPr>
              <w:t xml:space="preserve"> </w:t>
            </w:r>
            <w:r>
              <w:rPr>
                <w:sz w:val="21"/>
                <w:szCs w:val="21"/>
              </w:rPr>
              <w:t>投资带来较大风险</w:t>
            </w:r>
          </w:p>
        </w:tc>
        <w:tc>
          <w:tcPr>
            <w:shd w:val="clear" w:fill="F1F1F1"/>
            <w:tcW w:w="2193" w:type="dxa"/>
            <w:vAlign w:val="top"/>
            <w:tcBorders>
              <w:left w:val="single" w:color="A8A8A8" w:sz="2" w:space="0"/>
              <w:right w:val="single" w:color="A8A8A8" w:sz="2" w:space="0"/>
            </w:tcBorders>
          </w:tcPr>
          <w:p>
            <w:pPr>
              <w:spacing w:line="387" w:lineRule="auto"/>
              <w:rPr>
                <w:rFonts w:ascii="Arial"/>
                <w:sz w:val="21"/>
              </w:rPr>
            </w:pPr>
            <w:r/>
          </w:p>
          <w:p>
            <w:pPr>
              <w:pStyle w:val="TableText"/>
              <w:ind w:left="117" w:right="178" w:firstLine="4"/>
              <w:spacing w:before="90" w:line="171" w:lineRule="auto"/>
              <w:jc w:val="both"/>
              <w:rPr>
                <w:sz w:val="21"/>
                <w:szCs w:val="21"/>
              </w:rPr>
            </w:pPr>
            <w:r>
              <w:rPr>
                <w:sz w:val="21"/>
                <w:szCs w:val="21"/>
                <w:spacing w:val="-1"/>
              </w:rPr>
              <w:t>主要适用于对高价风</w:t>
            </w:r>
            <w:r>
              <w:rPr>
                <w:sz w:val="21"/>
                <w:szCs w:val="21"/>
                <w:spacing w:val="6"/>
              </w:rPr>
              <w:t xml:space="preserve"> </w:t>
            </w:r>
            <w:r>
              <w:rPr>
                <w:sz w:val="21"/>
                <w:szCs w:val="21"/>
              </w:rPr>
              <w:t>险承受力强的电力市</w:t>
            </w:r>
            <w:r>
              <w:rPr>
                <w:sz w:val="21"/>
                <w:szCs w:val="21"/>
                <w:spacing w:val="1"/>
              </w:rPr>
              <w:t xml:space="preserve"> </w:t>
            </w:r>
            <w:r>
              <w:rPr>
                <w:sz w:val="21"/>
                <w:szCs w:val="21"/>
              </w:rPr>
              <w:t>场</w:t>
            </w:r>
          </w:p>
        </w:tc>
        <w:tc>
          <w:tcPr>
            <w:shd w:val="clear" w:fill="F1F1F1"/>
            <w:tcW w:w="1478" w:type="dxa"/>
            <w:vAlign w:val="top"/>
            <w:tcBorders>
              <w:left w:val="single" w:color="A8A8A8" w:sz="2" w:space="0"/>
            </w:tcBorders>
          </w:tcPr>
          <w:p>
            <w:pPr>
              <w:spacing w:line="256" w:lineRule="auto"/>
              <w:rPr>
                <w:rFonts w:ascii="Arial"/>
                <w:sz w:val="21"/>
              </w:rPr>
            </w:pPr>
            <w:r/>
          </w:p>
          <w:p>
            <w:pPr>
              <w:spacing w:line="257" w:lineRule="auto"/>
              <w:rPr>
                <w:rFonts w:ascii="Arial"/>
                <w:sz w:val="21"/>
              </w:rPr>
            </w:pPr>
            <w:r/>
          </w:p>
          <w:p>
            <w:pPr>
              <w:pStyle w:val="TableText"/>
              <w:ind w:left="322" w:right="234" w:hanging="104"/>
              <w:spacing w:before="90" w:line="173" w:lineRule="auto"/>
              <w:rPr>
                <w:sz w:val="21"/>
                <w:szCs w:val="21"/>
              </w:rPr>
            </w:pPr>
            <w:r>
              <w:rPr>
                <w:sz w:val="21"/>
                <w:szCs w:val="21"/>
                <w:spacing w:val="-8"/>
              </w:rPr>
              <w:t>美国得州、</w:t>
            </w:r>
            <w:r>
              <w:rPr>
                <w:sz w:val="21"/>
                <w:szCs w:val="21"/>
                <w:spacing w:val="1"/>
              </w:rPr>
              <w:t xml:space="preserve"> </w:t>
            </w:r>
            <w:r>
              <w:rPr>
                <w:sz w:val="21"/>
                <w:szCs w:val="21"/>
                <w:spacing w:val="-1"/>
              </w:rPr>
              <w:t>澳大利亚</w:t>
            </w:r>
          </w:p>
        </w:tc>
      </w:tr>
      <w:tr>
        <w:trPr>
          <w:trHeight w:val="1686" w:hRule="atLeast"/>
        </w:trPr>
        <w:tc>
          <w:tcPr>
            <w:tcW w:w="1141" w:type="dxa"/>
            <w:vAlign w:val="top"/>
            <w:tcBorders>
              <w:right w:val="single" w:color="A8A8A8" w:sz="2" w:space="0"/>
              <w:bottom w:val="single" w:color="A8A8A8" w:sz="12" w:space="0"/>
            </w:tcBorders>
          </w:tcPr>
          <w:p>
            <w:pPr>
              <w:spacing w:line="322" w:lineRule="auto"/>
              <w:rPr>
                <w:rFonts w:ascii="Arial"/>
                <w:sz w:val="21"/>
              </w:rPr>
            </w:pPr>
            <w:r/>
          </w:p>
          <w:p>
            <w:pPr>
              <w:spacing w:line="323" w:lineRule="auto"/>
              <w:rPr>
                <w:rFonts w:ascii="Arial"/>
                <w:sz w:val="21"/>
              </w:rPr>
            </w:pPr>
            <w:r/>
          </w:p>
          <w:p>
            <w:pPr>
              <w:pStyle w:val="TableText"/>
              <w:ind w:left="104"/>
              <w:spacing w:before="90" w:line="180" w:lineRule="auto"/>
              <w:rPr>
                <w:sz w:val="21"/>
                <w:szCs w:val="21"/>
              </w:rPr>
            </w:pPr>
            <w:r>
              <w:rPr>
                <w:sz w:val="21"/>
                <w:szCs w:val="21"/>
                <w:b/>
                <w:bCs/>
                <w:color w:val="00C0AE"/>
                <w:spacing w:val="-1"/>
              </w:rPr>
              <w:t>容量市场</w:t>
            </w:r>
          </w:p>
        </w:tc>
        <w:tc>
          <w:tcPr>
            <w:tcW w:w="2644" w:type="dxa"/>
            <w:vAlign w:val="top"/>
            <w:tcBorders>
              <w:left w:val="single" w:color="A8A8A8" w:sz="2" w:space="0"/>
              <w:right w:val="single" w:color="A8A8A8" w:sz="2" w:space="0"/>
              <w:bottom w:val="single" w:color="A8A8A8" w:sz="12" w:space="0"/>
            </w:tcBorders>
          </w:tcPr>
          <w:p>
            <w:pPr>
              <w:spacing w:line="270" w:lineRule="auto"/>
              <w:rPr>
                <w:rFonts w:ascii="Arial"/>
                <w:sz w:val="21"/>
              </w:rPr>
            </w:pPr>
            <w:r/>
          </w:p>
          <w:p>
            <w:pPr>
              <w:pStyle w:val="TableText"/>
              <w:ind w:left="107" w:right="217" w:firstLine="12"/>
              <w:spacing w:before="90" w:line="171" w:lineRule="auto"/>
              <w:jc w:val="both"/>
              <w:rPr>
                <w:sz w:val="21"/>
                <w:szCs w:val="21"/>
              </w:rPr>
            </w:pPr>
            <w:r>
              <w:rPr>
                <w:sz w:val="21"/>
                <w:szCs w:val="21"/>
                <w:spacing w:val="-1"/>
              </w:rPr>
              <w:t>以市场竞争方式形成容量</w:t>
            </w:r>
            <w:r>
              <w:rPr>
                <w:sz w:val="21"/>
                <w:szCs w:val="21"/>
                <w:spacing w:val="1"/>
              </w:rPr>
              <w:t xml:space="preserve"> </w:t>
            </w:r>
            <w:r>
              <w:rPr>
                <w:sz w:val="21"/>
                <w:szCs w:val="21"/>
              </w:rPr>
              <w:t>价格实现发电容量成本回</w:t>
            </w:r>
            <w:r>
              <w:rPr>
                <w:sz w:val="21"/>
                <w:szCs w:val="21"/>
                <w:spacing w:val="3"/>
              </w:rPr>
              <w:t xml:space="preserve"> </w:t>
            </w:r>
            <w:r>
              <w:rPr>
                <w:sz w:val="21"/>
                <w:szCs w:val="21"/>
              </w:rPr>
              <w:t>收，是竞争性电力市场的</w:t>
            </w:r>
            <w:r>
              <w:rPr>
                <w:sz w:val="21"/>
                <w:szCs w:val="21"/>
                <w:spacing w:val="3"/>
              </w:rPr>
              <w:t xml:space="preserve"> </w:t>
            </w:r>
            <w:r>
              <w:rPr>
                <w:sz w:val="21"/>
                <w:szCs w:val="21"/>
                <w:spacing w:val="-1"/>
              </w:rPr>
              <w:t>有机组成</w:t>
            </w:r>
          </w:p>
        </w:tc>
        <w:tc>
          <w:tcPr>
            <w:tcW w:w="2150" w:type="dxa"/>
            <w:vAlign w:val="top"/>
            <w:tcBorders>
              <w:left w:val="single" w:color="A8A8A8" w:sz="2" w:space="0"/>
              <w:right w:val="single" w:color="A8A8A8" w:sz="2" w:space="0"/>
              <w:bottom w:val="single" w:color="A8A8A8" w:sz="12" w:space="0"/>
            </w:tcBorders>
          </w:tcPr>
          <w:p>
            <w:pPr>
              <w:pStyle w:val="TableText"/>
              <w:ind w:left="113" w:right="139"/>
              <w:spacing w:before="236" w:line="170" w:lineRule="auto"/>
              <w:jc w:val="both"/>
              <w:rPr>
                <w:sz w:val="21"/>
                <w:szCs w:val="21"/>
              </w:rPr>
            </w:pPr>
            <w:r>
              <w:rPr>
                <w:sz w:val="21"/>
                <w:szCs w:val="21"/>
              </w:rPr>
              <w:t>容量市场的设计在理</w:t>
            </w:r>
            <w:r>
              <w:rPr>
                <w:sz w:val="21"/>
                <w:szCs w:val="21"/>
                <w:spacing w:val="1"/>
              </w:rPr>
              <w:t xml:space="preserve"> </w:t>
            </w:r>
            <w:r>
              <w:rPr>
                <w:sz w:val="21"/>
                <w:szCs w:val="21"/>
              </w:rPr>
              <w:t>论与实践上均需进一 </w:t>
            </w:r>
            <w:r>
              <w:rPr>
                <w:sz w:val="21"/>
                <w:szCs w:val="21"/>
              </w:rPr>
              <w:t>步完善，且对系统预 </w:t>
            </w:r>
            <w:r>
              <w:rPr>
                <w:sz w:val="21"/>
                <w:szCs w:val="21"/>
              </w:rPr>
              <w:t>测、市场管控和要求 </w:t>
            </w:r>
            <w:r>
              <w:rPr>
                <w:sz w:val="21"/>
                <w:szCs w:val="21"/>
                <w:spacing w:val="-2"/>
              </w:rPr>
              <w:t>较高</w:t>
            </w:r>
          </w:p>
        </w:tc>
        <w:tc>
          <w:tcPr>
            <w:tcW w:w="2193" w:type="dxa"/>
            <w:vAlign w:val="top"/>
            <w:tcBorders>
              <w:left w:val="single" w:color="A8A8A8" w:sz="2" w:space="0"/>
              <w:right w:val="single" w:color="A8A8A8" w:sz="2" w:space="0"/>
              <w:bottom w:val="single" w:color="A8A8A8" w:sz="12" w:space="0"/>
            </w:tcBorders>
          </w:tcPr>
          <w:p>
            <w:pPr>
              <w:spacing w:line="397" w:lineRule="auto"/>
              <w:rPr>
                <w:rFonts w:ascii="Arial"/>
                <w:sz w:val="21"/>
              </w:rPr>
            </w:pPr>
            <w:r/>
          </w:p>
          <w:p>
            <w:pPr>
              <w:pStyle w:val="TableText"/>
              <w:ind w:left="117" w:right="178" w:firstLine="4"/>
              <w:spacing w:before="90" w:line="171" w:lineRule="auto"/>
              <w:jc w:val="both"/>
              <w:rPr>
                <w:sz w:val="21"/>
                <w:szCs w:val="21"/>
              </w:rPr>
            </w:pPr>
            <w:r>
              <w:rPr>
                <w:sz w:val="21"/>
                <w:szCs w:val="21"/>
                <w:spacing w:val="-1"/>
              </w:rPr>
              <w:t>主要适用于电能量市</w:t>
            </w:r>
            <w:r>
              <w:rPr>
                <w:sz w:val="21"/>
                <w:szCs w:val="21"/>
                <w:spacing w:val="6"/>
              </w:rPr>
              <w:t xml:space="preserve"> </w:t>
            </w:r>
            <w:r>
              <w:rPr>
                <w:sz w:val="21"/>
                <w:szCs w:val="21"/>
              </w:rPr>
              <w:t>场发展已经相对完善</w:t>
            </w:r>
            <w:r>
              <w:rPr>
                <w:sz w:val="21"/>
                <w:szCs w:val="21"/>
                <w:spacing w:val="1"/>
              </w:rPr>
              <w:t xml:space="preserve"> </w:t>
            </w:r>
            <w:r>
              <w:rPr>
                <w:sz w:val="21"/>
                <w:szCs w:val="21"/>
                <w:spacing w:val="-2"/>
              </w:rPr>
              <w:t>的地区</w:t>
            </w:r>
          </w:p>
        </w:tc>
        <w:tc>
          <w:tcPr>
            <w:tcW w:w="1478" w:type="dxa"/>
            <w:vAlign w:val="top"/>
            <w:tcBorders>
              <w:left w:val="single" w:color="A8A8A8" w:sz="2" w:space="0"/>
              <w:bottom w:val="single" w:color="A8A8A8" w:sz="12" w:space="0"/>
            </w:tcBorders>
          </w:tcPr>
          <w:p>
            <w:pPr>
              <w:spacing w:line="261" w:lineRule="auto"/>
              <w:rPr>
                <w:rFonts w:ascii="Arial"/>
                <w:sz w:val="21"/>
              </w:rPr>
            </w:pPr>
            <w:r/>
          </w:p>
          <w:p>
            <w:pPr>
              <w:spacing w:line="261" w:lineRule="auto"/>
              <w:rPr>
                <w:rFonts w:ascii="Arial"/>
                <w:sz w:val="21"/>
              </w:rPr>
            </w:pPr>
            <w:r/>
          </w:p>
          <w:p>
            <w:pPr>
              <w:pStyle w:val="TableText"/>
              <w:ind w:left="215" w:right="121" w:hanging="96"/>
              <w:spacing w:before="91" w:line="173" w:lineRule="auto"/>
              <w:rPr>
                <w:sz w:val="21"/>
                <w:szCs w:val="21"/>
              </w:rPr>
            </w:pPr>
            <w:r>
              <w:rPr>
                <w:sz w:val="21"/>
                <w:szCs w:val="21"/>
                <w:spacing w:val="-6"/>
              </w:rPr>
              <w:t>英国、法国、</w:t>
            </w:r>
            <w:r>
              <w:rPr>
                <w:sz w:val="21"/>
                <w:szCs w:val="21"/>
              </w:rPr>
              <w:t xml:space="preserve"> </w:t>
            </w:r>
            <w:r>
              <w:rPr>
                <w:sz w:val="21"/>
                <w:szCs w:val="21"/>
                <w:spacing w:val="-1"/>
              </w:rPr>
              <w:t>美国PJM等</w:t>
            </w:r>
          </w:p>
        </w:tc>
      </w:tr>
    </w:tbl>
    <w:p>
      <w:pPr>
        <w:ind w:left="10"/>
        <w:spacing w:before="220" w:line="187"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8"/>
        </w:rPr>
        <w:t>资料来源：电力现货市场101问，容量成本回收机制工作指引，毕马威分析</w:t>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ict>
          <v:shape id="_x0000_s954" style="position:absolute;margin-left:0.25pt;margin-top:4.63995pt;mso-position-vertical-relative:text;mso-position-horizontal-relative:text;width:81.3pt;height:0.5pt;z-index:252641280;" filled="false" strokecolor="#000000" strokeweight="0.50pt" coordsize="1626,10" coordorigin="0,0" path="m0,5l1625,5e">
            <v:stroke joinstyle="miter"/>
          </v:shape>
        </w:pict>
      </w:r>
      <w:r/>
    </w:p>
    <w:p>
      <w:pPr>
        <w:ind w:left="4"/>
        <w:spacing w:before="56" w:line="189"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7"/>
          <w:position w:val="4"/>
        </w:rPr>
        <w:t>36 </w:t>
      </w:r>
      <w:r>
        <w:rPr>
          <w:rFonts w:ascii="Microsoft YaHei" w:hAnsi="Microsoft YaHei" w:eastAsia="Microsoft YaHei" w:cs="Microsoft YaHei"/>
          <w:sz w:val="13"/>
          <w:szCs w:val="13"/>
          <w:spacing w:val="7"/>
        </w:rPr>
        <w:t>国家能源局市场监管司负责同志就《电力并网运行管理规定》《电力辅助服务管理办法</w:t>
      </w:r>
      <w:r>
        <w:rPr>
          <w:rFonts w:ascii="Microsoft YaHei" w:hAnsi="Microsoft YaHei" w:eastAsia="Microsoft YaHei" w:cs="Microsoft YaHei"/>
          <w:sz w:val="13"/>
          <w:szCs w:val="13"/>
          <w:spacing w:val="6"/>
        </w:rPr>
        <w:t>》答记者问，</w:t>
      </w:r>
      <w:r>
        <w:rPr>
          <w:rFonts w:ascii="Microsoft YaHei" w:hAnsi="Microsoft YaHei" w:eastAsia="Microsoft YaHei" w:cs="Microsoft YaHei"/>
          <w:sz w:val="13"/>
          <w:szCs w:val="13"/>
          <w:spacing w:val="19"/>
        </w:rPr>
        <w:t xml:space="preserve"> </w:t>
      </w:r>
      <w:r>
        <w:rPr>
          <w:rFonts w:ascii="Microsoft YaHei" w:hAnsi="Microsoft YaHei" w:eastAsia="Microsoft YaHei" w:cs="Microsoft YaHei"/>
          <w:sz w:val="13"/>
          <w:szCs w:val="13"/>
          <w:spacing w:val="6"/>
        </w:rPr>
        <w:t>国家能源局网站，</w:t>
      </w:r>
      <w:r>
        <w:rPr>
          <w:rFonts w:ascii="Microsoft YaHei" w:hAnsi="Microsoft YaHei" w:eastAsia="Microsoft YaHei" w:cs="Microsoft YaHei"/>
          <w:sz w:val="13"/>
          <w:szCs w:val="13"/>
          <w:spacing w:val="-10"/>
        </w:rPr>
        <w:t xml:space="preserve"> </w:t>
      </w:r>
      <w:r>
        <w:rPr>
          <w:rFonts w:ascii="Microsoft YaHei" w:hAnsi="Microsoft YaHei" w:eastAsia="Microsoft YaHei" w:cs="Microsoft YaHei"/>
          <w:sz w:val="13"/>
          <w:szCs w:val="13"/>
          <w:spacing w:val="6"/>
        </w:rPr>
        <w:t>2021年12月24日</w:t>
      </w:r>
    </w:p>
    <w:p>
      <w:pPr>
        <w:ind w:left="4"/>
        <w:spacing w:before="54" w:line="189"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7"/>
          <w:position w:val="4"/>
        </w:rPr>
        <w:t>37</w:t>
      </w:r>
      <w:r>
        <w:rPr>
          <w:rFonts w:ascii="Microsoft YaHei" w:hAnsi="Microsoft YaHei" w:eastAsia="Microsoft YaHei" w:cs="Microsoft YaHei"/>
          <w:sz w:val="9"/>
          <w:szCs w:val="9"/>
          <w:spacing w:val="10"/>
          <w:w w:val="102"/>
          <w:position w:val="4"/>
        </w:rPr>
        <w:t xml:space="preserve"> </w:t>
      </w:r>
      <w:r>
        <w:rPr>
          <w:rFonts w:ascii="Microsoft YaHei" w:hAnsi="Microsoft YaHei" w:eastAsia="Microsoft YaHei" w:cs="Microsoft YaHei"/>
          <w:sz w:val="13"/>
          <w:szCs w:val="13"/>
          <w:spacing w:val="7"/>
        </w:rPr>
        <w:t>山东省发展和改革委员会关于电力现货市场容量补偿电价有关事项的</w:t>
      </w:r>
      <w:r>
        <w:rPr>
          <w:rFonts w:ascii="Microsoft YaHei" w:hAnsi="Microsoft YaHei" w:eastAsia="Microsoft YaHei" w:cs="Microsoft YaHei"/>
          <w:sz w:val="13"/>
          <w:szCs w:val="13"/>
          <w:spacing w:val="6"/>
        </w:rPr>
        <w:t>通知，山东省人民政府网站，</w:t>
      </w:r>
      <w:r>
        <w:rPr>
          <w:rFonts w:ascii="Microsoft YaHei" w:hAnsi="Microsoft YaHei" w:eastAsia="Microsoft YaHei" w:cs="Microsoft YaHei"/>
          <w:sz w:val="13"/>
          <w:szCs w:val="13"/>
          <w:spacing w:val="24"/>
        </w:rPr>
        <w:t xml:space="preserve"> </w:t>
      </w:r>
      <w:r>
        <w:rPr>
          <w:rFonts w:ascii="Microsoft YaHei" w:hAnsi="Microsoft YaHei" w:eastAsia="Microsoft YaHei" w:cs="Microsoft YaHei"/>
          <w:sz w:val="13"/>
          <w:szCs w:val="13"/>
          <w:spacing w:val="6"/>
        </w:rPr>
        <w:t>2022年4月22日</w:t>
      </w:r>
    </w:p>
    <w:p>
      <w:pPr>
        <w:ind w:left="505" w:right="1241" w:hanging="411"/>
        <w:spacing w:before="234"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1300" w:header="0" w:footer="0" w:gutter="0"/>
        </w:sectPr>
        <w:rPr>
          <w:rFonts w:ascii="Microsoft YaHei" w:hAnsi="Microsoft YaHei" w:eastAsia="Microsoft YaHei" w:cs="Microsoft YaHei"/>
          <w:sz w:val="11"/>
          <w:szCs w:val="11"/>
        </w:rPr>
      </w:pPr>
    </w:p>
    <w:p>
      <w:pPr>
        <w:spacing w:before="314" w:line="193" w:lineRule="auto"/>
        <w:outlineLvl w:val="0"/>
        <w:rPr>
          <w:rFonts w:ascii="Microsoft YaHei" w:hAnsi="Microsoft YaHei" w:eastAsia="Microsoft YaHei" w:cs="Microsoft YaHei"/>
          <w:sz w:val="18"/>
          <w:szCs w:val="18"/>
        </w:rPr>
      </w:pPr>
      <w:r>
        <w:pict>
          <v:rect id="_x0000_s956" style="position:absolute;margin-left:611.99pt;margin-top:0pt;mso-position-vertical-relative:page;mso-position-horizontal-relative:page;width:0.25pt;height:859pt;z-index:252678144;" o:allowincell="f" fillcolor="#000000" filled="true" stroked="false"/>
        </w:pict>
      </w:r>
      <w:r>
        <w:rPr>
          <w:rFonts w:ascii="Microsoft YaHei" w:hAnsi="Microsoft YaHei" w:eastAsia="Microsoft YaHei" w:cs="Microsoft YaHei"/>
          <w:sz w:val="18"/>
          <w:szCs w:val="18"/>
          <w:b/>
          <w:bCs/>
          <w:color w:val="A8A8A8"/>
          <w:spacing w:val="-1"/>
        </w:rPr>
        <w:t>43</w:t>
      </w:r>
      <w:r>
        <w:rPr>
          <w:rFonts w:ascii="Microsoft YaHei" w:hAnsi="Microsoft YaHei" w:eastAsia="Microsoft YaHei" w:cs="Microsoft YaHei"/>
          <w:sz w:val="18"/>
          <w:szCs w:val="18"/>
          <w:b/>
          <w:bCs/>
          <w:color w:val="A8A8A8"/>
          <w:spacing w:val="15"/>
          <w:w w:val="101"/>
        </w:rPr>
        <w:t xml:space="preserve">  </w:t>
      </w:r>
      <w:r>
        <w:rPr>
          <w:sz w:val="18"/>
          <w:szCs w:val="18"/>
          <w:position w:val="-4"/>
        </w:rPr>
        <w:drawing>
          <wp:inline distT="0" distB="0" distL="0" distR="0">
            <wp:extent cx="6350" cy="130175"/>
            <wp:effectExtent l="0" t="0" r="0" b="0"/>
            <wp:docPr id="486" name="IM 486"/>
            <wp:cNvGraphicFramePr/>
            <a:graphic>
              <a:graphicData uri="http://schemas.openxmlformats.org/drawingml/2006/picture">
                <pic:pic>
                  <pic:nvPicPr>
                    <pic:cNvPr id="486" name="IM 486"/>
                    <pic:cNvPicPr/>
                  </pic:nvPicPr>
                  <pic:blipFill>
                    <a:blip r:embed="rId222"/>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A8A8A8"/>
          <w:spacing w:val="26"/>
          <w:w w:val="101"/>
        </w:rPr>
        <w:t xml:space="preserve">  </w:t>
      </w:r>
      <w:r>
        <w:rPr>
          <w:rFonts w:ascii="Microsoft YaHei" w:hAnsi="Microsoft YaHei" w:eastAsia="Microsoft YaHei" w:cs="Microsoft YaHei"/>
          <w:sz w:val="18"/>
          <w:szCs w:val="18"/>
          <w:color w:val="A8A8A8"/>
          <w:spacing w:val="-1"/>
        </w:rPr>
        <w:t>新型储能助力能源转型</w:t>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3" w:lineRule="auto"/>
        <w:rPr/>
      </w:pPr>
      <w:r/>
    </w:p>
    <w:p>
      <w:pPr>
        <w:ind w:left="349" w:right="2996" w:firstLine="1"/>
        <w:spacing w:before="90" w:line="217"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此外</w:t>
      </w:r>
      <w:r>
        <w:rPr>
          <w:rFonts w:ascii="Microsoft YaHei" w:hAnsi="Microsoft YaHei" w:eastAsia="Microsoft YaHei" w:cs="Microsoft YaHei"/>
          <w:sz w:val="21"/>
          <w:szCs w:val="21"/>
          <w:spacing w:val="-25"/>
        </w:rPr>
        <w:t xml:space="preserve"> </w:t>
      </w:r>
      <w:r>
        <w:rPr>
          <w:rFonts w:ascii="Microsoft YaHei" w:hAnsi="Microsoft YaHei" w:eastAsia="Microsoft YaHei" w:cs="Microsoft YaHei"/>
          <w:sz w:val="21"/>
          <w:szCs w:val="21"/>
          <w:spacing w:val="1"/>
        </w:rPr>
        <w:t>，调峰是我国特有的电力辅助服务品种</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1"/>
        </w:rPr>
        <w:t>，国外成熟市场中</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1"/>
        </w:rPr>
        <w:t>电网调峰均是通过现</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货市场的分时电价引导市场成员在高峰和低谷时</w:t>
      </w:r>
      <w:r>
        <w:rPr>
          <w:rFonts w:ascii="Microsoft YaHei" w:hAnsi="Microsoft YaHei" w:eastAsia="Microsoft YaHei" w:cs="Microsoft YaHei"/>
          <w:sz w:val="21"/>
          <w:szCs w:val="21"/>
          <w:spacing w:val="3"/>
        </w:rPr>
        <w:t>段调整出力来解决</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，原因在于调峰本</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质上解决的是电能实时平衡问题</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，只要电力市场能实</w:t>
      </w:r>
      <w:r>
        <w:rPr>
          <w:rFonts w:ascii="Microsoft YaHei" w:hAnsi="Microsoft YaHei" w:eastAsia="Microsoft YaHei" w:cs="Microsoft YaHei"/>
          <w:sz w:val="21"/>
          <w:szCs w:val="21"/>
          <w:spacing w:val="2"/>
        </w:rPr>
        <w:t>时反映电价变化情况</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，就可以引</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导市场主体主动参与调峰。2021年</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，国</w:t>
      </w:r>
      <w:r>
        <w:rPr>
          <w:rFonts w:ascii="Microsoft YaHei" w:hAnsi="Microsoft YaHei" w:eastAsia="Microsoft YaHei" w:cs="Microsoft YaHei"/>
          <w:sz w:val="21"/>
          <w:szCs w:val="21"/>
          <w:spacing w:val="1"/>
        </w:rPr>
        <w:t>家能源局在《关于进一步做好电力现货市场建</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设试点工作的通知》</w:t>
      </w:r>
      <w:r>
        <w:rPr>
          <w:rFonts w:ascii="Microsoft YaHei" w:hAnsi="Microsoft YaHei" w:eastAsia="Microsoft YaHei" w:cs="Microsoft YaHei"/>
          <w:sz w:val="21"/>
          <w:szCs w:val="21"/>
          <w:spacing w:val="-30"/>
        </w:rPr>
        <w:t xml:space="preserve"> </w:t>
      </w:r>
      <w:r>
        <w:rPr>
          <w:rFonts w:ascii="Microsoft YaHei" w:hAnsi="Microsoft YaHei" w:eastAsia="Microsoft YaHei" w:cs="Microsoft YaHei"/>
          <w:sz w:val="21"/>
          <w:szCs w:val="21"/>
          <w:spacing w:val="3"/>
        </w:rPr>
        <w:t>中明确指出</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，在电力现货市场运行期间</w:t>
      </w:r>
      <w:r>
        <w:rPr>
          <w:rFonts w:ascii="Microsoft YaHei" w:hAnsi="Microsoft YaHei" w:eastAsia="Microsoft YaHei" w:cs="Microsoft YaHei"/>
          <w:sz w:val="21"/>
          <w:szCs w:val="21"/>
          <w:spacing w:val="2"/>
        </w:rPr>
        <w:t>由现货电能量市场代替调</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峰市场。</w:t>
      </w:r>
      <w:r>
        <w:rPr>
          <w:rFonts w:ascii="Microsoft YaHei" w:hAnsi="Microsoft YaHei" w:eastAsia="Microsoft YaHei" w:cs="Microsoft YaHei"/>
          <w:sz w:val="21"/>
          <w:szCs w:val="21"/>
          <w:spacing w:val="-10"/>
        </w:rPr>
        <w:t xml:space="preserve"> </w:t>
      </w:r>
      <w:r>
        <w:rPr>
          <w:rFonts w:ascii="Microsoft YaHei" w:hAnsi="Microsoft YaHei" w:eastAsia="Microsoft YaHei" w:cs="Microsoft YaHei"/>
          <w:sz w:val="21"/>
          <w:szCs w:val="21"/>
          <w:spacing w:val="1"/>
        </w:rPr>
        <w:t>当前</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1"/>
        </w:rPr>
        <w:t>，国内共有21个地区已开展电力现货市场试点</w:t>
      </w:r>
      <w:r>
        <w:rPr>
          <w:rFonts w:ascii="Microsoft YaHei" w:hAnsi="Microsoft YaHei" w:eastAsia="Microsoft YaHei" w:cs="Microsoft YaHei"/>
          <w:sz w:val="13"/>
          <w:szCs w:val="13"/>
          <w:spacing w:val="1"/>
          <w:position w:val="6"/>
        </w:rPr>
        <w:t>38 </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spacing w:val="-41"/>
        </w:rPr>
        <w:t xml:space="preserve"> </w:t>
      </w:r>
      <w:r>
        <w:rPr>
          <w:rFonts w:ascii="Microsoft YaHei" w:hAnsi="Microsoft YaHei" w:eastAsia="Microsoft YaHei" w:cs="Microsoft YaHei"/>
          <w:sz w:val="21"/>
          <w:szCs w:val="21"/>
          <w:spacing w:val="1"/>
        </w:rPr>
        <w:t>以山东省第五次电力</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现货市场结算试运行结果来看，全省电力现货日前市场出清最高价1.34元/kWh</w:t>
      </w:r>
      <w:r>
        <w:rPr>
          <w:rFonts w:ascii="Microsoft YaHei" w:hAnsi="Microsoft YaHei" w:eastAsia="Microsoft YaHei" w:cs="Microsoft YaHei"/>
          <w:sz w:val="21"/>
          <w:szCs w:val="21"/>
          <w:spacing w:val="-25"/>
        </w:rPr>
        <w:t xml:space="preserve"> </w:t>
      </w:r>
      <w:r>
        <w:rPr>
          <w:rFonts w:ascii="Microsoft YaHei" w:hAnsi="Microsoft YaHei" w:eastAsia="Microsoft YaHei" w:cs="Microsoft YaHei"/>
          <w:sz w:val="21"/>
          <w:szCs w:val="21"/>
        </w:rPr>
        <w:t>，最低 </w:t>
      </w:r>
      <w:r>
        <w:rPr>
          <w:rFonts w:ascii="Microsoft YaHei" w:hAnsi="Microsoft YaHei" w:eastAsia="Microsoft YaHei" w:cs="Microsoft YaHei"/>
          <w:sz w:val="21"/>
          <w:szCs w:val="21"/>
          <w:spacing w:val="-4"/>
        </w:rPr>
        <w:t>价0.02元/</w:t>
      </w:r>
      <w:r>
        <w:rPr>
          <w:rFonts w:ascii="Microsoft YaHei" w:hAnsi="Microsoft YaHei" w:eastAsia="Microsoft YaHei" w:cs="Microsoft YaHei"/>
          <w:sz w:val="21"/>
          <w:szCs w:val="21"/>
          <w:spacing w:val="70"/>
          <w:w w:val="101"/>
        </w:rPr>
        <w:t xml:space="preserve"> </w:t>
      </w:r>
      <w:r>
        <w:rPr>
          <w:rFonts w:ascii="Microsoft YaHei" w:hAnsi="Microsoft YaHei" w:eastAsia="Microsoft YaHei" w:cs="Microsoft YaHei"/>
          <w:sz w:val="21"/>
          <w:szCs w:val="21"/>
          <w:spacing w:val="-4"/>
        </w:rPr>
        <w:t>kWh，均价0.48元/</w:t>
      </w:r>
      <w:r>
        <w:rPr>
          <w:rFonts w:ascii="Microsoft YaHei" w:hAnsi="Microsoft YaHei" w:eastAsia="Microsoft YaHei" w:cs="Microsoft YaHei"/>
          <w:sz w:val="21"/>
          <w:szCs w:val="21"/>
          <w:spacing w:val="52"/>
        </w:rPr>
        <w:t xml:space="preserve"> </w:t>
      </w:r>
      <w:r>
        <w:rPr>
          <w:rFonts w:ascii="Microsoft YaHei" w:hAnsi="Microsoft YaHei" w:eastAsia="Microsoft YaHei" w:cs="Microsoft YaHei"/>
          <w:sz w:val="21"/>
          <w:szCs w:val="21"/>
          <w:spacing w:val="-4"/>
        </w:rPr>
        <w:t>kWh</w:t>
      </w:r>
      <w:r>
        <w:rPr>
          <w:rFonts w:ascii="Microsoft YaHei" w:hAnsi="Microsoft YaHei" w:eastAsia="Microsoft YaHei" w:cs="Microsoft YaHei"/>
          <w:sz w:val="13"/>
          <w:szCs w:val="13"/>
          <w:spacing w:val="-4"/>
          <w:position w:val="6"/>
        </w:rPr>
        <w:t>39</w:t>
      </w:r>
      <w:r>
        <w:rPr>
          <w:rFonts w:ascii="Microsoft YaHei" w:hAnsi="Microsoft YaHei" w:eastAsia="Microsoft YaHei" w:cs="Microsoft YaHei"/>
          <w:sz w:val="21"/>
          <w:szCs w:val="21"/>
          <w:spacing w:val="-4"/>
        </w:rPr>
        <w:t>，明显高于调峰补偿标准0.15元/kWh（特殊情况</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0.40元/kWh）</w:t>
      </w:r>
      <w:r>
        <w:rPr>
          <w:rFonts w:ascii="Microsoft YaHei" w:hAnsi="Microsoft YaHei" w:eastAsia="Microsoft YaHei" w:cs="Microsoft YaHei"/>
          <w:sz w:val="21"/>
          <w:szCs w:val="21"/>
          <w:spacing w:val="-39"/>
        </w:rPr>
        <w:t xml:space="preserve"> </w:t>
      </w:r>
      <w:r>
        <w:rPr>
          <w:rFonts w:ascii="Microsoft YaHei" w:hAnsi="Microsoft YaHei" w:eastAsia="Microsoft YaHei" w:cs="Microsoft YaHei"/>
          <w:sz w:val="21"/>
          <w:szCs w:val="21"/>
        </w:rPr>
        <w:t>。可见，调峰参与现货市场不仅更符合市场供</w:t>
      </w:r>
      <w:r>
        <w:rPr>
          <w:rFonts w:ascii="Microsoft YaHei" w:hAnsi="Microsoft YaHei" w:eastAsia="Microsoft YaHei" w:cs="Microsoft YaHei"/>
          <w:sz w:val="21"/>
          <w:szCs w:val="21"/>
          <w:spacing w:val="-1"/>
        </w:rPr>
        <w:t>需情况，</w:t>
      </w:r>
      <w:r>
        <w:rPr>
          <w:rFonts w:ascii="Microsoft YaHei" w:hAnsi="Microsoft YaHei" w:eastAsia="Microsoft YaHei" w:cs="Microsoft YaHei"/>
          <w:sz w:val="21"/>
          <w:szCs w:val="21"/>
          <w:spacing w:val="-37"/>
        </w:rPr>
        <w:t xml:space="preserve"> </w:t>
      </w:r>
      <w:r>
        <w:rPr>
          <w:rFonts w:ascii="Microsoft YaHei" w:hAnsi="Microsoft YaHei" w:eastAsia="Microsoft YaHei" w:cs="Microsoft YaHei"/>
          <w:sz w:val="21"/>
          <w:szCs w:val="21"/>
          <w:spacing w:val="-1"/>
        </w:rPr>
        <w:t>且有利于打开储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能盈利空间</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，预计在各地不断推进电力现货市场建设的过程</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，将涌现</w:t>
      </w:r>
      <w:r>
        <w:rPr>
          <w:rFonts w:ascii="Microsoft YaHei" w:hAnsi="Microsoft YaHei" w:eastAsia="Microsoft YaHei" w:cs="Microsoft YaHei"/>
          <w:sz w:val="21"/>
          <w:szCs w:val="21"/>
          <w:spacing w:val="2"/>
        </w:rPr>
        <w:t>出更多更新的市</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场化套利模式。</w:t>
      </w:r>
    </w:p>
    <w:p>
      <w:pPr>
        <w:ind w:left="369"/>
        <w:spacing w:before="294" w:line="19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C0AE"/>
          <w:spacing w:val="-3"/>
        </w:rPr>
        <w:t>表 11 | 部分电网侧储能项目商业模式分析</w:t>
      </w:r>
    </w:p>
    <w:p>
      <w:pPr>
        <w:spacing w:line="158" w:lineRule="exact"/>
        <w:rPr/>
      </w:pPr>
      <w:r/>
    </w:p>
    <w:tbl>
      <w:tblPr>
        <w:tblStyle w:val="TableNormal"/>
        <w:tblW w:w="9637" w:type="dxa"/>
        <w:tblInd w:w="363"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907"/>
        <w:gridCol w:w="4819"/>
        <w:gridCol w:w="3911"/>
      </w:tblGrid>
      <w:tr>
        <w:trPr>
          <w:trHeight w:val="404" w:hRule="atLeast"/>
        </w:trPr>
        <w:tc>
          <w:tcPr>
            <w:shd w:val="clear" w:fill="00C0AE"/>
            <w:tcW w:w="907" w:type="dxa"/>
            <w:vAlign w:val="top"/>
            <w:tcBorders>
              <w:right w:val="single" w:color="FFFFFF" w:sz="8" w:space="0"/>
            </w:tcBorders>
          </w:tcPr>
          <w:p>
            <w:pPr>
              <w:pStyle w:val="TableText"/>
              <w:ind w:left="257"/>
              <w:spacing w:before="95" w:line="180" w:lineRule="auto"/>
              <w:rPr>
                <w:sz w:val="20"/>
                <w:szCs w:val="20"/>
              </w:rPr>
            </w:pPr>
            <w:r>
              <w:rPr>
                <w:sz w:val="20"/>
                <w:szCs w:val="20"/>
                <w:b/>
                <w:bCs/>
                <w:color w:val="FFFFFF"/>
                <w:spacing w:val="-1"/>
              </w:rPr>
              <w:t>案例</w:t>
            </w:r>
          </w:p>
        </w:tc>
        <w:tc>
          <w:tcPr>
            <w:shd w:val="clear" w:fill="00C0AE"/>
            <w:tcW w:w="4819" w:type="dxa"/>
            <w:vAlign w:val="top"/>
            <w:tcBorders>
              <w:left w:val="single" w:color="FFFFFF" w:sz="8" w:space="0"/>
              <w:right w:val="single" w:color="FFFFFF" w:sz="8" w:space="0"/>
            </w:tcBorders>
          </w:tcPr>
          <w:p>
            <w:pPr>
              <w:pStyle w:val="TableText"/>
              <w:ind w:left="1798"/>
              <w:spacing w:before="96" w:line="180" w:lineRule="auto"/>
              <w:rPr>
                <w:sz w:val="20"/>
                <w:szCs w:val="20"/>
              </w:rPr>
            </w:pPr>
            <w:r>
              <w:rPr>
                <w:sz w:val="20"/>
                <w:szCs w:val="20"/>
                <w:b/>
                <w:bCs/>
                <w:color w:val="FFFFFF"/>
              </w:rPr>
              <w:t>投资运营模式</w:t>
            </w:r>
          </w:p>
        </w:tc>
        <w:tc>
          <w:tcPr>
            <w:shd w:val="clear" w:fill="00C0AE"/>
            <w:tcW w:w="3911" w:type="dxa"/>
            <w:vAlign w:val="top"/>
            <w:tcBorders>
              <w:left w:val="single" w:color="FFFFFF" w:sz="8" w:space="0"/>
            </w:tcBorders>
          </w:tcPr>
          <w:p>
            <w:pPr>
              <w:pStyle w:val="TableText"/>
              <w:ind w:left="1351"/>
              <w:spacing w:before="94" w:line="181" w:lineRule="auto"/>
              <w:rPr>
                <w:sz w:val="20"/>
                <w:szCs w:val="20"/>
              </w:rPr>
            </w:pPr>
            <w:r>
              <w:rPr>
                <w:sz w:val="20"/>
                <w:szCs w:val="20"/>
                <w:b/>
                <w:bCs/>
                <w:color w:val="FFFFFF"/>
                <w:spacing w:val="-1"/>
              </w:rPr>
              <w:t>收益定价模式</w:t>
            </w:r>
          </w:p>
        </w:tc>
      </w:tr>
      <w:tr>
        <w:trPr>
          <w:trHeight w:val="1935" w:hRule="atLeast"/>
        </w:trPr>
        <w:tc>
          <w:tcPr>
            <w:tcW w:w="907" w:type="dxa"/>
            <w:vAlign w:val="top"/>
            <w:tcBorders>
              <w:right w:val="single" w:color="A8A8A8" w:sz="2" w:space="0"/>
            </w:tcBorders>
          </w:tcPr>
          <w:p>
            <w:pPr>
              <w:spacing w:line="471" w:lineRule="auto"/>
              <w:rPr>
                <w:rFonts w:ascii="Arial"/>
                <w:sz w:val="21"/>
              </w:rPr>
            </w:pPr>
            <w:r/>
          </w:p>
          <w:p>
            <w:pPr>
              <w:pStyle w:val="TableText"/>
              <w:ind w:left="111" w:right="106" w:firstLine="2"/>
              <w:spacing w:before="77" w:line="171" w:lineRule="auto"/>
              <w:rPr>
                <w:sz w:val="12"/>
                <w:szCs w:val="12"/>
              </w:rPr>
            </w:pPr>
            <w:r>
              <w:rPr>
                <w:sz w:val="18"/>
                <w:szCs w:val="18"/>
                <w:b/>
                <w:bCs/>
                <w:color w:val="00C0AE"/>
              </w:rPr>
              <w:t>湖南长    </w:t>
            </w:r>
            <w:r>
              <w:rPr>
                <w:sz w:val="18"/>
                <w:szCs w:val="18"/>
                <w:b/>
                <w:bCs/>
                <w:color w:val="00C0AE"/>
                <w:spacing w:val="1"/>
              </w:rPr>
              <w:t>沙电池</w:t>
            </w:r>
            <w:r>
              <w:rPr>
                <w:sz w:val="18"/>
                <w:szCs w:val="18"/>
                <w:b/>
                <w:bCs/>
                <w:color w:val="00C0AE"/>
              </w:rPr>
              <w:t xml:space="preserve">    </w:t>
            </w:r>
            <w:r>
              <w:rPr>
                <w:sz w:val="18"/>
                <w:szCs w:val="18"/>
                <w:b/>
                <w:bCs/>
                <w:color w:val="00C0AE"/>
                <w:spacing w:val="1"/>
              </w:rPr>
              <w:t>储能示</w:t>
            </w:r>
            <w:r>
              <w:rPr>
                <w:sz w:val="18"/>
                <w:szCs w:val="18"/>
                <w:b/>
                <w:bCs/>
                <w:color w:val="00C0AE"/>
              </w:rPr>
              <w:t xml:space="preserve">    </w:t>
            </w:r>
            <w:r>
              <w:rPr>
                <w:sz w:val="18"/>
                <w:szCs w:val="18"/>
                <w:b/>
                <w:bCs/>
                <w:color w:val="00C0AE"/>
                <w:spacing w:val="-1"/>
              </w:rPr>
              <w:t>范工程</w:t>
            </w:r>
            <w:r>
              <w:rPr>
                <w:sz w:val="12"/>
                <w:szCs w:val="12"/>
                <w:b/>
                <w:bCs/>
                <w:color w:val="00C0AE"/>
                <w:spacing w:val="-1"/>
                <w:position w:val="4"/>
              </w:rPr>
              <w:t>40</w:t>
            </w:r>
          </w:p>
        </w:tc>
        <w:tc>
          <w:tcPr>
            <w:tcW w:w="4819" w:type="dxa"/>
            <w:vAlign w:val="top"/>
            <w:tcBorders>
              <w:left w:val="single" w:color="A8A8A8" w:sz="2" w:space="0"/>
              <w:right w:val="single" w:color="A8A8A8" w:sz="2" w:space="0"/>
            </w:tcBorders>
          </w:tcPr>
          <w:p>
            <w:pPr>
              <w:pStyle w:val="TableText"/>
              <w:ind w:left="120"/>
              <w:spacing w:before="5" w:line="168" w:lineRule="auto"/>
              <w:rPr>
                <w:sz w:val="18"/>
                <w:szCs w:val="18"/>
              </w:rPr>
            </w:pPr>
            <w:r>
              <w:rPr>
                <w:sz w:val="18"/>
                <w:szCs w:val="18"/>
                <w:position w:val="-3"/>
              </w:rPr>
              <w:drawing>
                <wp:inline distT="0" distB="0" distL="0" distR="0">
                  <wp:extent cx="43318" cy="128564"/>
                  <wp:effectExtent l="0" t="0" r="0" b="0"/>
                  <wp:docPr id="488" name="IM 488"/>
                  <wp:cNvGraphicFramePr/>
                  <a:graphic>
                    <a:graphicData uri="http://schemas.openxmlformats.org/drawingml/2006/picture">
                      <pic:pic>
                        <pic:nvPicPr>
                          <pic:cNvPr id="488" name="IM 488"/>
                          <pic:cNvPicPr/>
                        </pic:nvPicPr>
                        <pic:blipFill>
                          <a:blip r:embed="rId223"/>
                          <a:stretch>
                            <a:fillRect/>
                          </a:stretch>
                        </pic:blipFill>
                        <pic:spPr>
                          <a:xfrm rot="0">
                            <a:off x="0" y="0"/>
                            <a:ext cx="43318" cy="128564"/>
                          </a:xfrm>
                          <a:prstGeom prst="rect">
                            <a:avLst/>
                          </a:prstGeom>
                        </pic:spPr>
                      </pic:pic>
                    </a:graphicData>
                  </a:graphic>
                </wp:inline>
              </w:drawing>
            </w:r>
            <w:r>
              <w:rPr>
                <w:sz w:val="18"/>
                <w:szCs w:val="18"/>
                <w:spacing w:val="13"/>
                <w:w w:val="101"/>
              </w:rPr>
              <w:t xml:space="preserve">   </w:t>
            </w:r>
            <w:r>
              <w:rPr>
                <w:sz w:val="18"/>
                <w:szCs w:val="18"/>
              </w:rPr>
              <w:t>经营租赁模式（电池租赁）</w:t>
            </w:r>
          </w:p>
          <w:p>
            <w:pPr>
              <w:pStyle w:val="TableText"/>
              <w:ind w:left="381" w:right="106" w:hanging="261"/>
              <w:spacing w:before="2" w:line="167" w:lineRule="auto"/>
              <w:rPr>
                <w:sz w:val="18"/>
                <w:szCs w:val="18"/>
              </w:rPr>
            </w:pPr>
            <w:r>
              <w:rPr>
                <w:sz w:val="18"/>
                <w:szCs w:val="18"/>
                <w:position w:val="-3"/>
              </w:rPr>
              <w:drawing>
                <wp:inline distT="0" distB="0" distL="0" distR="0">
                  <wp:extent cx="43318" cy="128564"/>
                  <wp:effectExtent l="0" t="0" r="0" b="0"/>
                  <wp:docPr id="490" name="IM 490"/>
                  <wp:cNvGraphicFramePr/>
                  <a:graphic>
                    <a:graphicData uri="http://schemas.openxmlformats.org/drawingml/2006/picture">
                      <pic:pic>
                        <pic:nvPicPr>
                          <pic:cNvPr id="490" name="IM 490"/>
                          <pic:cNvPicPr/>
                        </pic:nvPicPr>
                        <pic:blipFill>
                          <a:blip r:embed="rId224"/>
                          <a:stretch>
                            <a:fillRect/>
                          </a:stretch>
                        </pic:blipFill>
                        <pic:spPr>
                          <a:xfrm rot="0">
                            <a:off x="0" y="0"/>
                            <a:ext cx="43318" cy="128564"/>
                          </a:xfrm>
                          <a:prstGeom prst="rect">
                            <a:avLst/>
                          </a:prstGeom>
                        </pic:spPr>
                      </pic:pic>
                    </a:graphicData>
                  </a:graphic>
                </wp:inline>
              </w:drawing>
            </w:r>
            <w:r>
              <w:rPr>
                <w:sz w:val="18"/>
                <w:szCs w:val="18"/>
                <w:spacing w:val="20"/>
                <w:w w:val="101"/>
              </w:rPr>
              <w:t xml:space="preserve">   </w:t>
            </w:r>
            <w:r>
              <w:rPr>
                <w:sz w:val="18"/>
                <w:szCs w:val="18"/>
                <w:spacing w:val="-1"/>
              </w:rPr>
              <w:t>电池厂家负责建设电池本体储能系统，收取租赁费，金</w:t>
            </w:r>
            <w:r>
              <w:rPr>
                <w:sz w:val="18"/>
                <w:szCs w:val="18"/>
              </w:rPr>
              <w:t xml:space="preserve"> </w:t>
            </w:r>
            <w:r>
              <w:rPr>
                <w:sz w:val="18"/>
                <w:szCs w:val="18"/>
                <w:spacing w:val="-1"/>
              </w:rPr>
              <w:t>额2.14亿元</w:t>
            </w:r>
          </w:p>
          <w:p>
            <w:pPr>
              <w:pStyle w:val="TableText"/>
              <w:ind w:left="380" w:right="100" w:hanging="260"/>
              <w:spacing w:before="4" w:line="167" w:lineRule="auto"/>
              <w:rPr>
                <w:sz w:val="18"/>
                <w:szCs w:val="18"/>
              </w:rPr>
            </w:pPr>
            <w:r>
              <w:rPr>
                <w:sz w:val="18"/>
                <w:szCs w:val="18"/>
                <w:position w:val="-3"/>
              </w:rPr>
              <w:drawing>
                <wp:inline distT="0" distB="0" distL="0" distR="0">
                  <wp:extent cx="43318" cy="128564"/>
                  <wp:effectExtent l="0" t="0" r="0" b="0"/>
                  <wp:docPr id="492" name="IM 492"/>
                  <wp:cNvGraphicFramePr/>
                  <a:graphic>
                    <a:graphicData uri="http://schemas.openxmlformats.org/drawingml/2006/picture">
                      <pic:pic>
                        <pic:nvPicPr>
                          <pic:cNvPr id="492" name="IM 492"/>
                          <pic:cNvPicPr/>
                        </pic:nvPicPr>
                        <pic:blipFill>
                          <a:blip r:embed="rId225"/>
                          <a:stretch>
                            <a:fillRect/>
                          </a:stretch>
                        </pic:blipFill>
                        <pic:spPr>
                          <a:xfrm rot="0">
                            <a:off x="0" y="0"/>
                            <a:ext cx="43318" cy="128564"/>
                          </a:xfrm>
                          <a:prstGeom prst="rect">
                            <a:avLst/>
                          </a:prstGeom>
                        </pic:spPr>
                      </pic:pic>
                    </a:graphicData>
                  </a:graphic>
                </wp:inline>
              </w:drawing>
            </w:r>
            <w:r>
              <w:rPr>
                <w:sz w:val="18"/>
                <w:szCs w:val="18"/>
                <w:spacing w:val="14"/>
                <w:w w:val="101"/>
              </w:rPr>
              <w:t xml:space="preserve">   </w:t>
            </w:r>
            <w:r>
              <w:rPr>
                <w:sz w:val="18"/>
                <w:szCs w:val="18"/>
              </w:rPr>
              <w:t>国网湖南综合能源服务有限公司采购非电池部分，涵盖 </w:t>
            </w:r>
            <w:r>
              <w:rPr>
                <w:sz w:val="18"/>
                <w:szCs w:val="18"/>
                <w:spacing w:val="1"/>
              </w:rPr>
              <w:t>工程建设、交直流转换（</w:t>
            </w:r>
            <w:r>
              <w:rPr>
                <w:sz w:val="18"/>
                <w:szCs w:val="18"/>
              </w:rPr>
              <w:t>PCS</w:t>
            </w:r>
            <w:r>
              <w:rPr>
                <w:sz w:val="18"/>
                <w:szCs w:val="18"/>
                <w:spacing w:val="1"/>
              </w:rPr>
              <w:t>）成套设备采购、能量控</w:t>
            </w:r>
            <w:r>
              <w:rPr>
                <w:sz w:val="18"/>
                <w:szCs w:val="18"/>
                <w:spacing w:val="7"/>
              </w:rPr>
              <w:t xml:space="preserve"> </w:t>
            </w:r>
            <w:r>
              <w:rPr>
                <w:sz w:val="18"/>
                <w:szCs w:val="18"/>
                <w:spacing w:val="-1"/>
              </w:rPr>
              <w:t>制系统成套设备（EMS）采购等，负责投资建设储能系</w:t>
            </w:r>
            <w:r>
              <w:rPr>
                <w:sz w:val="18"/>
                <w:szCs w:val="18"/>
                <w:spacing w:val="17"/>
              </w:rPr>
              <w:t xml:space="preserve"> </w:t>
            </w:r>
            <w:r>
              <w:rPr>
                <w:sz w:val="18"/>
                <w:szCs w:val="18"/>
                <w:spacing w:val="-1"/>
              </w:rPr>
              <w:t>统，金额1.17亿元</w:t>
            </w:r>
          </w:p>
          <w:p>
            <w:pPr>
              <w:pStyle w:val="TableText"/>
              <w:ind w:left="382" w:right="107" w:hanging="261"/>
              <w:spacing w:line="158" w:lineRule="auto"/>
              <w:rPr>
                <w:sz w:val="18"/>
                <w:szCs w:val="18"/>
              </w:rPr>
            </w:pPr>
            <w:r>
              <w:rPr>
                <w:sz w:val="18"/>
                <w:szCs w:val="18"/>
                <w:position w:val="-3"/>
              </w:rPr>
              <w:drawing>
                <wp:inline distT="0" distB="0" distL="0" distR="0">
                  <wp:extent cx="43318" cy="128564"/>
                  <wp:effectExtent l="0" t="0" r="0" b="0"/>
                  <wp:docPr id="494" name="IM 494"/>
                  <wp:cNvGraphicFramePr/>
                  <a:graphic>
                    <a:graphicData uri="http://schemas.openxmlformats.org/drawingml/2006/picture">
                      <pic:pic>
                        <pic:nvPicPr>
                          <pic:cNvPr id="494" name="IM 494"/>
                          <pic:cNvPicPr/>
                        </pic:nvPicPr>
                        <pic:blipFill>
                          <a:blip r:embed="rId226"/>
                          <a:stretch>
                            <a:fillRect/>
                          </a:stretch>
                        </pic:blipFill>
                        <pic:spPr>
                          <a:xfrm rot="0">
                            <a:off x="0" y="0"/>
                            <a:ext cx="43318" cy="128564"/>
                          </a:xfrm>
                          <a:prstGeom prst="rect">
                            <a:avLst/>
                          </a:prstGeom>
                        </pic:spPr>
                      </pic:pic>
                    </a:graphicData>
                  </a:graphic>
                </wp:inline>
              </w:drawing>
            </w:r>
            <w:r>
              <w:rPr>
                <w:sz w:val="18"/>
                <w:szCs w:val="18"/>
                <w:spacing w:val="20"/>
              </w:rPr>
              <w:t xml:space="preserve">   </w:t>
            </w:r>
            <w:r>
              <w:rPr>
                <w:sz w:val="18"/>
                <w:szCs w:val="18"/>
                <w:spacing w:val="-1"/>
              </w:rPr>
              <w:t>国网长沙供电公司承担土地使用成本，不纳入储能建设</w:t>
            </w:r>
            <w:r>
              <w:rPr>
                <w:sz w:val="18"/>
                <w:szCs w:val="18"/>
              </w:rPr>
              <w:t xml:space="preserve"> </w:t>
            </w:r>
            <w:r>
              <w:rPr>
                <w:sz w:val="18"/>
                <w:szCs w:val="18"/>
                <w:spacing w:val="-1"/>
              </w:rPr>
              <w:t>成本</w:t>
            </w:r>
          </w:p>
        </w:tc>
        <w:tc>
          <w:tcPr>
            <w:tcW w:w="3911" w:type="dxa"/>
            <w:vAlign w:val="top"/>
            <w:tcBorders>
              <w:left w:val="single" w:color="A8A8A8" w:sz="2" w:space="0"/>
            </w:tcBorders>
          </w:tcPr>
          <w:p>
            <w:pPr>
              <w:spacing w:line="357" w:lineRule="auto"/>
              <w:rPr>
                <w:rFonts w:ascii="Arial"/>
                <w:sz w:val="21"/>
              </w:rPr>
            </w:pPr>
            <w:r/>
          </w:p>
          <w:p>
            <w:pPr>
              <w:pStyle w:val="TableText"/>
              <w:ind w:left="381" w:right="102" w:hanging="260"/>
              <w:spacing w:before="78" w:line="168" w:lineRule="auto"/>
              <w:rPr>
                <w:sz w:val="18"/>
                <w:szCs w:val="18"/>
              </w:rPr>
            </w:pPr>
            <w:r>
              <w:rPr>
                <w:sz w:val="18"/>
                <w:szCs w:val="18"/>
                <w:position w:val="-3"/>
              </w:rPr>
              <w:drawing>
                <wp:inline distT="0" distB="0" distL="0" distR="0">
                  <wp:extent cx="43318" cy="128564"/>
                  <wp:effectExtent l="0" t="0" r="0" b="0"/>
                  <wp:docPr id="496" name="IM 496"/>
                  <wp:cNvGraphicFramePr/>
                  <a:graphic>
                    <a:graphicData uri="http://schemas.openxmlformats.org/drawingml/2006/picture">
                      <pic:pic>
                        <pic:nvPicPr>
                          <pic:cNvPr id="496" name="IM 496"/>
                          <pic:cNvPicPr/>
                        </pic:nvPicPr>
                        <pic:blipFill>
                          <a:blip r:embed="rId227"/>
                          <a:stretch>
                            <a:fillRect/>
                          </a:stretch>
                        </pic:blipFill>
                        <pic:spPr>
                          <a:xfrm rot="0">
                            <a:off x="0" y="0"/>
                            <a:ext cx="43318" cy="128564"/>
                          </a:xfrm>
                          <a:prstGeom prst="rect">
                            <a:avLst/>
                          </a:prstGeom>
                        </pic:spPr>
                      </pic:pic>
                    </a:graphicData>
                  </a:graphic>
                </wp:inline>
              </w:drawing>
            </w:r>
            <w:r>
              <w:rPr>
                <w:sz w:val="18"/>
                <w:szCs w:val="18"/>
                <w:spacing w:val="14"/>
                <w:w w:val="101"/>
              </w:rPr>
              <w:t xml:space="preserve">   </w:t>
            </w:r>
            <w:r>
              <w:rPr>
                <w:sz w:val="18"/>
                <w:szCs w:val="18"/>
                <w:spacing w:val="2"/>
              </w:rPr>
              <w:t>采取“电量电费+备用容量电费”方式与属</w:t>
            </w:r>
            <w:r>
              <w:rPr>
                <w:sz w:val="18"/>
                <w:szCs w:val="18"/>
                <w:spacing w:val="1"/>
              </w:rPr>
              <w:t xml:space="preserve"> </w:t>
            </w:r>
            <w:r>
              <w:rPr>
                <w:sz w:val="18"/>
                <w:szCs w:val="18"/>
                <w:spacing w:val="1"/>
              </w:rPr>
              <w:t>地供电公司进行电费结算</w:t>
            </w:r>
          </w:p>
          <w:p>
            <w:pPr>
              <w:pStyle w:val="TableText"/>
              <w:ind w:left="380" w:right="102" w:hanging="259"/>
              <w:spacing w:before="1" w:line="173" w:lineRule="auto"/>
              <w:rPr>
                <w:sz w:val="18"/>
                <w:szCs w:val="18"/>
              </w:rPr>
            </w:pPr>
            <w:r>
              <w:rPr>
                <w:sz w:val="18"/>
                <w:szCs w:val="18"/>
                <w:position w:val="-3"/>
              </w:rPr>
              <w:drawing>
                <wp:inline distT="0" distB="0" distL="0" distR="0">
                  <wp:extent cx="43318" cy="128564"/>
                  <wp:effectExtent l="0" t="0" r="0" b="0"/>
                  <wp:docPr id="498" name="IM 498"/>
                  <wp:cNvGraphicFramePr/>
                  <a:graphic>
                    <a:graphicData uri="http://schemas.openxmlformats.org/drawingml/2006/picture">
                      <pic:pic>
                        <pic:nvPicPr>
                          <pic:cNvPr id="498" name="IM 498"/>
                          <pic:cNvPicPr/>
                        </pic:nvPicPr>
                        <pic:blipFill>
                          <a:blip r:embed="rId228"/>
                          <a:stretch>
                            <a:fillRect/>
                          </a:stretch>
                        </pic:blipFill>
                        <pic:spPr>
                          <a:xfrm rot="0">
                            <a:off x="0" y="0"/>
                            <a:ext cx="43318" cy="128564"/>
                          </a:xfrm>
                          <a:prstGeom prst="rect">
                            <a:avLst/>
                          </a:prstGeom>
                        </pic:spPr>
                      </pic:pic>
                    </a:graphicData>
                  </a:graphic>
                </wp:inline>
              </w:drawing>
            </w:r>
            <w:r>
              <w:rPr>
                <w:sz w:val="18"/>
                <w:szCs w:val="18"/>
                <w:spacing w:val="16"/>
              </w:rPr>
              <w:t xml:space="preserve">   </w:t>
            </w:r>
            <w:r>
              <w:rPr>
                <w:sz w:val="18"/>
                <w:szCs w:val="18"/>
                <w:spacing w:val="25"/>
              </w:rPr>
              <w:t>正积极探索</w:t>
            </w:r>
            <w:r>
              <w:rPr>
                <w:sz w:val="18"/>
                <w:szCs w:val="18"/>
                <w:spacing w:val="-17"/>
              </w:rPr>
              <w:t xml:space="preserve"> </w:t>
            </w:r>
            <w:r>
              <w:rPr>
                <w:sz w:val="18"/>
                <w:szCs w:val="18"/>
                <w:spacing w:val="25"/>
              </w:rPr>
              <w:t>“</w:t>
            </w:r>
            <w:r>
              <w:rPr>
                <w:sz w:val="18"/>
                <w:szCs w:val="18"/>
                <w:spacing w:val="-7"/>
              </w:rPr>
              <w:t xml:space="preserve"> </w:t>
            </w:r>
            <w:r>
              <w:rPr>
                <w:sz w:val="18"/>
                <w:szCs w:val="18"/>
                <w:spacing w:val="25"/>
              </w:rPr>
              <w:t>新能源配套储能租赁</w:t>
            </w:r>
            <w:r>
              <w:rPr>
                <w:sz w:val="18"/>
                <w:szCs w:val="18"/>
                <w:spacing w:val="-8"/>
              </w:rPr>
              <w:t xml:space="preserve"> </w:t>
            </w:r>
            <w:r>
              <w:rPr>
                <w:sz w:val="18"/>
                <w:szCs w:val="18"/>
                <w:spacing w:val="25"/>
              </w:rPr>
              <w:t>服</w:t>
            </w:r>
            <w:r>
              <w:rPr>
                <w:sz w:val="18"/>
                <w:szCs w:val="18"/>
              </w:rPr>
              <w:t xml:space="preserve"> </w:t>
            </w:r>
            <w:r>
              <w:rPr>
                <w:sz w:val="18"/>
                <w:szCs w:val="18"/>
                <w:spacing w:val="-1"/>
              </w:rPr>
              <w:t>务”+“</w:t>
            </w:r>
            <w:r>
              <w:rPr>
                <w:sz w:val="18"/>
                <w:szCs w:val="18"/>
                <w:spacing w:val="-13"/>
              </w:rPr>
              <w:t xml:space="preserve"> </w:t>
            </w:r>
            <w:r>
              <w:rPr>
                <w:sz w:val="18"/>
                <w:szCs w:val="18"/>
                <w:spacing w:val="-1"/>
              </w:rPr>
              <w:t>电力辅助服务”多元化商业模式</w:t>
            </w:r>
            <w:r>
              <w:rPr>
                <w:sz w:val="18"/>
                <w:szCs w:val="18"/>
                <w:spacing w:val="-24"/>
              </w:rPr>
              <w:t xml:space="preserve"> </w:t>
            </w:r>
            <w:r>
              <w:rPr>
                <w:sz w:val="18"/>
                <w:szCs w:val="18"/>
                <w:spacing w:val="-1"/>
              </w:rPr>
              <w:t>，</w:t>
            </w:r>
            <w:r>
              <w:rPr>
                <w:sz w:val="18"/>
                <w:szCs w:val="18"/>
              </w:rPr>
              <w:t xml:space="preserve"> </w:t>
            </w:r>
            <w:r>
              <w:rPr>
                <w:sz w:val="18"/>
                <w:szCs w:val="18"/>
                <w:spacing w:val="1"/>
              </w:rPr>
              <w:t>推广储能增值服务</w:t>
            </w:r>
          </w:p>
        </w:tc>
      </w:tr>
      <w:tr>
        <w:trPr>
          <w:trHeight w:val="1975" w:hRule="atLeast"/>
        </w:trPr>
        <w:tc>
          <w:tcPr>
            <w:shd w:val="clear" w:fill="F1F1F1"/>
            <w:tcW w:w="907" w:type="dxa"/>
            <w:vAlign w:val="top"/>
            <w:tcBorders>
              <w:right w:val="single" w:color="A8A8A8" w:sz="2" w:space="0"/>
            </w:tcBorders>
          </w:tcPr>
          <w:p>
            <w:pPr>
              <w:spacing w:line="250" w:lineRule="auto"/>
              <w:rPr>
                <w:rFonts w:ascii="Arial"/>
                <w:sz w:val="21"/>
              </w:rPr>
            </w:pPr>
            <w:r/>
          </w:p>
          <w:p>
            <w:pPr>
              <w:spacing w:line="250" w:lineRule="auto"/>
              <w:rPr>
                <w:rFonts w:ascii="Arial"/>
                <w:sz w:val="21"/>
              </w:rPr>
            </w:pPr>
            <w:r/>
          </w:p>
          <w:p>
            <w:pPr>
              <w:pStyle w:val="TableText"/>
              <w:ind w:left="112" w:right="249" w:firstLine="2"/>
              <w:spacing w:before="77" w:line="171" w:lineRule="auto"/>
              <w:jc w:val="both"/>
              <w:rPr>
                <w:sz w:val="12"/>
                <w:szCs w:val="12"/>
              </w:rPr>
            </w:pPr>
            <w:r>
              <w:rPr>
                <w:sz w:val="18"/>
                <w:szCs w:val="18"/>
                <w:b/>
                <w:bCs/>
                <w:color w:val="00C0AE"/>
              </w:rPr>
              <w:t>江苏镇 </w:t>
            </w:r>
            <w:r>
              <w:rPr>
                <w:sz w:val="18"/>
                <w:szCs w:val="18"/>
                <w:b/>
                <w:bCs/>
                <w:color w:val="00C0AE"/>
              </w:rPr>
              <w:t>江储能</w:t>
            </w:r>
            <w:r>
              <w:rPr>
                <w:sz w:val="18"/>
                <w:szCs w:val="18"/>
                <w:b/>
                <w:bCs/>
                <w:color w:val="00C0AE"/>
                <w:spacing w:val="1"/>
              </w:rPr>
              <w:t xml:space="preserve"> </w:t>
            </w:r>
            <w:r>
              <w:rPr>
                <w:sz w:val="18"/>
                <w:szCs w:val="18"/>
                <w:b/>
                <w:bCs/>
                <w:color w:val="00C0AE"/>
              </w:rPr>
              <w:t>示范工</w:t>
            </w:r>
            <w:r>
              <w:rPr>
                <w:sz w:val="18"/>
                <w:szCs w:val="18"/>
                <w:b/>
                <w:bCs/>
                <w:color w:val="00C0AE"/>
                <w:spacing w:val="1"/>
              </w:rPr>
              <w:t xml:space="preserve"> </w:t>
            </w:r>
            <w:r>
              <w:rPr>
                <w:sz w:val="18"/>
                <w:szCs w:val="18"/>
                <w:b/>
                <w:bCs/>
                <w:color w:val="00C0AE"/>
                <w:spacing w:val="-2"/>
                <w:position w:val="-1"/>
              </w:rPr>
              <w:t>程</w:t>
            </w:r>
            <w:r>
              <w:rPr>
                <w:sz w:val="12"/>
                <w:szCs w:val="12"/>
                <w:b/>
                <w:bCs/>
                <w:color w:val="00C0AE"/>
                <w:spacing w:val="-2"/>
                <w:position w:val="3"/>
              </w:rPr>
              <w:t>41</w:t>
            </w:r>
          </w:p>
        </w:tc>
        <w:tc>
          <w:tcPr>
            <w:shd w:val="clear" w:fill="F1F1F1"/>
            <w:tcW w:w="4819" w:type="dxa"/>
            <w:vAlign w:val="top"/>
            <w:tcBorders>
              <w:left w:val="single" w:color="A8A8A8" w:sz="2" w:space="0"/>
              <w:right w:val="single" w:color="A8A8A8" w:sz="2" w:space="0"/>
            </w:tcBorders>
          </w:tcPr>
          <w:p>
            <w:pPr>
              <w:pStyle w:val="TableText"/>
              <w:ind w:left="378" w:right="100" w:hanging="258"/>
              <w:spacing w:before="142" w:line="168" w:lineRule="auto"/>
              <w:rPr>
                <w:sz w:val="18"/>
                <w:szCs w:val="18"/>
              </w:rPr>
            </w:pPr>
            <w:r>
              <w:rPr>
                <w:sz w:val="18"/>
                <w:szCs w:val="18"/>
                <w:position w:val="-3"/>
              </w:rPr>
              <w:drawing>
                <wp:inline distT="0" distB="0" distL="0" distR="0">
                  <wp:extent cx="43318" cy="128564"/>
                  <wp:effectExtent l="0" t="0" r="0" b="0"/>
                  <wp:docPr id="500" name="IM 500"/>
                  <wp:cNvGraphicFramePr/>
                  <a:graphic>
                    <a:graphicData uri="http://schemas.openxmlformats.org/drawingml/2006/picture">
                      <pic:pic>
                        <pic:nvPicPr>
                          <pic:cNvPr id="500" name="IM 500"/>
                          <pic:cNvPicPr/>
                        </pic:nvPicPr>
                        <pic:blipFill>
                          <a:blip r:embed="rId229"/>
                          <a:stretch>
                            <a:fillRect/>
                          </a:stretch>
                        </pic:blipFill>
                        <pic:spPr>
                          <a:xfrm rot="0">
                            <a:off x="0" y="0"/>
                            <a:ext cx="43318" cy="128564"/>
                          </a:xfrm>
                          <a:prstGeom prst="rect">
                            <a:avLst/>
                          </a:prstGeom>
                        </pic:spPr>
                      </pic:pic>
                    </a:graphicData>
                  </a:graphic>
                </wp:inline>
              </w:drawing>
            </w:r>
            <w:r>
              <w:rPr>
                <w:sz w:val="18"/>
                <w:szCs w:val="18"/>
                <w:spacing w:val="14"/>
                <w:w w:val="101"/>
              </w:rPr>
              <w:t xml:space="preserve">   </w:t>
            </w:r>
            <w:r>
              <w:rPr>
                <w:sz w:val="18"/>
                <w:szCs w:val="18"/>
              </w:rPr>
              <w:t>该工程由国网江苏综合能源服务有限公司、山东电工电 </w:t>
            </w:r>
            <w:r>
              <w:rPr>
                <w:sz w:val="18"/>
                <w:szCs w:val="18"/>
              </w:rPr>
              <w:t>气公司、许继电气共同投资建设，江苏省电力公司镇江</w:t>
            </w:r>
            <w:r>
              <w:rPr>
                <w:sz w:val="18"/>
                <w:szCs w:val="18"/>
                <w:spacing w:val="13"/>
              </w:rPr>
              <w:t xml:space="preserve"> </w:t>
            </w:r>
            <w:r>
              <w:rPr>
                <w:sz w:val="18"/>
                <w:szCs w:val="18"/>
                <w:spacing w:val="1"/>
              </w:rPr>
              <w:t>供电分公司负责属地化运营管理</w:t>
            </w:r>
          </w:p>
          <w:p>
            <w:pPr>
              <w:pStyle w:val="TableText"/>
              <w:ind w:left="378" w:right="99" w:hanging="257"/>
              <w:spacing w:before="3" w:line="167" w:lineRule="auto"/>
              <w:rPr>
                <w:sz w:val="18"/>
                <w:szCs w:val="18"/>
              </w:rPr>
            </w:pPr>
            <w:r>
              <w:rPr>
                <w:sz w:val="18"/>
                <w:szCs w:val="18"/>
                <w:position w:val="-3"/>
              </w:rPr>
              <w:drawing>
                <wp:inline distT="0" distB="0" distL="0" distR="0">
                  <wp:extent cx="43318" cy="128564"/>
                  <wp:effectExtent l="0" t="0" r="0" b="0"/>
                  <wp:docPr id="502" name="IM 502"/>
                  <wp:cNvGraphicFramePr/>
                  <a:graphic>
                    <a:graphicData uri="http://schemas.openxmlformats.org/drawingml/2006/picture">
                      <pic:pic>
                        <pic:nvPicPr>
                          <pic:cNvPr id="502" name="IM 502"/>
                          <pic:cNvPicPr/>
                        </pic:nvPicPr>
                        <pic:blipFill>
                          <a:blip r:embed="rId230"/>
                          <a:stretch>
                            <a:fillRect/>
                          </a:stretch>
                        </pic:blipFill>
                        <pic:spPr>
                          <a:xfrm rot="0">
                            <a:off x="0" y="0"/>
                            <a:ext cx="43318" cy="128564"/>
                          </a:xfrm>
                          <a:prstGeom prst="rect">
                            <a:avLst/>
                          </a:prstGeom>
                        </pic:spPr>
                      </pic:pic>
                    </a:graphicData>
                  </a:graphic>
                </wp:inline>
              </w:drawing>
            </w:r>
            <w:r>
              <w:rPr>
                <w:sz w:val="18"/>
                <w:szCs w:val="18"/>
                <w:spacing w:val="15"/>
              </w:rPr>
              <w:t xml:space="preserve">   </w:t>
            </w:r>
            <w:r>
              <w:rPr>
                <w:sz w:val="18"/>
                <w:szCs w:val="18"/>
                <w:spacing w:val="2"/>
              </w:rPr>
              <w:t>融资租赁模式：</w:t>
            </w:r>
            <w:r>
              <w:rPr>
                <w:sz w:val="18"/>
                <w:szCs w:val="18"/>
                <w:spacing w:val="-28"/>
              </w:rPr>
              <w:t xml:space="preserve"> </w:t>
            </w:r>
            <w:r>
              <w:rPr>
                <w:sz w:val="18"/>
                <w:szCs w:val="18"/>
                <w:spacing w:val="2"/>
              </w:rPr>
              <w:t>许继电气和山东电工电气公司签订了8</w:t>
            </w:r>
            <w:r>
              <w:rPr>
                <w:sz w:val="18"/>
                <w:szCs w:val="18"/>
              </w:rPr>
              <w:t xml:space="preserve"> </w:t>
            </w:r>
            <w:r>
              <w:rPr>
                <w:sz w:val="18"/>
                <w:szCs w:val="18"/>
                <w:spacing w:val="2"/>
              </w:rPr>
              <w:t>年项目租赁回收期，</w:t>
            </w:r>
            <w:r>
              <w:rPr>
                <w:sz w:val="18"/>
                <w:szCs w:val="18"/>
                <w:spacing w:val="-13"/>
              </w:rPr>
              <w:t xml:space="preserve"> </w:t>
            </w:r>
            <w:r>
              <w:rPr>
                <w:sz w:val="18"/>
                <w:szCs w:val="18"/>
                <w:spacing w:val="2"/>
              </w:rPr>
              <w:t>8年租赁到期后储能站的资产所有</w:t>
            </w:r>
            <w:r>
              <w:rPr>
                <w:sz w:val="18"/>
                <w:szCs w:val="18"/>
              </w:rPr>
              <w:t xml:space="preserve"> </w:t>
            </w:r>
            <w:r>
              <w:rPr>
                <w:sz w:val="18"/>
                <w:szCs w:val="18"/>
                <w:spacing w:val="1"/>
              </w:rPr>
              <w:t>权变为后者所有</w:t>
            </w:r>
          </w:p>
          <w:p>
            <w:pPr>
              <w:pStyle w:val="TableText"/>
              <w:ind w:left="381" w:right="100" w:hanging="260"/>
              <w:spacing w:line="176" w:lineRule="auto"/>
              <w:rPr>
                <w:sz w:val="18"/>
                <w:szCs w:val="18"/>
              </w:rPr>
            </w:pPr>
            <w:r>
              <w:rPr>
                <w:sz w:val="18"/>
                <w:szCs w:val="18"/>
                <w:position w:val="-3"/>
              </w:rPr>
              <w:drawing>
                <wp:inline distT="0" distB="0" distL="0" distR="0">
                  <wp:extent cx="43318" cy="128564"/>
                  <wp:effectExtent l="0" t="0" r="0" b="0"/>
                  <wp:docPr id="504" name="IM 504"/>
                  <wp:cNvGraphicFramePr/>
                  <a:graphic>
                    <a:graphicData uri="http://schemas.openxmlformats.org/drawingml/2006/picture">
                      <pic:pic>
                        <pic:nvPicPr>
                          <pic:cNvPr id="504" name="IM 504"/>
                          <pic:cNvPicPr/>
                        </pic:nvPicPr>
                        <pic:blipFill>
                          <a:blip r:embed="rId231"/>
                          <a:stretch>
                            <a:fillRect/>
                          </a:stretch>
                        </pic:blipFill>
                        <pic:spPr>
                          <a:xfrm rot="0">
                            <a:off x="0" y="0"/>
                            <a:ext cx="43318" cy="128564"/>
                          </a:xfrm>
                          <a:prstGeom prst="rect">
                            <a:avLst/>
                          </a:prstGeom>
                        </pic:spPr>
                      </pic:pic>
                    </a:graphicData>
                  </a:graphic>
                </wp:inline>
              </w:drawing>
            </w:r>
            <w:r>
              <w:rPr>
                <w:sz w:val="18"/>
                <w:szCs w:val="18"/>
                <w:spacing w:val="14"/>
                <w:w w:val="101"/>
              </w:rPr>
              <w:t xml:space="preserve">   </w:t>
            </w:r>
            <w:r>
              <w:rPr>
                <w:sz w:val="18"/>
                <w:szCs w:val="18"/>
              </w:rPr>
              <w:t>合同能源管理模式：江苏综合能源服务有限公司与江苏 </w:t>
            </w:r>
            <w:r>
              <w:rPr>
                <w:sz w:val="18"/>
                <w:szCs w:val="18"/>
              </w:rPr>
              <w:t>省电力公司签订合同约定收益分成</w:t>
            </w:r>
          </w:p>
        </w:tc>
        <w:tc>
          <w:tcPr>
            <w:shd w:val="clear" w:fill="F1F1F1"/>
            <w:tcW w:w="3911" w:type="dxa"/>
            <w:vAlign w:val="top"/>
            <w:tcBorders>
              <w:left w:val="single" w:color="A8A8A8" w:sz="2" w:space="0"/>
            </w:tcBorders>
          </w:tcPr>
          <w:p>
            <w:pPr>
              <w:spacing w:line="386" w:lineRule="auto"/>
              <w:rPr>
                <w:rFonts w:ascii="Arial"/>
                <w:sz w:val="21"/>
              </w:rPr>
            </w:pPr>
            <w:r/>
          </w:p>
          <w:p>
            <w:pPr>
              <w:pStyle w:val="TableText"/>
              <w:ind w:left="381" w:right="102" w:hanging="260"/>
              <w:spacing w:before="77" w:line="168" w:lineRule="auto"/>
              <w:rPr>
                <w:sz w:val="18"/>
                <w:szCs w:val="18"/>
              </w:rPr>
            </w:pPr>
            <w:r>
              <w:rPr>
                <w:sz w:val="18"/>
                <w:szCs w:val="18"/>
                <w:position w:val="-3"/>
              </w:rPr>
              <w:drawing>
                <wp:inline distT="0" distB="0" distL="0" distR="0">
                  <wp:extent cx="43318" cy="128564"/>
                  <wp:effectExtent l="0" t="0" r="0" b="0"/>
                  <wp:docPr id="506" name="IM 506"/>
                  <wp:cNvGraphicFramePr/>
                  <a:graphic>
                    <a:graphicData uri="http://schemas.openxmlformats.org/drawingml/2006/picture">
                      <pic:pic>
                        <pic:nvPicPr>
                          <pic:cNvPr id="506" name="IM 506"/>
                          <pic:cNvPicPr/>
                        </pic:nvPicPr>
                        <pic:blipFill>
                          <a:blip r:embed="rId232"/>
                          <a:stretch>
                            <a:fillRect/>
                          </a:stretch>
                        </pic:blipFill>
                        <pic:spPr>
                          <a:xfrm rot="0">
                            <a:off x="0" y="0"/>
                            <a:ext cx="43318" cy="128564"/>
                          </a:xfrm>
                          <a:prstGeom prst="rect">
                            <a:avLst/>
                          </a:prstGeom>
                        </pic:spPr>
                      </pic:pic>
                    </a:graphicData>
                  </a:graphic>
                </wp:inline>
              </w:drawing>
            </w:r>
            <w:r>
              <w:rPr>
                <w:sz w:val="18"/>
                <w:szCs w:val="18"/>
                <w:spacing w:val="12"/>
              </w:rPr>
              <w:t xml:space="preserve">   </w:t>
            </w:r>
            <w:r>
              <w:rPr>
                <w:sz w:val="18"/>
                <w:szCs w:val="18"/>
                <w:spacing w:val="1"/>
              </w:rPr>
              <w:t>节约成本：提高供电能力10万</w:t>
            </w:r>
            <w:r>
              <w:rPr>
                <w:sz w:val="18"/>
                <w:szCs w:val="18"/>
              </w:rPr>
              <w:t>kW</w:t>
            </w:r>
            <w:r>
              <w:rPr>
                <w:sz w:val="18"/>
                <w:szCs w:val="18"/>
                <w:spacing w:val="-24"/>
              </w:rPr>
              <w:t xml:space="preserve"> </w:t>
            </w:r>
            <w:r>
              <w:rPr>
                <w:sz w:val="18"/>
                <w:szCs w:val="18"/>
                <w:spacing w:val="1"/>
              </w:rPr>
              <w:t>，相当于</w:t>
            </w:r>
            <w:r>
              <w:rPr>
                <w:sz w:val="18"/>
                <w:szCs w:val="18"/>
              </w:rPr>
              <w:t xml:space="preserve"> </w:t>
            </w:r>
            <w:r>
              <w:rPr>
                <w:sz w:val="18"/>
                <w:szCs w:val="18"/>
                <w:spacing w:val="2"/>
              </w:rPr>
              <w:t>每年减少调频燃煤5,300吨，</w:t>
            </w:r>
            <w:r>
              <w:rPr>
                <w:sz w:val="18"/>
                <w:szCs w:val="18"/>
                <w:spacing w:val="-17"/>
              </w:rPr>
              <w:t xml:space="preserve"> </w:t>
            </w:r>
            <w:r>
              <w:rPr>
                <w:sz w:val="18"/>
                <w:szCs w:val="18"/>
                <w:spacing w:val="2"/>
              </w:rPr>
              <w:t>节省调峰相关</w:t>
            </w:r>
            <w:r>
              <w:rPr>
                <w:sz w:val="18"/>
                <w:szCs w:val="18"/>
              </w:rPr>
              <w:t xml:space="preserve"> </w:t>
            </w:r>
            <w:r>
              <w:rPr>
                <w:sz w:val="18"/>
                <w:szCs w:val="18"/>
                <w:spacing w:val="-2"/>
              </w:rPr>
              <w:t>投资16亿元</w:t>
            </w:r>
          </w:p>
          <w:p>
            <w:pPr>
              <w:pStyle w:val="TableText"/>
              <w:ind w:left="120"/>
              <w:spacing w:before="1" w:line="167" w:lineRule="auto"/>
              <w:rPr>
                <w:sz w:val="18"/>
                <w:szCs w:val="18"/>
              </w:rPr>
            </w:pPr>
            <w:r>
              <w:rPr>
                <w:sz w:val="18"/>
                <w:szCs w:val="18"/>
                <w:position w:val="-3"/>
              </w:rPr>
              <w:drawing>
                <wp:inline distT="0" distB="0" distL="0" distR="0">
                  <wp:extent cx="43318" cy="128564"/>
                  <wp:effectExtent l="0" t="0" r="0" b="0"/>
                  <wp:docPr id="508" name="IM 508"/>
                  <wp:cNvGraphicFramePr/>
                  <a:graphic>
                    <a:graphicData uri="http://schemas.openxmlformats.org/drawingml/2006/picture">
                      <pic:pic>
                        <pic:nvPicPr>
                          <pic:cNvPr id="508" name="IM 508"/>
                          <pic:cNvPicPr/>
                        </pic:nvPicPr>
                        <pic:blipFill>
                          <a:blip r:embed="rId233"/>
                          <a:stretch>
                            <a:fillRect/>
                          </a:stretch>
                        </pic:blipFill>
                        <pic:spPr>
                          <a:xfrm rot="0">
                            <a:off x="0" y="0"/>
                            <a:ext cx="43318" cy="128564"/>
                          </a:xfrm>
                          <a:prstGeom prst="rect">
                            <a:avLst/>
                          </a:prstGeom>
                        </pic:spPr>
                      </pic:pic>
                    </a:graphicData>
                  </a:graphic>
                </wp:inline>
              </w:drawing>
            </w:r>
            <w:r>
              <w:rPr>
                <w:sz w:val="18"/>
                <w:szCs w:val="18"/>
                <w:spacing w:val="11"/>
              </w:rPr>
              <w:t xml:space="preserve">   </w:t>
            </w:r>
            <w:r>
              <w:rPr>
                <w:sz w:val="18"/>
                <w:szCs w:val="18"/>
                <w:spacing w:val="1"/>
              </w:rPr>
              <w:t>参与电力辅助服务市场</w:t>
            </w:r>
          </w:p>
          <w:p>
            <w:pPr>
              <w:pStyle w:val="TableText"/>
              <w:ind w:left="120"/>
              <w:spacing w:line="198" w:lineRule="auto"/>
              <w:rPr>
                <w:sz w:val="18"/>
                <w:szCs w:val="18"/>
              </w:rPr>
            </w:pPr>
            <w:r>
              <w:rPr>
                <w:sz w:val="18"/>
                <w:szCs w:val="18"/>
                <w:position w:val="-3"/>
              </w:rPr>
              <w:drawing>
                <wp:inline distT="0" distB="0" distL="0" distR="0">
                  <wp:extent cx="43318" cy="128564"/>
                  <wp:effectExtent l="0" t="0" r="0" b="0"/>
                  <wp:docPr id="510" name="IM 510"/>
                  <wp:cNvGraphicFramePr/>
                  <a:graphic>
                    <a:graphicData uri="http://schemas.openxmlformats.org/drawingml/2006/picture">
                      <pic:pic>
                        <pic:nvPicPr>
                          <pic:cNvPr id="510" name="IM 510"/>
                          <pic:cNvPicPr/>
                        </pic:nvPicPr>
                        <pic:blipFill>
                          <a:blip r:embed="rId234"/>
                          <a:stretch>
                            <a:fillRect/>
                          </a:stretch>
                        </pic:blipFill>
                        <pic:spPr>
                          <a:xfrm rot="0">
                            <a:off x="0" y="0"/>
                            <a:ext cx="43318" cy="128564"/>
                          </a:xfrm>
                          <a:prstGeom prst="rect">
                            <a:avLst/>
                          </a:prstGeom>
                        </pic:spPr>
                      </pic:pic>
                    </a:graphicData>
                  </a:graphic>
                </wp:inline>
              </w:drawing>
            </w:r>
            <w:r>
              <w:rPr>
                <w:sz w:val="18"/>
                <w:szCs w:val="18"/>
                <w:spacing w:val="11"/>
              </w:rPr>
              <w:t xml:space="preserve">   </w:t>
            </w:r>
            <w:r>
              <w:rPr>
                <w:sz w:val="18"/>
                <w:szCs w:val="18"/>
                <w:spacing w:val="1"/>
              </w:rPr>
              <w:t>参与电力现货市场</w:t>
            </w:r>
          </w:p>
        </w:tc>
      </w:tr>
      <w:tr>
        <w:trPr>
          <w:trHeight w:val="2130" w:hRule="atLeast"/>
        </w:trPr>
        <w:tc>
          <w:tcPr>
            <w:tcW w:w="907" w:type="dxa"/>
            <w:vAlign w:val="top"/>
            <w:tcBorders>
              <w:right w:val="single" w:color="A8A8A8" w:sz="2" w:space="0"/>
              <w:bottom w:val="single" w:color="00C0AE" w:sz="12" w:space="0"/>
            </w:tcBorders>
          </w:tcPr>
          <w:p>
            <w:pPr>
              <w:spacing w:line="343" w:lineRule="auto"/>
              <w:rPr>
                <w:rFonts w:ascii="Arial"/>
                <w:sz w:val="21"/>
              </w:rPr>
            </w:pPr>
            <w:r/>
          </w:p>
          <w:p>
            <w:pPr>
              <w:spacing w:line="344" w:lineRule="auto"/>
              <w:rPr>
                <w:rFonts w:ascii="Arial"/>
                <w:sz w:val="21"/>
              </w:rPr>
            </w:pPr>
            <w:r/>
          </w:p>
          <w:p>
            <w:pPr>
              <w:pStyle w:val="TableText"/>
              <w:ind w:left="111" w:right="45" w:firstLine="2"/>
              <w:spacing w:before="77" w:line="174" w:lineRule="auto"/>
              <w:jc w:val="both"/>
              <w:rPr>
                <w:sz w:val="18"/>
                <w:szCs w:val="18"/>
              </w:rPr>
            </w:pPr>
            <w:r>
              <w:rPr>
                <w:sz w:val="18"/>
                <w:szCs w:val="18"/>
                <w:b/>
                <w:bCs/>
                <w:color w:val="00C0AE"/>
              </w:rPr>
              <w:t>美国加州</w:t>
            </w:r>
            <w:r>
              <w:rPr>
                <w:sz w:val="18"/>
                <w:szCs w:val="18"/>
                <w:b/>
                <w:bCs/>
                <w:color w:val="00C0AE"/>
                <w:spacing w:val="2"/>
              </w:rPr>
              <w:t xml:space="preserve"> </w:t>
            </w:r>
            <w:r>
              <w:rPr>
                <w:sz w:val="18"/>
                <w:szCs w:val="18"/>
                <w:b/>
                <w:bCs/>
                <w:color w:val="00C0AE"/>
                <w:spacing w:val="-1"/>
              </w:rPr>
              <w:t>Pomona</w:t>
            </w:r>
            <w:r>
              <w:rPr>
                <w:sz w:val="18"/>
                <w:szCs w:val="18"/>
                <w:b/>
                <w:bCs/>
                <w:color w:val="00C0AE"/>
              </w:rPr>
              <w:t xml:space="preserve"> </w:t>
            </w:r>
            <w:r>
              <w:rPr>
                <w:sz w:val="18"/>
                <w:szCs w:val="18"/>
                <w:b/>
                <w:bCs/>
                <w:color w:val="00C0AE"/>
                <w:spacing w:val="1"/>
              </w:rPr>
              <w:t>储能项目</w:t>
            </w:r>
          </w:p>
        </w:tc>
        <w:tc>
          <w:tcPr>
            <w:tcW w:w="4819" w:type="dxa"/>
            <w:vAlign w:val="top"/>
            <w:tcBorders>
              <w:left w:val="single" w:color="A8A8A8" w:sz="2" w:space="0"/>
              <w:right w:val="single" w:color="A8A8A8" w:sz="2" w:space="0"/>
              <w:bottom w:val="single" w:color="00C0AE" w:sz="12" w:space="0"/>
            </w:tcBorders>
          </w:tcPr>
          <w:p>
            <w:pPr>
              <w:spacing w:line="358" w:lineRule="auto"/>
              <w:rPr>
                <w:rFonts w:ascii="Arial"/>
                <w:sz w:val="21"/>
              </w:rPr>
            </w:pPr>
            <w:r/>
          </w:p>
          <w:p>
            <w:pPr>
              <w:pStyle w:val="TableText"/>
              <w:ind w:left="121"/>
              <w:spacing w:before="78" w:line="168" w:lineRule="auto"/>
              <w:rPr>
                <w:sz w:val="18"/>
                <w:szCs w:val="18"/>
              </w:rPr>
            </w:pPr>
            <w:r>
              <w:rPr>
                <w:sz w:val="18"/>
                <w:szCs w:val="18"/>
                <w:position w:val="-3"/>
              </w:rPr>
              <w:drawing>
                <wp:inline distT="0" distB="0" distL="0" distR="0">
                  <wp:extent cx="43318" cy="128564"/>
                  <wp:effectExtent l="0" t="0" r="0" b="0"/>
                  <wp:docPr id="512" name="IM 512"/>
                  <wp:cNvGraphicFramePr/>
                  <a:graphic>
                    <a:graphicData uri="http://schemas.openxmlformats.org/drawingml/2006/picture">
                      <pic:pic>
                        <pic:nvPicPr>
                          <pic:cNvPr id="512" name="IM 512"/>
                          <pic:cNvPicPr/>
                        </pic:nvPicPr>
                        <pic:blipFill>
                          <a:blip r:embed="rId235"/>
                          <a:stretch>
                            <a:fillRect/>
                          </a:stretch>
                        </pic:blipFill>
                        <pic:spPr>
                          <a:xfrm rot="0">
                            <a:off x="0" y="0"/>
                            <a:ext cx="43318" cy="128564"/>
                          </a:xfrm>
                          <a:prstGeom prst="rect">
                            <a:avLst/>
                          </a:prstGeom>
                        </pic:spPr>
                      </pic:pic>
                    </a:graphicData>
                  </a:graphic>
                </wp:inline>
              </w:drawing>
            </w:r>
            <w:r>
              <w:rPr>
                <w:sz w:val="18"/>
                <w:szCs w:val="18"/>
                <w:spacing w:val="13"/>
                <w:w w:val="101"/>
              </w:rPr>
              <w:t xml:space="preserve">   </w:t>
            </w:r>
            <w:r>
              <w:rPr>
                <w:sz w:val="18"/>
                <w:szCs w:val="18"/>
              </w:rPr>
              <w:t>全社会资本投资运营模式，高度市场化</w:t>
            </w:r>
          </w:p>
          <w:p>
            <w:pPr>
              <w:pStyle w:val="TableText"/>
              <w:ind w:left="382" w:right="100" w:hanging="261"/>
              <w:spacing w:before="2" w:line="167" w:lineRule="auto"/>
              <w:rPr>
                <w:sz w:val="18"/>
                <w:szCs w:val="18"/>
              </w:rPr>
            </w:pPr>
            <w:r>
              <w:rPr>
                <w:sz w:val="18"/>
                <w:szCs w:val="18"/>
                <w:position w:val="-3"/>
              </w:rPr>
              <w:drawing>
                <wp:inline distT="0" distB="0" distL="0" distR="0">
                  <wp:extent cx="43318" cy="128564"/>
                  <wp:effectExtent l="0" t="0" r="0" b="0"/>
                  <wp:docPr id="514" name="IM 514"/>
                  <wp:cNvGraphicFramePr/>
                  <a:graphic>
                    <a:graphicData uri="http://schemas.openxmlformats.org/drawingml/2006/picture">
                      <pic:pic>
                        <pic:nvPicPr>
                          <pic:cNvPr id="514" name="IM 514"/>
                          <pic:cNvPicPr/>
                        </pic:nvPicPr>
                        <pic:blipFill>
                          <a:blip r:embed="rId236"/>
                          <a:stretch>
                            <a:fillRect/>
                          </a:stretch>
                        </pic:blipFill>
                        <pic:spPr>
                          <a:xfrm rot="0">
                            <a:off x="0" y="0"/>
                            <a:ext cx="43318" cy="128564"/>
                          </a:xfrm>
                          <a:prstGeom prst="rect">
                            <a:avLst/>
                          </a:prstGeom>
                        </pic:spPr>
                      </pic:pic>
                    </a:graphicData>
                  </a:graphic>
                </wp:inline>
              </w:drawing>
            </w:r>
            <w:r>
              <w:rPr>
                <w:sz w:val="18"/>
                <w:szCs w:val="18"/>
                <w:spacing w:val="12"/>
              </w:rPr>
              <w:t xml:space="preserve">   </w:t>
            </w:r>
            <w:r>
              <w:rPr>
                <w:sz w:val="18"/>
                <w:szCs w:val="18"/>
                <w:spacing w:val="-2"/>
              </w:rPr>
              <w:t>加拿大公司Alta</w:t>
            </w:r>
            <w:r>
              <w:rPr>
                <w:sz w:val="18"/>
                <w:szCs w:val="18"/>
                <w:spacing w:val="52"/>
                <w:w w:val="101"/>
              </w:rPr>
              <w:t xml:space="preserve"> </w:t>
            </w:r>
            <w:r>
              <w:rPr>
                <w:sz w:val="18"/>
                <w:szCs w:val="18"/>
                <w:spacing w:val="-2"/>
              </w:rPr>
              <w:t>Gas</w:t>
            </w:r>
            <w:r>
              <w:rPr>
                <w:sz w:val="18"/>
                <w:szCs w:val="18"/>
                <w:spacing w:val="46"/>
                <w:w w:val="101"/>
              </w:rPr>
              <w:t xml:space="preserve"> </w:t>
            </w:r>
            <w:r>
              <w:rPr>
                <w:sz w:val="18"/>
                <w:szCs w:val="18"/>
                <w:spacing w:val="-2"/>
              </w:rPr>
              <w:t>2016年投资建设并负责运营，</w:t>
            </w:r>
            <w:r>
              <w:rPr>
                <w:sz w:val="18"/>
                <w:szCs w:val="18"/>
                <w:spacing w:val="-16"/>
              </w:rPr>
              <w:t xml:space="preserve"> </w:t>
            </w:r>
            <w:r>
              <w:rPr>
                <w:sz w:val="18"/>
                <w:szCs w:val="18"/>
                <w:spacing w:val="-2"/>
              </w:rPr>
              <w:t>成</w:t>
            </w:r>
            <w:r>
              <w:rPr>
                <w:sz w:val="18"/>
                <w:szCs w:val="18"/>
              </w:rPr>
              <w:t xml:space="preserve"> </w:t>
            </w:r>
            <w:r>
              <w:rPr>
                <w:sz w:val="18"/>
                <w:szCs w:val="18"/>
                <w:spacing w:val="-3"/>
              </w:rPr>
              <w:t>本约4,000-4,500万美元</w:t>
            </w:r>
          </w:p>
          <w:p>
            <w:pPr>
              <w:pStyle w:val="TableText"/>
              <w:ind w:left="121"/>
              <w:spacing w:before="1" w:line="167" w:lineRule="auto"/>
              <w:rPr>
                <w:sz w:val="18"/>
                <w:szCs w:val="18"/>
              </w:rPr>
            </w:pPr>
            <w:r>
              <w:rPr>
                <w:sz w:val="18"/>
                <w:szCs w:val="18"/>
                <w:position w:val="-3"/>
              </w:rPr>
              <w:drawing>
                <wp:inline distT="0" distB="0" distL="0" distR="0">
                  <wp:extent cx="43318" cy="128564"/>
                  <wp:effectExtent l="0" t="0" r="0" b="0"/>
                  <wp:docPr id="516" name="IM 516"/>
                  <wp:cNvGraphicFramePr/>
                  <a:graphic>
                    <a:graphicData uri="http://schemas.openxmlformats.org/drawingml/2006/picture">
                      <pic:pic>
                        <pic:nvPicPr>
                          <pic:cNvPr id="516" name="IM 516"/>
                          <pic:cNvPicPr/>
                        </pic:nvPicPr>
                        <pic:blipFill>
                          <a:blip r:embed="rId237"/>
                          <a:stretch>
                            <a:fillRect/>
                          </a:stretch>
                        </pic:blipFill>
                        <pic:spPr>
                          <a:xfrm rot="0">
                            <a:off x="0" y="0"/>
                            <a:ext cx="43318" cy="128564"/>
                          </a:xfrm>
                          <a:prstGeom prst="rect">
                            <a:avLst/>
                          </a:prstGeom>
                        </pic:spPr>
                      </pic:pic>
                    </a:graphicData>
                  </a:graphic>
                </wp:inline>
              </w:drawing>
            </w:r>
            <w:r>
              <w:rPr>
                <w:sz w:val="18"/>
                <w:szCs w:val="18"/>
                <w:spacing w:val="15"/>
                <w:w w:val="101"/>
              </w:rPr>
              <w:t xml:space="preserve">   </w:t>
            </w:r>
            <w:r>
              <w:rPr>
                <w:sz w:val="18"/>
                <w:szCs w:val="18"/>
              </w:rPr>
              <w:t>系统集成商Green</w:t>
            </w:r>
            <w:r>
              <w:rPr>
                <w:sz w:val="18"/>
                <w:szCs w:val="18"/>
                <w:spacing w:val="-22"/>
              </w:rPr>
              <w:t xml:space="preserve"> </w:t>
            </w:r>
            <w:r>
              <w:rPr>
                <w:sz w:val="18"/>
                <w:szCs w:val="18"/>
              </w:rPr>
              <w:t>Smith负责将电池和PCS集成在一起</w:t>
            </w:r>
          </w:p>
          <w:p>
            <w:pPr>
              <w:pStyle w:val="TableText"/>
              <w:ind w:left="392" w:right="99" w:hanging="271"/>
              <w:spacing w:line="175" w:lineRule="auto"/>
              <w:rPr>
                <w:sz w:val="18"/>
                <w:szCs w:val="18"/>
              </w:rPr>
            </w:pPr>
            <w:r>
              <w:rPr>
                <w:sz w:val="18"/>
                <w:szCs w:val="18"/>
                <w:position w:val="-3"/>
              </w:rPr>
              <w:drawing>
                <wp:inline distT="0" distB="0" distL="0" distR="0">
                  <wp:extent cx="43318" cy="128564"/>
                  <wp:effectExtent l="0" t="0" r="0" b="0"/>
                  <wp:docPr id="518" name="IM 518"/>
                  <wp:cNvGraphicFramePr/>
                  <a:graphic>
                    <a:graphicData uri="http://schemas.openxmlformats.org/drawingml/2006/picture">
                      <pic:pic>
                        <pic:nvPicPr>
                          <pic:cNvPr id="518" name="IM 518"/>
                          <pic:cNvPicPr/>
                        </pic:nvPicPr>
                        <pic:blipFill>
                          <a:blip r:embed="rId238"/>
                          <a:stretch>
                            <a:fillRect/>
                          </a:stretch>
                        </pic:blipFill>
                        <pic:spPr>
                          <a:xfrm rot="0">
                            <a:off x="0" y="0"/>
                            <a:ext cx="43318" cy="128564"/>
                          </a:xfrm>
                          <a:prstGeom prst="rect">
                            <a:avLst/>
                          </a:prstGeom>
                        </pic:spPr>
                      </pic:pic>
                    </a:graphicData>
                  </a:graphic>
                </wp:inline>
              </w:drawing>
            </w:r>
            <w:r>
              <w:rPr>
                <w:sz w:val="18"/>
                <w:szCs w:val="18"/>
                <w:spacing w:val="12"/>
              </w:rPr>
              <w:t xml:space="preserve">   </w:t>
            </w:r>
            <w:r>
              <w:rPr>
                <w:sz w:val="18"/>
                <w:szCs w:val="18"/>
              </w:rPr>
              <w:t>2020</w:t>
            </w:r>
            <w:r>
              <w:rPr>
                <w:sz w:val="18"/>
                <w:szCs w:val="18"/>
                <w:spacing w:val="-20"/>
              </w:rPr>
              <w:t xml:space="preserve"> </w:t>
            </w:r>
            <w:r>
              <w:rPr>
                <w:sz w:val="18"/>
                <w:szCs w:val="18"/>
              </w:rPr>
              <w:t>年</w:t>
            </w:r>
            <w:r>
              <w:rPr>
                <w:sz w:val="18"/>
                <w:szCs w:val="18"/>
                <w:spacing w:val="-28"/>
              </w:rPr>
              <w:t xml:space="preserve"> </w:t>
            </w:r>
            <w:r>
              <w:rPr>
                <w:sz w:val="18"/>
                <w:szCs w:val="18"/>
              </w:rPr>
              <w:t>地</w:t>
            </w:r>
            <w:r>
              <w:rPr>
                <w:sz w:val="18"/>
                <w:szCs w:val="18"/>
                <w:spacing w:val="-20"/>
              </w:rPr>
              <w:t xml:space="preserve"> </w:t>
            </w:r>
            <w:r>
              <w:rPr>
                <w:sz w:val="18"/>
                <w:szCs w:val="18"/>
              </w:rPr>
              <w:t>热与</w:t>
            </w:r>
            <w:r>
              <w:rPr>
                <w:sz w:val="18"/>
                <w:szCs w:val="18"/>
                <w:spacing w:val="-19"/>
              </w:rPr>
              <w:t xml:space="preserve"> </w:t>
            </w:r>
            <w:r>
              <w:rPr>
                <w:sz w:val="18"/>
                <w:szCs w:val="18"/>
              </w:rPr>
              <w:t>回</w:t>
            </w:r>
            <w:r>
              <w:rPr>
                <w:sz w:val="18"/>
                <w:szCs w:val="18"/>
                <w:spacing w:val="-17"/>
              </w:rPr>
              <w:t xml:space="preserve"> </w:t>
            </w:r>
            <w:r>
              <w:rPr>
                <w:sz w:val="18"/>
                <w:szCs w:val="18"/>
              </w:rPr>
              <w:t>收</w:t>
            </w:r>
            <w:r>
              <w:rPr>
                <w:sz w:val="18"/>
                <w:szCs w:val="18"/>
                <w:spacing w:val="-23"/>
              </w:rPr>
              <w:t xml:space="preserve"> </w:t>
            </w:r>
            <w:r>
              <w:rPr>
                <w:sz w:val="18"/>
                <w:szCs w:val="18"/>
              </w:rPr>
              <w:t>能源</w:t>
            </w:r>
            <w:r>
              <w:rPr>
                <w:sz w:val="18"/>
                <w:szCs w:val="18"/>
                <w:spacing w:val="-28"/>
              </w:rPr>
              <w:t xml:space="preserve"> </w:t>
            </w:r>
            <w:r>
              <w:rPr>
                <w:sz w:val="18"/>
                <w:szCs w:val="18"/>
              </w:rPr>
              <w:t>发电</w:t>
            </w:r>
            <w:r>
              <w:rPr>
                <w:sz w:val="18"/>
                <w:szCs w:val="18"/>
                <w:spacing w:val="-22"/>
              </w:rPr>
              <w:t xml:space="preserve"> </w:t>
            </w:r>
            <w:r>
              <w:rPr>
                <w:sz w:val="18"/>
                <w:szCs w:val="18"/>
              </w:rPr>
              <w:t>业</w:t>
            </w:r>
            <w:r>
              <w:rPr>
                <w:sz w:val="18"/>
                <w:szCs w:val="18"/>
                <w:spacing w:val="-20"/>
              </w:rPr>
              <w:t xml:space="preserve"> </w:t>
            </w:r>
            <w:r>
              <w:rPr>
                <w:sz w:val="18"/>
                <w:szCs w:val="18"/>
              </w:rPr>
              <w:t>务</w:t>
            </w:r>
            <w:r>
              <w:rPr>
                <w:sz w:val="18"/>
                <w:szCs w:val="18"/>
                <w:spacing w:val="-24"/>
              </w:rPr>
              <w:t xml:space="preserve"> </w:t>
            </w:r>
            <w:r>
              <w:rPr>
                <w:sz w:val="18"/>
                <w:szCs w:val="18"/>
              </w:rPr>
              <w:t>公司</w:t>
            </w:r>
            <w:r>
              <w:rPr>
                <w:sz w:val="18"/>
                <w:szCs w:val="18"/>
                <w:spacing w:val="-24"/>
              </w:rPr>
              <w:t xml:space="preserve"> </w:t>
            </w:r>
            <w:r>
              <w:rPr>
                <w:sz w:val="18"/>
                <w:szCs w:val="18"/>
              </w:rPr>
              <w:t>Oramat</w:t>
            </w:r>
            <w:r>
              <w:rPr>
                <w:sz w:val="18"/>
                <w:szCs w:val="18"/>
                <w:spacing w:val="-19"/>
              </w:rPr>
              <w:t xml:space="preserve"> </w:t>
            </w:r>
            <w:r>
              <w:rPr>
                <w:sz w:val="18"/>
                <w:szCs w:val="18"/>
              </w:rPr>
              <w:t>收购 </w:t>
            </w:r>
            <w:r>
              <w:rPr>
                <w:sz w:val="18"/>
                <w:szCs w:val="18"/>
                <w:spacing w:val="-3"/>
              </w:rPr>
              <w:t>Pomona项目</w:t>
            </w:r>
          </w:p>
        </w:tc>
        <w:tc>
          <w:tcPr>
            <w:tcW w:w="3911" w:type="dxa"/>
            <w:vAlign w:val="top"/>
            <w:tcBorders>
              <w:left w:val="single" w:color="A8A8A8" w:sz="2" w:space="0"/>
              <w:bottom w:val="single" w:color="00C0AE" w:sz="12" w:space="0"/>
            </w:tcBorders>
          </w:tcPr>
          <w:p>
            <w:pPr>
              <w:pStyle w:val="TableText"/>
              <w:ind w:left="374" w:right="101" w:hanging="253"/>
              <w:spacing w:before="113" w:line="168" w:lineRule="auto"/>
              <w:rPr>
                <w:sz w:val="18"/>
                <w:szCs w:val="18"/>
              </w:rPr>
            </w:pPr>
            <w:r>
              <w:rPr>
                <w:sz w:val="18"/>
                <w:szCs w:val="18"/>
                <w:position w:val="-3"/>
              </w:rPr>
              <w:drawing>
                <wp:inline distT="0" distB="0" distL="0" distR="0">
                  <wp:extent cx="43318" cy="128564"/>
                  <wp:effectExtent l="0" t="0" r="0" b="0"/>
                  <wp:docPr id="520" name="IM 520"/>
                  <wp:cNvGraphicFramePr/>
                  <a:graphic>
                    <a:graphicData uri="http://schemas.openxmlformats.org/drawingml/2006/picture">
                      <pic:pic>
                        <pic:nvPicPr>
                          <pic:cNvPr id="520" name="IM 520"/>
                          <pic:cNvPicPr/>
                        </pic:nvPicPr>
                        <pic:blipFill>
                          <a:blip r:embed="rId239"/>
                          <a:stretch>
                            <a:fillRect/>
                          </a:stretch>
                        </pic:blipFill>
                        <pic:spPr>
                          <a:xfrm rot="0">
                            <a:off x="0" y="0"/>
                            <a:ext cx="43318" cy="128564"/>
                          </a:xfrm>
                          <a:prstGeom prst="rect">
                            <a:avLst/>
                          </a:prstGeom>
                        </pic:spPr>
                      </pic:pic>
                    </a:graphicData>
                  </a:graphic>
                </wp:inline>
              </w:drawing>
            </w:r>
            <w:r>
              <w:rPr>
                <w:sz w:val="18"/>
                <w:szCs w:val="18"/>
                <w:spacing w:val="11"/>
              </w:rPr>
              <w:t xml:space="preserve">   </w:t>
            </w:r>
            <w:r>
              <w:rPr>
                <w:sz w:val="18"/>
                <w:szCs w:val="18"/>
                <w:spacing w:val="6"/>
              </w:rPr>
              <w:t>容量电价：该项目2016年与南加州爱迪生</w:t>
            </w:r>
            <w:r>
              <w:rPr>
                <w:sz w:val="18"/>
                <w:szCs w:val="18"/>
                <w:spacing w:val="1"/>
              </w:rPr>
              <w:t xml:space="preserve"> </w:t>
            </w:r>
            <w:r>
              <w:rPr>
                <w:sz w:val="18"/>
                <w:szCs w:val="18"/>
                <w:spacing w:val="-3"/>
              </w:rPr>
              <w:t>公  司  SCE  签  订  了  10  </w:t>
            </w:r>
            <w:r>
              <w:rPr>
                <w:sz w:val="18"/>
                <w:szCs w:val="18"/>
                <w:spacing w:val="-4"/>
              </w:rPr>
              <w:t>年  的</w:t>
            </w:r>
            <w:r>
              <w:rPr>
                <w:sz w:val="18"/>
                <w:szCs w:val="18"/>
                <w:spacing w:val="1"/>
              </w:rPr>
              <w:t xml:space="preserve">  </w:t>
            </w:r>
            <w:r>
              <w:rPr>
                <w:sz w:val="18"/>
                <w:szCs w:val="18"/>
                <w:spacing w:val="-4"/>
              </w:rPr>
              <w:t>Resource</w:t>
            </w:r>
            <w:r>
              <w:rPr>
                <w:sz w:val="18"/>
                <w:szCs w:val="18"/>
                <w:spacing w:val="1"/>
              </w:rPr>
              <w:t xml:space="preserve"> </w:t>
            </w:r>
            <w:r>
              <w:rPr>
                <w:sz w:val="18"/>
                <w:szCs w:val="18"/>
              </w:rPr>
              <w:t>Adequacy</w:t>
            </w:r>
            <w:r>
              <w:rPr>
                <w:sz w:val="18"/>
                <w:szCs w:val="18"/>
                <w:spacing w:val="3"/>
              </w:rPr>
              <w:t>购买合约</w:t>
            </w:r>
            <w:r>
              <w:rPr>
                <w:sz w:val="18"/>
                <w:szCs w:val="18"/>
                <w:spacing w:val="-6"/>
              </w:rPr>
              <w:t xml:space="preserve"> </w:t>
            </w:r>
            <w:r>
              <w:rPr>
                <w:sz w:val="18"/>
                <w:szCs w:val="18"/>
                <w:spacing w:val="3"/>
              </w:rPr>
              <w:t>，价格约为11-12美元</w:t>
            </w:r>
            <w:r>
              <w:rPr>
                <w:sz w:val="18"/>
                <w:szCs w:val="18"/>
              </w:rPr>
              <w:t xml:space="preserve"> </w:t>
            </w:r>
            <w:r>
              <w:rPr>
                <w:sz w:val="18"/>
                <w:szCs w:val="18"/>
                <w:spacing w:val="-3"/>
              </w:rPr>
              <w:t>/kW/月，折算成项目年收益约为264-288万</w:t>
            </w:r>
            <w:r>
              <w:rPr>
                <w:sz w:val="18"/>
                <w:szCs w:val="18"/>
                <w:spacing w:val="16"/>
              </w:rPr>
              <w:t xml:space="preserve"> </w:t>
            </w:r>
            <w:r>
              <w:rPr>
                <w:sz w:val="18"/>
                <w:szCs w:val="18"/>
                <w:spacing w:val="2"/>
              </w:rPr>
              <w:t>美元</w:t>
            </w:r>
          </w:p>
          <w:p>
            <w:pPr>
              <w:pStyle w:val="TableText"/>
              <w:ind w:left="385" w:right="101" w:hanging="264"/>
              <w:spacing w:before="2" w:line="167" w:lineRule="auto"/>
              <w:rPr>
                <w:sz w:val="18"/>
                <w:szCs w:val="18"/>
              </w:rPr>
            </w:pPr>
            <w:r>
              <w:rPr>
                <w:sz w:val="18"/>
                <w:szCs w:val="18"/>
                <w:position w:val="-3"/>
              </w:rPr>
              <w:drawing>
                <wp:inline distT="0" distB="0" distL="0" distR="0">
                  <wp:extent cx="43318" cy="128564"/>
                  <wp:effectExtent l="0" t="0" r="0" b="0"/>
                  <wp:docPr id="522" name="IM 522"/>
                  <wp:cNvGraphicFramePr/>
                  <a:graphic>
                    <a:graphicData uri="http://schemas.openxmlformats.org/drawingml/2006/picture">
                      <pic:pic>
                        <pic:nvPicPr>
                          <pic:cNvPr id="522" name="IM 522"/>
                          <pic:cNvPicPr/>
                        </pic:nvPicPr>
                        <pic:blipFill>
                          <a:blip r:embed="rId240"/>
                          <a:stretch>
                            <a:fillRect/>
                          </a:stretch>
                        </pic:blipFill>
                        <pic:spPr>
                          <a:xfrm rot="0">
                            <a:off x="0" y="0"/>
                            <a:ext cx="43318" cy="128564"/>
                          </a:xfrm>
                          <a:prstGeom prst="rect">
                            <a:avLst/>
                          </a:prstGeom>
                        </pic:spPr>
                      </pic:pic>
                    </a:graphicData>
                  </a:graphic>
                </wp:inline>
              </w:drawing>
            </w:r>
            <w:r>
              <w:rPr>
                <w:sz w:val="18"/>
                <w:szCs w:val="18"/>
                <w:spacing w:val="15"/>
                <w:w w:val="101"/>
              </w:rPr>
              <w:t xml:space="preserve">   </w:t>
            </w:r>
            <w:r>
              <w:rPr>
                <w:sz w:val="18"/>
                <w:szCs w:val="18"/>
                <w:spacing w:val="-2"/>
              </w:rPr>
              <w:t>峰谷套利： 该项目2021Q2-2022Q2参与电</w:t>
            </w:r>
            <w:r>
              <w:rPr>
                <w:sz w:val="18"/>
                <w:szCs w:val="18"/>
              </w:rPr>
              <w:t xml:space="preserve"> </w:t>
            </w:r>
            <w:r>
              <w:rPr>
                <w:sz w:val="18"/>
                <w:szCs w:val="18"/>
                <w:spacing w:val="-1"/>
              </w:rPr>
              <w:t>能量市场交易获得的净收益约为273万美元</w:t>
            </w:r>
          </w:p>
          <w:p>
            <w:pPr>
              <w:pStyle w:val="TableText"/>
              <w:ind w:left="381" w:right="101" w:hanging="260"/>
              <w:spacing w:before="1" w:line="175" w:lineRule="auto"/>
              <w:rPr>
                <w:sz w:val="18"/>
                <w:szCs w:val="18"/>
              </w:rPr>
            </w:pPr>
            <w:r>
              <w:rPr>
                <w:sz w:val="18"/>
                <w:szCs w:val="18"/>
                <w:position w:val="-3"/>
              </w:rPr>
              <w:drawing>
                <wp:inline distT="0" distB="0" distL="0" distR="0">
                  <wp:extent cx="43318" cy="128564"/>
                  <wp:effectExtent l="0" t="0" r="0" b="0"/>
                  <wp:docPr id="524" name="IM 524"/>
                  <wp:cNvGraphicFramePr/>
                  <a:graphic>
                    <a:graphicData uri="http://schemas.openxmlformats.org/drawingml/2006/picture">
                      <pic:pic>
                        <pic:nvPicPr>
                          <pic:cNvPr id="524" name="IM 524"/>
                          <pic:cNvPicPr/>
                        </pic:nvPicPr>
                        <pic:blipFill>
                          <a:blip r:embed="rId241"/>
                          <a:stretch>
                            <a:fillRect/>
                          </a:stretch>
                        </pic:blipFill>
                        <pic:spPr>
                          <a:xfrm rot="0">
                            <a:off x="0" y="0"/>
                            <a:ext cx="43318" cy="128564"/>
                          </a:xfrm>
                          <a:prstGeom prst="rect">
                            <a:avLst/>
                          </a:prstGeom>
                        </pic:spPr>
                      </pic:pic>
                    </a:graphicData>
                  </a:graphic>
                </wp:inline>
              </w:drawing>
            </w:r>
            <w:r>
              <w:rPr>
                <w:sz w:val="18"/>
                <w:szCs w:val="18"/>
                <w:spacing w:val="15"/>
                <w:w w:val="101"/>
              </w:rPr>
              <w:t xml:space="preserve">   </w:t>
            </w:r>
            <w:r>
              <w:rPr>
                <w:sz w:val="18"/>
                <w:szCs w:val="18"/>
                <w:spacing w:val="-2"/>
              </w:rPr>
              <w:t>辅助服务： 该项目2021Q2-2022Q2参与辅</w:t>
            </w:r>
            <w:r>
              <w:rPr>
                <w:sz w:val="18"/>
                <w:szCs w:val="18"/>
              </w:rPr>
              <w:t xml:space="preserve"> </w:t>
            </w:r>
            <w:r>
              <w:rPr>
                <w:sz w:val="18"/>
                <w:szCs w:val="18"/>
                <w:spacing w:val="-1"/>
              </w:rPr>
              <w:t>助服务市场获得的净收益约为88万美元</w:t>
            </w:r>
          </w:p>
        </w:tc>
      </w:tr>
    </w:tbl>
    <w:p>
      <w:pPr>
        <w:ind w:left="349"/>
        <w:spacing w:before="207" w:line="187"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8"/>
        </w:rPr>
        <w:t>资料来源：北极星储能网等，毕马威分析</w:t>
      </w:r>
    </w:p>
    <w:p>
      <w:pPr>
        <w:pStyle w:val="BodyText"/>
        <w:spacing w:line="256" w:lineRule="auto"/>
        <w:rPr/>
      </w:pPr>
      <w:r/>
    </w:p>
    <w:p>
      <w:pPr>
        <w:ind w:left="348" w:right="2826" w:firstLine="1"/>
        <w:spacing w:before="90" w:line="21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通过对发电侧和电网侧储能电站的分析</w:t>
      </w:r>
      <w:r>
        <w:rPr>
          <w:rFonts w:ascii="Microsoft YaHei" w:hAnsi="Microsoft YaHei" w:eastAsia="Microsoft YaHei" w:cs="Microsoft YaHei"/>
          <w:sz w:val="21"/>
          <w:szCs w:val="21"/>
          <w:spacing w:val="-13"/>
        </w:rPr>
        <w:t xml:space="preserve"> </w:t>
      </w:r>
      <w:r>
        <w:rPr>
          <w:rFonts w:ascii="Microsoft YaHei" w:hAnsi="Microsoft YaHei" w:eastAsia="Microsoft YaHei" w:cs="Microsoft YaHei"/>
          <w:sz w:val="21"/>
          <w:szCs w:val="21"/>
          <w:spacing w:val="2"/>
        </w:rPr>
        <w:t>，单一侧建立储能电站成本高且收益渠道单一，</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经济性不显著</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4"/>
        </w:rPr>
        <w:t>，新能源场站和电网侧建设储能电</w:t>
      </w:r>
      <w:r>
        <w:rPr>
          <w:rFonts w:ascii="Microsoft YaHei" w:hAnsi="Microsoft YaHei" w:eastAsia="Microsoft YaHei" w:cs="Microsoft YaHei"/>
          <w:sz w:val="21"/>
          <w:szCs w:val="21"/>
          <w:spacing w:val="3"/>
        </w:rPr>
        <w:t>站的积极性不高。独立储能电站除了</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能够满足发电侧的储能需求外</w:t>
      </w:r>
      <w:r>
        <w:rPr>
          <w:rFonts w:ascii="Microsoft YaHei" w:hAnsi="Microsoft YaHei" w:eastAsia="Microsoft YaHei" w:cs="Microsoft YaHei"/>
          <w:sz w:val="21"/>
          <w:szCs w:val="21"/>
          <w:spacing w:val="-11"/>
        </w:rPr>
        <w:t xml:space="preserve"> </w:t>
      </w:r>
      <w:r>
        <w:rPr>
          <w:rFonts w:ascii="Microsoft YaHei" w:hAnsi="Microsoft YaHei" w:eastAsia="Microsoft YaHei" w:cs="Microsoft YaHei"/>
          <w:sz w:val="21"/>
          <w:szCs w:val="21"/>
          <w:spacing w:val="2"/>
        </w:rPr>
        <w:t>，还能够满足电网侧调峰调频需求</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，拓宽了收益渠道，</w:t>
      </w:r>
    </w:p>
    <w:p>
      <w:pPr>
        <w:ind w:left="348"/>
        <w:spacing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经济性提升，是未来储能电站发展方向。</w:t>
      </w:r>
    </w:p>
    <w:p>
      <w:pPr>
        <w:pStyle w:val="BodyText"/>
        <w:spacing w:line="245" w:lineRule="auto"/>
        <w:rPr/>
      </w:pPr>
      <w:r/>
    </w:p>
    <w:p>
      <w:pPr>
        <w:pStyle w:val="BodyText"/>
        <w:spacing w:line="246" w:lineRule="auto"/>
        <w:rPr/>
      </w:pPr>
      <w:r>
        <w:pict>
          <v:shape id="_x0000_s958" style="position:absolute;margin-left:17.2011pt;margin-top:4.18658pt;mso-position-vertical-relative:text;mso-position-horizontal-relative:text;width:81.3pt;height:0.5pt;z-index:252679168;" filled="false" strokecolor="#000000" strokeweight="0.50pt" coordsize="1626,10" coordorigin="0,0" path="m0,5l1625,5e">
            <v:stroke joinstyle="miter"/>
          </v:shape>
        </w:pict>
      </w:r>
      <w:r/>
    </w:p>
    <w:p>
      <w:pPr>
        <w:ind w:left="343"/>
        <w:spacing w:before="56" w:line="189"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7"/>
          <w:position w:val="4"/>
        </w:rPr>
        <w:t>38</w:t>
      </w:r>
      <w:r>
        <w:rPr>
          <w:rFonts w:ascii="Microsoft YaHei" w:hAnsi="Microsoft YaHei" w:eastAsia="Microsoft YaHei" w:cs="Microsoft YaHei"/>
          <w:sz w:val="9"/>
          <w:szCs w:val="9"/>
          <w:spacing w:val="15"/>
          <w:w w:val="102"/>
          <w:position w:val="4"/>
        </w:rPr>
        <w:t xml:space="preserve"> </w:t>
      </w:r>
      <w:r>
        <w:rPr>
          <w:rFonts w:ascii="Microsoft YaHei" w:hAnsi="Microsoft YaHei" w:eastAsia="Microsoft YaHei" w:cs="Microsoft YaHei"/>
          <w:sz w:val="13"/>
          <w:szCs w:val="13"/>
          <w:spacing w:val="7"/>
        </w:rPr>
        <w:t>2017年第一批包括广东、蒙西、浙江、山西、山东、福建、四川、甘肃， </w:t>
      </w:r>
      <w:r>
        <w:rPr>
          <w:rFonts w:ascii="Microsoft YaHei" w:hAnsi="Microsoft YaHei" w:eastAsia="Microsoft YaHei" w:cs="Microsoft YaHei"/>
          <w:sz w:val="13"/>
          <w:szCs w:val="13"/>
          <w:spacing w:val="6"/>
        </w:rPr>
        <w:t xml:space="preserve"> 2021年第二批包括上海、江苏、安徽、辽宁、河南、湖北</w:t>
      </w:r>
    </w:p>
    <w:p>
      <w:pPr>
        <w:ind w:left="353" w:right="6252" w:hanging="10"/>
        <w:spacing w:before="54" w:line="188"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4"/>
          <w:position w:val="4"/>
        </w:rPr>
        <w:t>39</w:t>
      </w:r>
      <w:r>
        <w:rPr>
          <w:rFonts w:ascii="Microsoft YaHei" w:hAnsi="Microsoft YaHei" w:eastAsia="Microsoft YaHei" w:cs="Microsoft YaHei"/>
          <w:sz w:val="9"/>
          <w:szCs w:val="9"/>
          <w:spacing w:val="24"/>
          <w:w w:val="103"/>
          <w:position w:val="4"/>
        </w:rPr>
        <w:t xml:space="preserve"> </w:t>
      </w:r>
      <w:r>
        <w:rPr>
          <w:rFonts w:ascii="Microsoft YaHei" w:hAnsi="Microsoft YaHei" w:eastAsia="Microsoft YaHei" w:cs="Microsoft YaHei"/>
          <w:sz w:val="13"/>
          <w:szCs w:val="13"/>
          <w:spacing w:val="4"/>
        </w:rPr>
        <w:t>山东电力现货市场结算试运行平稳有序，山东省能源局，  </w:t>
      </w:r>
      <w:r>
        <w:rPr>
          <w:rFonts w:ascii="Microsoft YaHei" w:hAnsi="Microsoft YaHei" w:eastAsia="Microsoft YaHei" w:cs="Microsoft YaHei"/>
          <w:sz w:val="13"/>
          <w:szCs w:val="13"/>
          <w:spacing w:val="3"/>
        </w:rPr>
        <w:t>2022年2月22日，</w:t>
      </w:r>
      <w:r>
        <w:rPr>
          <w:rFonts w:ascii="Microsoft YaHei" w:hAnsi="Microsoft YaHei" w:eastAsia="Microsoft YaHei" w:cs="Microsoft YaHei"/>
          <w:sz w:val="13"/>
          <w:szCs w:val="13"/>
        </w:rPr>
        <w:t xml:space="preserve"> </w:t>
      </w:r>
      <w:hyperlink w:history="true" r:id="rId242">
        <w:r>
          <w:rPr>
            <w:rFonts w:ascii="Microsoft YaHei" w:hAnsi="Microsoft YaHei" w:eastAsia="Microsoft YaHei" w:cs="Microsoft YaHei"/>
            <w:sz w:val="13"/>
            <w:szCs w:val="13"/>
          </w:rPr>
          <w:t>http</w:t>
        </w:r>
        <w:r>
          <w:rPr>
            <w:rFonts w:ascii="Microsoft YaHei" w:hAnsi="Microsoft YaHei" w:eastAsia="Microsoft YaHei" w:cs="Microsoft YaHei"/>
            <w:sz w:val="13"/>
            <w:szCs w:val="13"/>
            <w:spacing w:val="3"/>
          </w:rPr>
          <w:t>://</w:t>
        </w:r>
        <w:r>
          <w:rPr>
            <w:rFonts w:ascii="Microsoft YaHei" w:hAnsi="Microsoft YaHei" w:eastAsia="Microsoft YaHei" w:cs="Microsoft YaHei"/>
            <w:sz w:val="13"/>
            <w:szCs w:val="13"/>
          </w:rPr>
          <w:t>nyj</w:t>
        </w:r>
        <w:r>
          <w:rPr>
            <w:rFonts w:ascii="Microsoft YaHei" w:hAnsi="Microsoft YaHei" w:eastAsia="Microsoft YaHei" w:cs="Microsoft YaHei"/>
            <w:sz w:val="13"/>
            <w:szCs w:val="13"/>
            <w:spacing w:val="3"/>
          </w:rPr>
          <w:t>.</w:t>
        </w:r>
        <w:r>
          <w:rPr>
            <w:rFonts w:ascii="Microsoft YaHei" w:hAnsi="Microsoft YaHei" w:eastAsia="Microsoft YaHei" w:cs="Microsoft YaHei"/>
            <w:sz w:val="13"/>
            <w:szCs w:val="13"/>
          </w:rPr>
          <w:t>shandong</w:t>
        </w:r>
        <w:r>
          <w:rPr>
            <w:rFonts w:ascii="Microsoft YaHei" w:hAnsi="Microsoft YaHei" w:eastAsia="Microsoft YaHei" w:cs="Microsoft YaHei"/>
            <w:sz w:val="13"/>
            <w:szCs w:val="13"/>
            <w:spacing w:val="3"/>
          </w:rPr>
          <w:t>.</w:t>
        </w:r>
        <w:r>
          <w:rPr>
            <w:rFonts w:ascii="Microsoft YaHei" w:hAnsi="Microsoft YaHei" w:eastAsia="Microsoft YaHei" w:cs="Microsoft YaHei"/>
            <w:sz w:val="13"/>
            <w:szCs w:val="13"/>
          </w:rPr>
          <w:t>gov</w:t>
        </w:r>
        <w:r>
          <w:rPr>
            <w:rFonts w:ascii="Microsoft YaHei" w:hAnsi="Microsoft YaHei" w:eastAsia="Microsoft YaHei" w:cs="Microsoft YaHei"/>
            <w:sz w:val="13"/>
            <w:szCs w:val="13"/>
            <w:spacing w:val="3"/>
          </w:rPr>
          <w:t>.</w:t>
        </w:r>
        <w:r>
          <w:rPr>
            <w:rFonts w:ascii="Microsoft YaHei" w:hAnsi="Microsoft YaHei" w:eastAsia="Microsoft YaHei" w:cs="Microsoft YaHei"/>
            <w:sz w:val="13"/>
            <w:szCs w:val="13"/>
          </w:rPr>
          <w:t>cn</w:t>
        </w:r>
        <w:r>
          <w:rPr>
            <w:rFonts w:ascii="Microsoft YaHei" w:hAnsi="Microsoft YaHei" w:eastAsia="Microsoft YaHei" w:cs="Microsoft YaHei"/>
            <w:sz w:val="13"/>
            <w:szCs w:val="13"/>
            <w:spacing w:val="3"/>
          </w:rPr>
          <w:t>/</w:t>
        </w:r>
        <w:r>
          <w:rPr>
            <w:rFonts w:ascii="Microsoft YaHei" w:hAnsi="Microsoft YaHei" w:eastAsia="Microsoft YaHei" w:cs="Microsoft YaHei"/>
            <w:sz w:val="13"/>
            <w:szCs w:val="13"/>
          </w:rPr>
          <w:t>art</w:t>
        </w:r>
        <w:r>
          <w:rPr>
            <w:rFonts w:ascii="Microsoft YaHei" w:hAnsi="Microsoft YaHei" w:eastAsia="Microsoft YaHei" w:cs="Microsoft YaHei"/>
            <w:sz w:val="13"/>
            <w:szCs w:val="13"/>
            <w:spacing w:val="3"/>
          </w:rPr>
          <w:t>/2022/2/22/</w:t>
        </w:r>
        <w:r>
          <w:rPr>
            <w:rFonts w:ascii="Microsoft YaHei" w:hAnsi="Microsoft YaHei" w:eastAsia="Microsoft YaHei" w:cs="Microsoft YaHei"/>
            <w:sz w:val="13"/>
            <w:szCs w:val="13"/>
          </w:rPr>
          <w:t>art</w:t>
        </w:r>
      </w:hyperlink>
      <w:r>
        <w:rPr>
          <w:rFonts w:ascii="Microsoft YaHei" w:hAnsi="Microsoft YaHei" w:eastAsia="Microsoft YaHei" w:cs="Microsoft YaHei"/>
          <w:sz w:val="13"/>
          <w:szCs w:val="13"/>
          <w:spacing w:val="3"/>
        </w:rPr>
        <w:t>_253733__10291636.</w:t>
      </w:r>
      <w:r>
        <w:rPr>
          <w:rFonts w:ascii="Microsoft YaHei" w:hAnsi="Microsoft YaHei" w:eastAsia="Microsoft YaHei" w:cs="Microsoft YaHei"/>
          <w:sz w:val="13"/>
          <w:szCs w:val="13"/>
        </w:rPr>
        <w:t>html</w:t>
      </w:r>
    </w:p>
    <w:p>
      <w:pPr>
        <w:ind w:left="342"/>
        <w:spacing w:before="46" w:line="191"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5"/>
          <w:position w:val="4"/>
        </w:rPr>
        <w:t>40</w:t>
      </w:r>
      <w:r>
        <w:rPr>
          <w:rFonts w:ascii="Microsoft YaHei" w:hAnsi="Microsoft YaHei" w:eastAsia="Microsoft YaHei" w:cs="Microsoft YaHei"/>
          <w:sz w:val="9"/>
          <w:szCs w:val="9"/>
          <w:spacing w:val="13"/>
          <w:w w:val="103"/>
          <w:position w:val="4"/>
        </w:rPr>
        <w:t xml:space="preserve"> </w:t>
      </w:r>
      <w:r>
        <w:rPr>
          <w:rFonts w:ascii="Microsoft YaHei" w:hAnsi="Microsoft YaHei" w:eastAsia="Microsoft YaHei" w:cs="Microsoft YaHei"/>
          <w:sz w:val="13"/>
          <w:szCs w:val="13"/>
          <w:spacing w:val="5"/>
        </w:rPr>
        <w:t>储能电站建设运行及效益分析，索比储能网，  2022年6月21日，</w:t>
      </w:r>
      <w:r>
        <w:rPr>
          <w:rFonts w:ascii="Microsoft YaHei" w:hAnsi="Microsoft YaHei" w:eastAsia="Microsoft YaHei" w:cs="Microsoft YaHei"/>
          <w:sz w:val="13"/>
          <w:szCs w:val="13"/>
          <w:spacing w:val="-8"/>
        </w:rPr>
        <w:t xml:space="preserve"> </w:t>
      </w:r>
      <w:hyperlink w:history="true" r:id="rId243">
        <w:r>
          <w:rPr>
            <w:rFonts w:ascii="Microsoft YaHei" w:hAnsi="Microsoft YaHei" w:eastAsia="Microsoft YaHei" w:cs="Microsoft YaHei"/>
            <w:sz w:val="13"/>
            <w:szCs w:val="13"/>
          </w:rPr>
          <w:t>https</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cn</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solarbe</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com</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news</w:t>
        </w:r>
        <w:r>
          <w:rPr>
            <w:rFonts w:ascii="Microsoft YaHei" w:hAnsi="Microsoft YaHei" w:eastAsia="Microsoft YaHei" w:cs="Microsoft YaHei"/>
            <w:sz w:val="13"/>
            <w:szCs w:val="13"/>
            <w:spacing w:val="5"/>
          </w:rPr>
          <w:t>/20220621</w:t>
        </w:r>
        <w:r>
          <w:rPr>
            <w:rFonts w:ascii="Microsoft YaHei" w:hAnsi="Microsoft YaHei" w:eastAsia="Microsoft YaHei" w:cs="Microsoft YaHei"/>
            <w:sz w:val="13"/>
            <w:szCs w:val="13"/>
            <w:spacing w:val="4"/>
          </w:rPr>
          <w:t>/46719.</w:t>
        </w:r>
        <w:r>
          <w:rPr>
            <w:rFonts w:ascii="Microsoft YaHei" w:hAnsi="Microsoft YaHei" w:eastAsia="Microsoft YaHei" w:cs="Microsoft YaHei"/>
            <w:sz w:val="13"/>
            <w:szCs w:val="13"/>
          </w:rPr>
          <w:t>html</w:t>
        </w:r>
      </w:hyperlink>
    </w:p>
    <w:p>
      <w:pPr>
        <w:ind w:left="342"/>
        <w:spacing w:before="52" w:line="193"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6"/>
          <w:position w:val="4"/>
        </w:rPr>
        <w:t>41</w:t>
      </w:r>
      <w:r>
        <w:rPr>
          <w:rFonts w:ascii="Microsoft YaHei" w:hAnsi="Microsoft YaHei" w:eastAsia="Microsoft YaHei" w:cs="Microsoft YaHei"/>
          <w:sz w:val="9"/>
          <w:szCs w:val="9"/>
          <w:spacing w:val="13"/>
          <w:w w:val="101"/>
          <w:position w:val="4"/>
        </w:rPr>
        <w:t xml:space="preserve"> </w:t>
      </w:r>
      <w:r>
        <w:rPr>
          <w:rFonts w:ascii="Microsoft YaHei" w:hAnsi="Microsoft YaHei" w:eastAsia="Microsoft YaHei" w:cs="Microsoft YaHei"/>
          <w:sz w:val="13"/>
          <w:szCs w:val="13"/>
          <w:spacing w:val="6"/>
        </w:rPr>
        <w:t>储能运营模式解析：租赁比购买更有利？北极星储能网，  2</w:t>
      </w:r>
      <w:r>
        <w:rPr>
          <w:rFonts w:ascii="Microsoft YaHei" w:hAnsi="Microsoft YaHei" w:eastAsia="Microsoft YaHei" w:cs="Microsoft YaHei"/>
          <w:sz w:val="13"/>
          <w:szCs w:val="13"/>
          <w:spacing w:val="5"/>
        </w:rPr>
        <w:t>019年1月4日，</w:t>
      </w:r>
      <w:r>
        <w:rPr>
          <w:rFonts w:ascii="Microsoft YaHei" w:hAnsi="Microsoft YaHei" w:eastAsia="Microsoft YaHei" w:cs="Microsoft YaHei"/>
          <w:sz w:val="13"/>
          <w:szCs w:val="13"/>
          <w:spacing w:val="-8"/>
        </w:rPr>
        <w:t xml:space="preserve"> </w:t>
      </w:r>
      <w:hyperlink w:history="true" r:id="rId244">
        <w:r>
          <w:rPr>
            <w:rFonts w:ascii="Microsoft YaHei" w:hAnsi="Microsoft YaHei" w:eastAsia="Microsoft YaHei" w:cs="Microsoft YaHei"/>
            <w:sz w:val="13"/>
            <w:szCs w:val="13"/>
          </w:rPr>
          <w:t>https</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news</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bjx</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com</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cn</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html</w:t>
        </w:r>
        <w:r>
          <w:rPr>
            <w:rFonts w:ascii="Microsoft YaHei" w:hAnsi="Microsoft YaHei" w:eastAsia="Microsoft YaHei" w:cs="Microsoft YaHei"/>
            <w:sz w:val="13"/>
            <w:szCs w:val="13"/>
            <w:spacing w:val="5"/>
          </w:rPr>
          <w:t>/20190104/954016.</w:t>
        </w:r>
        <w:r>
          <w:rPr>
            <w:rFonts w:ascii="Microsoft YaHei" w:hAnsi="Microsoft YaHei" w:eastAsia="Microsoft YaHei" w:cs="Microsoft YaHei"/>
            <w:sz w:val="13"/>
            <w:szCs w:val="13"/>
          </w:rPr>
          <w:t>shtml</w:t>
        </w:r>
      </w:hyperlink>
    </w:p>
    <w:p>
      <w:pPr>
        <w:ind w:left="844" w:right="1241" w:hanging="411"/>
        <w:spacing w:before="193"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961" w:header="0" w:footer="0" w:gutter="0"/>
        </w:sectPr>
        <w:rPr>
          <w:rFonts w:ascii="Microsoft YaHei" w:hAnsi="Microsoft YaHei" w:eastAsia="Microsoft YaHei" w:cs="Microsoft YaHei"/>
          <w:sz w:val="11"/>
          <w:szCs w:val="11"/>
        </w:rPr>
      </w:pPr>
    </w:p>
    <w:p>
      <w:pPr>
        <w:ind w:left="7674"/>
        <w:spacing w:before="314" w:line="193" w:lineRule="auto"/>
        <w:rPr>
          <w:rFonts w:ascii="Microsoft YaHei" w:hAnsi="Microsoft YaHei" w:eastAsia="Microsoft YaHei" w:cs="Microsoft YaHei"/>
          <w:sz w:val="18"/>
          <w:szCs w:val="18"/>
        </w:rPr>
      </w:pPr>
      <w:r>
        <w:pict>
          <v:rect id="_x0000_s960" style="position:absolute;margin-left:611.99pt;margin-top:0pt;mso-position-vertical-relative:page;mso-position-horizontal-relative:page;width:0.25pt;height:859pt;z-index:252716032;" o:allowincell="f" fillcolor="#000000" filled="true" stroked="false"/>
        </w:pict>
      </w:r>
      <w:r>
        <w:rPr>
          <w:rFonts w:ascii="Microsoft YaHei" w:hAnsi="Microsoft YaHei" w:eastAsia="Microsoft YaHei" w:cs="Microsoft YaHei"/>
          <w:sz w:val="18"/>
          <w:szCs w:val="18"/>
          <w:color w:val="A8A8A8"/>
        </w:rPr>
        <w:t>新型储能助力能源转型</w:t>
      </w:r>
      <w:r>
        <w:rPr>
          <w:rFonts w:ascii="Microsoft YaHei" w:hAnsi="Microsoft YaHei" w:eastAsia="Microsoft YaHei" w:cs="Microsoft YaHei"/>
          <w:sz w:val="18"/>
          <w:szCs w:val="18"/>
          <w:color w:val="A8A8A8"/>
          <w:spacing w:val="20"/>
          <w:w w:val="101"/>
        </w:rPr>
        <w:t xml:space="preserve">  </w:t>
      </w:r>
      <w:r>
        <w:rPr>
          <w:sz w:val="18"/>
          <w:szCs w:val="18"/>
          <w:position w:val="-4"/>
        </w:rPr>
        <w:drawing>
          <wp:inline distT="0" distB="0" distL="0" distR="0">
            <wp:extent cx="6350" cy="130175"/>
            <wp:effectExtent l="0" t="0" r="0" b="0"/>
            <wp:docPr id="526" name="IM 526"/>
            <wp:cNvGraphicFramePr/>
            <a:graphic>
              <a:graphicData uri="http://schemas.openxmlformats.org/drawingml/2006/picture">
                <pic:pic>
                  <pic:nvPicPr>
                    <pic:cNvPr id="526" name="IM 526"/>
                    <pic:cNvPicPr/>
                  </pic:nvPicPr>
                  <pic:blipFill>
                    <a:blip r:embed="rId245"/>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spacing w:val="14"/>
          <w:w w:val="101"/>
        </w:rPr>
        <w:t xml:space="preserve">  </w:t>
      </w:r>
      <w:r>
        <w:rPr>
          <w:rFonts w:ascii="Microsoft YaHei" w:hAnsi="Microsoft YaHei" w:eastAsia="Microsoft YaHei" w:cs="Microsoft YaHei"/>
          <w:sz w:val="18"/>
          <w:szCs w:val="18"/>
          <w:b/>
          <w:bCs/>
          <w:color w:val="A8A8A8"/>
        </w:rPr>
        <w:t>44</w:t>
      </w:r>
    </w:p>
    <w:p>
      <w:pPr>
        <w:pStyle w:val="BodyText"/>
        <w:spacing w:line="314" w:lineRule="auto"/>
        <w:rPr/>
      </w:pPr>
      <w:r/>
    </w:p>
    <w:p>
      <w:pPr>
        <w:pStyle w:val="BodyText"/>
        <w:spacing w:line="315" w:lineRule="auto"/>
        <w:rPr/>
      </w:pPr>
      <w:r/>
    </w:p>
    <w:p>
      <w:pPr>
        <w:pStyle w:val="BodyText"/>
        <w:spacing w:line="315" w:lineRule="auto"/>
        <w:rPr/>
      </w:pPr>
      <w:r/>
    </w:p>
    <w:p>
      <w:pPr>
        <w:ind w:left="33"/>
        <w:spacing w:before="155" w:line="179" w:lineRule="auto"/>
        <w:outlineLvl w:val="0"/>
        <w:rPr>
          <w:rFonts w:ascii="Microsoft YaHei" w:hAnsi="Microsoft YaHei" w:eastAsia="Microsoft YaHei" w:cs="Microsoft YaHei"/>
          <w:sz w:val="36"/>
          <w:szCs w:val="36"/>
        </w:rPr>
      </w:pPr>
      <w:r>
        <w:rPr>
          <w:rFonts w:ascii="Microsoft YaHei" w:hAnsi="Microsoft YaHei" w:eastAsia="Microsoft YaHei" w:cs="Microsoft YaHei"/>
          <w:sz w:val="36"/>
          <w:szCs w:val="36"/>
          <w:b/>
          <w:bCs/>
          <w:color w:val="00338D"/>
          <w:spacing w:val="-1"/>
        </w:rPr>
        <w:t>独立储能电站是源网侧储能发展趋势</w:t>
      </w:r>
    </w:p>
    <w:p>
      <w:pPr>
        <w:spacing w:before="164" w:line="509" w:lineRule="exact"/>
        <w:rPr/>
      </w:pPr>
      <w:r>
        <w:rPr>
          <w:position w:val="-10"/>
        </w:rPr>
        <w:pict>
          <v:shape id="_x0000_s962" style="mso-position-vertical-relative:line;mso-position-horizontal-relative:char;width:397pt;height:25.45pt;" fillcolor="#00C0AE" filled="true" stroked="false" type="#_x0000_t202">
            <v:fill on="true"/>
            <v:stroke on="false"/>
            <v:path/>
            <v:imagedata o:title=""/>
            <o:lock v:ext="edit" aspectratio="false"/>
            <v:textbox inset="0mm,0mm,0mm,0mm">
              <w:txbxContent>
                <w:p>
                  <w:pPr>
                    <w:ind w:left="195"/>
                    <w:spacing w:before="104" w:line="190" w:lineRule="auto"/>
                    <w:rPr>
                      <w:rFonts w:ascii="Microsoft YaHei" w:hAnsi="Microsoft YaHei" w:eastAsia="Microsoft YaHei" w:cs="Microsoft YaHei"/>
                      <w:sz w:val="27"/>
                      <w:szCs w:val="27"/>
                    </w:rPr>
                  </w:pPr>
                  <w:r>
                    <w:rPr>
                      <w:rFonts w:ascii="Microsoft YaHei" w:hAnsi="Microsoft YaHei" w:eastAsia="Microsoft YaHei" w:cs="Microsoft YaHei"/>
                      <w:sz w:val="27"/>
                      <w:szCs w:val="27"/>
                      <w:b/>
                      <w:bCs/>
                      <w:color w:val="FFFFFF"/>
                      <w:spacing w:val="8"/>
                    </w:rPr>
                    <w:t>独立储能电站市场主体身份明确，商业模式显现</w:t>
                  </w:r>
                </w:p>
              </w:txbxContent>
            </v:textbox>
          </v:shape>
        </w:pict>
      </w:r>
    </w:p>
    <w:p>
      <w:pPr>
        <w:ind w:left="23"/>
        <w:spacing w:before="289" w:line="180" w:lineRule="auto"/>
        <w:rPr>
          <w:rFonts w:ascii="Microsoft YaHei" w:hAnsi="Microsoft YaHei" w:eastAsia="Microsoft YaHei" w:cs="Microsoft YaHei"/>
          <w:sz w:val="24"/>
          <w:szCs w:val="24"/>
        </w:rPr>
      </w:pPr>
      <w:r>
        <w:rPr>
          <w:rFonts w:ascii="Microsoft YaHei" w:hAnsi="Microsoft YaHei" w:eastAsia="Microsoft YaHei" w:cs="Microsoft YaHei"/>
          <w:sz w:val="24"/>
          <w:szCs w:val="24"/>
          <w:b/>
          <w:bCs/>
          <w:color w:val="00C0AE"/>
          <w:spacing w:val="-2"/>
        </w:rPr>
        <w:t>中央政府层面：确定独立储能电站发展方向</w:t>
      </w:r>
    </w:p>
    <w:p>
      <w:pPr>
        <w:ind w:left="9" w:right="2827" w:firstLine="26"/>
        <w:spacing w:before="237" w:line="21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目前发电侧储能电站收入渠道单一</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，发改委、能源局多次提出探</w:t>
      </w:r>
      <w:r>
        <w:rPr>
          <w:rFonts w:ascii="Microsoft YaHei" w:hAnsi="Microsoft YaHei" w:eastAsia="Microsoft YaHei" w:cs="Microsoft YaHei"/>
          <w:sz w:val="21"/>
          <w:szCs w:val="21"/>
          <w:spacing w:val="1"/>
        </w:rPr>
        <w:t>索推广独立储能模式，</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发挥储能电站“一站多用”的共享作用。</w:t>
      </w:r>
    </w:p>
    <w:p>
      <w:pPr>
        <w:ind w:left="9" w:right="2997" w:firstLine="2"/>
        <w:spacing w:before="266" w:line="21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C0AE"/>
          <w:spacing w:val="4"/>
        </w:rPr>
        <w:t>一方面</w:t>
      </w:r>
      <w:r>
        <w:rPr>
          <w:rFonts w:ascii="Microsoft YaHei" w:hAnsi="Microsoft YaHei" w:eastAsia="Microsoft YaHei" w:cs="Microsoft YaHei"/>
          <w:sz w:val="21"/>
          <w:szCs w:val="21"/>
          <w:color w:val="00C0AE"/>
          <w:spacing w:val="-29"/>
        </w:rPr>
        <w:t xml:space="preserve"> </w:t>
      </w:r>
      <w:r>
        <w:rPr>
          <w:rFonts w:ascii="Microsoft YaHei" w:hAnsi="Microsoft YaHei" w:eastAsia="Microsoft YaHei" w:cs="Microsoft YaHei"/>
          <w:sz w:val="21"/>
          <w:szCs w:val="21"/>
          <w:color w:val="00C0AE"/>
          <w:spacing w:val="4"/>
        </w:rPr>
        <w:t>，明确独立储能电站市场主体地位。</w:t>
      </w:r>
      <w:r>
        <w:rPr>
          <w:rFonts w:ascii="Microsoft YaHei" w:hAnsi="Microsoft YaHei" w:eastAsia="Microsoft YaHei" w:cs="Microsoft YaHei"/>
          <w:sz w:val="21"/>
          <w:szCs w:val="21"/>
          <w:spacing w:val="3"/>
        </w:rPr>
        <w:t>独立储能电站是指以独立主体身份直接与</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电力调度机构签订并网调度协议</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，不受接入位置限制</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，纳</w:t>
      </w:r>
      <w:r>
        <w:rPr>
          <w:rFonts w:ascii="Microsoft YaHei" w:hAnsi="Microsoft YaHei" w:eastAsia="Microsoft YaHei" w:cs="Microsoft YaHei"/>
          <w:sz w:val="21"/>
          <w:szCs w:val="21"/>
          <w:spacing w:val="2"/>
        </w:rPr>
        <w:t>入电力并网运行及辅助服务</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管理</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，并按照其接入位置与电网企业和相关发电企业或电</w:t>
      </w:r>
      <w:r>
        <w:rPr>
          <w:rFonts w:ascii="Microsoft YaHei" w:hAnsi="Microsoft YaHei" w:eastAsia="Microsoft YaHei" w:cs="Microsoft YaHei"/>
          <w:sz w:val="21"/>
          <w:szCs w:val="21"/>
          <w:spacing w:val="2"/>
        </w:rPr>
        <w:t>力用户等相关方签订合同</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约定各方权利义务的储能电站</w:t>
      </w:r>
      <w:r>
        <w:rPr>
          <w:rFonts w:ascii="Microsoft YaHei" w:hAnsi="Microsoft YaHei" w:eastAsia="Microsoft YaHei" w:cs="Microsoft YaHei"/>
          <w:sz w:val="13"/>
          <w:szCs w:val="13"/>
          <w:spacing w:val="2"/>
          <w:position w:val="6"/>
        </w:rPr>
        <w:t>42</w:t>
      </w:r>
      <w:r>
        <w:rPr>
          <w:rFonts w:ascii="Microsoft YaHei" w:hAnsi="Microsoft YaHei" w:eastAsia="Microsoft YaHei" w:cs="Microsoft YaHei"/>
          <w:sz w:val="21"/>
          <w:szCs w:val="21"/>
          <w:spacing w:val="2"/>
        </w:rPr>
        <w:t>。2021年12月</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，国家能源局发布了《电</w:t>
      </w:r>
      <w:r>
        <w:rPr>
          <w:rFonts w:ascii="Microsoft YaHei" w:hAnsi="Microsoft YaHei" w:eastAsia="Microsoft YaHei" w:cs="Microsoft YaHei"/>
          <w:sz w:val="21"/>
          <w:szCs w:val="21"/>
          <w:spacing w:val="1"/>
        </w:rPr>
        <w:t>力辅助服务管</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8"/>
        </w:rPr>
        <w:t>理办法》</w:t>
      </w:r>
      <w:r>
        <w:rPr>
          <w:rFonts w:ascii="Microsoft YaHei" w:hAnsi="Microsoft YaHei" w:eastAsia="Microsoft YaHei" w:cs="Microsoft YaHei"/>
          <w:sz w:val="21"/>
          <w:szCs w:val="21"/>
          <w:spacing w:val="-24"/>
        </w:rPr>
        <w:t xml:space="preserve"> </w:t>
      </w:r>
      <w:r>
        <w:rPr>
          <w:rFonts w:ascii="Microsoft YaHei" w:hAnsi="Microsoft YaHei" w:eastAsia="Microsoft YaHei" w:cs="Microsoft YaHei"/>
          <w:sz w:val="21"/>
          <w:szCs w:val="21"/>
          <w:spacing w:val="8"/>
        </w:rPr>
        <w:t>和《电力并网运行管理规定》</w:t>
      </w:r>
      <w:r>
        <w:rPr>
          <w:rFonts w:ascii="Microsoft YaHei" w:hAnsi="Microsoft YaHei" w:eastAsia="Microsoft YaHei" w:cs="Microsoft YaHei"/>
          <w:sz w:val="21"/>
          <w:szCs w:val="21"/>
          <w:spacing w:val="-12"/>
        </w:rPr>
        <w:t xml:space="preserve"> </w:t>
      </w:r>
      <w:r>
        <w:rPr>
          <w:rFonts w:ascii="Microsoft YaHei" w:hAnsi="Microsoft YaHei" w:eastAsia="Microsoft YaHei" w:cs="Microsoft YaHei"/>
          <w:sz w:val="21"/>
          <w:szCs w:val="21"/>
          <w:spacing w:val="8"/>
        </w:rPr>
        <w:t>，确认新型储能参与辅助服务的发展方向。</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2022年5月</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4"/>
        </w:rPr>
        <w:t>，发改委和能源局发布《关于进一步推动</w:t>
      </w:r>
      <w:r>
        <w:rPr>
          <w:rFonts w:ascii="Microsoft YaHei" w:hAnsi="Microsoft YaHei" w:eastAsia="Microsoft YaHei" w:cs="Microsoft YaHei"/>
          <w:sz w:val="21"/>
          <w:szCs w:val="21"/>
          <w:spacing w:val="3"/>
        </w:rPr>
        <w:t>新型储能参与电力市场和调度运</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用的通知》，指出  “符合相关标准规范和电力市场运营</w:t>
      </w:r>
      <w:r>
        <w:rPr>
          <w:rFonts w:ascii="Microsoft YaHei" w:hAnsi="Microsoft YaHei" w:eastAsia="Microsoft YaHei" w:cs="Microsoft YaHei"/>
          <w:sz w:val="21"/>
          <w:szCs w:val="21"/>
        </w:rPr>
        <w:t>机构等有关方面要求，具有法 </w:t>
      </w:r>
      <w:r>
        <w:rPr>
          <w:rFonts w:ascii="Microsoft YaHei" w:hAnsi="Microsoft YaHei" w:eastAsia="Microsoft YaHei" w:cs="Microsoft YaHei"/>
          <w:sz w:val="21"/>
          <w:szCs w:val="21"/>
          <w:spacing w:val="2"/>
        </w:rPr>
        <w:t>人资格的新型储能项目</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，可转为独立储能</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2"/>
        </w:rPr>
        <w:t>，作为独立主体参与电力市场”</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，鼓</w:t>
      </w:r>
      <w:r>
        <w:rPr>
          <w:rFonts w:ascii="Microsoft YaHei" w:hAnsi="Microsoft YaHei" w:eastAsia="Microsoft YaHei" w:cs="Microsoft YaHei"/>
          <w:sz w:val="21"/>
          <w:szCs w:val="21"/>
          <w:spacing w:val="1"/>
        </w:rPr>
        <w:t>励以配</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建形式存在的新型储能项目</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，选择转为独立储能。独立储能的市场主</w:t>
      </w:r>
      <w:r>
        <w:rPr>
          <w:rFonts w:ascii="Microsoft YaHei" w:hAnsi="Microsoft YaHei" w:eastAsia="Microsoft YaHei" w:cs="Microsoft YaHei"/>
          <w:sz w:val="21"/>
          <w:szCs w:val="21"/>
          <w:spacing w:val="2"/>
        </w:rPr>
        <w:t>体地位明确后</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独立储能商业模式初步形成。</w:t>
      </w:r>
    </w:p>
    <w:p>
      <w:pPr>
        <w:ind w:left="8" w:right="2996" w:firstLine="4"/>
        <w:spacing w:before="262" w:line="21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C0AE"/>
          <w:spacing w:val="1"/>
        </w:rPr>
        <w:t>另一方面</w:t>
      </w:r>
      <w:r>
        <w:rPr>
          <w:rFonts w:ascii="Microsoft YaHei" w:hAnsi="Microsoft YaHei" w:eastAsia="Microsoft YaHei" w:cs="Microsoft YaHei"/>
          <w:sz w:val="21"/>
          <w:szCs w:val="21"/>
          <w:color w:val="00C0AE"/>
          <w:spacing w:val="-28"/>
        </w:rPr>
        <w:t xml:space="preserve"> </w:t>
      </w:r>
      <w:r>
        <w:rPr>
          <w:rFonts w:ascii="Microsoft YaHei" w:hAnsi="Microsoft YaHei" w:eastAsia="Microsoft YaHei" w:cs="Microsoft YaHei"/>
          <w:sz w:val="21"/>
          <w:szCs w:val="21"/>
          <w:color w:val="00C0AE"/>
          <w:spacing w:val="1"/>
        </w:rPr>
        <w:t>，</w:t>
      </w:r>
      <w:r>
        <w:rPr>
          <w:rFonts w:ascii="Microsoft YaHei" w:hAnsi="Microsoft YaHei" w:eastAsia="Microsoft YaHei" w:cs="Microsoft YaHei"/>
          <w:sz w:val="21"/>
          <w:szCs w:val="21"/>
          <w:color w:val="00C0AE"/>
          <w:spacing w:val="-40"/>
        </w:rPr>
        <w:t xml:space="preserve"> </w:t>
      </w:r>
      <w:r>
        <w:rPr>
          <w:rFonts w:ascii="Microsoft YaHei" w:hAnsi="Microsoft YaHei" w:eastAsia="Microsoft YaHei" w:cs="Microsoft YaHei"/>
          <w:sz w:val="21"/>
          <w:szCs w:val="21"/>
          <w:color w:val="00C0AE"/>
          <w:spacing w:val="1"/>
        </w:rPr>
        <w:t>电力辅助服务和市场化改革持续推进。</w:t>
      </w:r>
      <w:r>
        <w:rPr>
          <w:rFonts w:ascii="Microsoft YaHei" w:hAnsi="Microsoft YaHei" w:eastAsia="Microsoft YaHei" w:cs="Microsoft YaHei"/>
          <w:sz w:val="21"/>
          <w:szCs w:val="21"/>
          <w:color w:val="00C0AE"/>
          <w:spacing w:val="-22"/>
        </w:rPr>
        <w:t xml:space="preserve"> </w:t>
      </w:r>
      <w:r>
        <w:rPr>
          <w:rFonts w:ascii="Microsoft YaHei" w:hAnsi="Microsoft YaHei" w:eastAsia="Microsoft YaHei" w:cs="Microsoft YaHei"/>
          <w:sz w:val="21"/>
          <w:szCs w:val="21"/>
          <w:spacing w:val="1"/>
        </w:rPr>
        <w:t>目前</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，调峰、调频是储能</w:t>
      </w:r>
      <w:r>
        <w:rPr>
          <w:rFonts w:ascii="Microsoft YaHei" w:hAnsi="Microsoft YaHei" w:eastAsia="Microsoft YaHei" w:cs="Microsoft YaHei"/>
          <w:sz w:val="21"/>
          <w:szCs w:val="21"/>
        </w:rPr>
        <w:t>参与电力 </w:t>
      </w:r>
      <w:r>
        <w:rPr>
          <w:rFonts w:ascii="Microsoft YaHei" w:hAnsi="Microsoft YaHei" w:eastAsia="Microsoft YaHei" w:cs="Microsoft YaHei"/>
          <w:sz w:val="21"/>
          <w:szCs w:val="21"/>
          <w:spacing w:val="3"/>
        </w:rPr>
        <w:t>辅助服务的主要领域</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，且辅助服务相关费用由发电侧承担</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w:t>
      </w:r>
      <w:r>
        <w:rPr>
          <w:rFonts w:ascii="Microsoft YaHei" w:hAnsi="Microsoft YaHei" w:eastAsia="Microsoft YaHei" w:cs="Microsoft YaHei"/>
          <w:sz w:val="21"/>
          <w:szCs w:val="21"/>
          <w:spacing w:val="2"/>
        </w:rPr>
        <w:t>制约着储能在辅助服务领</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域获得补偿的可持续性。</w:t>
      </w:r>
      <w:r>
        <w:rPr>
          <w:rFonts w:ascii="Microsoft YaHei" w:hAnsi="Microsoft YaHei" w:eastAsia="Microsoft YaHei" w:cs="Microsoft YaHei"/>
          <w:sz w:val="21"/>
          <w:szCs w:val="21"/>
          <w:spacing w:val="-6"/>
        </w:rPr>
        <w:t xml:space="preserve"> </w:t>
      </w:r>
      <w:r>
        <w:rPr>
          <w:rFonts w:ascii="Microsoft YaHei" w:hAnsi="Microsoft YaHei" w:eastAsia="Microsoft YaHei" w:cs="Microsoft YaHei"/>
          <w:sz w:val="21"/>
          <w:szCs w:val="21"/>
          <w:spacing w:val="3"/>
        </w:rPr>
        <w:t>电力辅助服务有偿化且逐步向用户分摊是我国电力市场化改</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革的重要方向。2021</w:t>
      </w:r>
      <w:r>
        <w:rPr>
          <w:rFonts w:ascii="Microsoft YaHei" w:hAnsi="Microsoft YaHei" w:eastAsia="Microsoft YaHei" w:cs="Microsoft YaHei"/>
          <w:sz w:val="21"/>
          <w:szCs w:val="21"/>
          <w:spacing w:val="57"/>
        </w:rPr>
        <w:t xml:space="preserve"> </w:t>
      </w:r>
      <w:r>
        <w:rPr>
          <w:rFonts w:ascii="Microsoft YaHei" w:hAnsi="Microsoft YaHei" w:eastAsia="Microsoft YaHei" w:cs="Microsoft YaHei"/>
          <w:sz w:val="21"/>
          <w:szCs w:val="21"/>
          <w:spacing w:val="4"/>
        </w:rPr>
        <w:t>年7</w:t>
      </w:r>
      <w:r>
        <w:rPr>
          <w:rFonts w:ascii="Microsoft YaHei" w:hAnsi="Microsoft YaHei" w:eastAsia="Microsoft YaHei" w:cs="Microsoft YaHei"/>
          <w:sz w:val="21"/>
          <w:szCs w:val="21"/>
          <w:spacing w:val="54"/>
        </w:rPr>
        <w:t xml:space="preserve"> </w:t>
      </w:r>
      <w:r>
        <w:rPr>
          <w:rFonts w:ascii="Microsoft YaHei" w:hAnsi="Microsoft YaHei" w:eastAsia="Microsoft YaHei" w:cs="Microsoft YaHei"/>
          <w:sz w:val="21"/>
          <w:szCs w:val="21"/>
          <w:spacing w:val="4"/>
        </w:rPr>
        <w:t>月出台的《关于加快推动新型储能发展的指</w:t>
      </w:r>
      <w:r>
        <w:rPr>
          <w:rFonts w:ascii="Microsoft YaHei" w:hAnsi="Microsoft YaHei" w:eastAsia="Microsoft YaHei" w:cs="Microsoft YaHei"/>
          <w:sz w:val="21"/>
          <w:szCs w:val="21"/>
          <w:spacing w:val="3"/>
        </w:rPr>
        <w:t>导意见》提出</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“将电网替代性储能设施成本收益纳入输配电价回收”</w:t>
      </w:r>
      <w:r>
        <w:rPr>
          <w:rFonts w:ascii="Microsoft YaHei" w:hAnsi="Microsoft YaHei" w:eastAsia="Microsoft YaHei" w:cs="Microsoft YaHei"/>
          <w:sz w:val="21"/>
          <w:szCs w:val="21"/>
          <w:spacing w:val="-30"/>
        </w:rPr>
        <w:t xml:space="preserve"> </w:t>
      </w:r>
      <w:r>
        <w:rPr>
          <w:rFonts w:ascii="Microsoft YaHei" w:hAnsi="Microsoft YaHei" w:eastAsia="Microsoft YaHei" w:cs="Microsoft YaHei"/>
          <w:sz w:val="21"/>
          <w:szCs w:val="21"/>
          <w:spacing w:val="3"/>
        </w:rPr>
        <w:t>，</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3"/>
        </w:rPr>
        <w:t>电网替代性储能若</w:t>
      </w:r>
      <w:r>
        <w:rPr>
          <w:rFonts w:ascii="Microsoft YaHei" w:hAnsi="Microsoft YaHei" w:eastAsia="Microsoft YaHei" w:cs="Microsoft YaHei"/>
          <w:sz w:val="21"/>
          <w:szCs w:val="21"/>
          <w:spacing w:val="2"/>
        </w:rPr>
        <w:t>能通过输</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配电价获取收益将极大增加相关投资收益的确定性</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，从而刺激电网替代性</w:t>
      </w:r>
      <w:r>
        <w:rPr>
          <w:rFonts w:ascii="Microsoft YaHei" w:hAnsi="Microsoft YaHei" w:eastAsia="Microsoft YaHei" w:cs="Microsoft YaHei"/>
          <w:sz w:val="21"/>
          <w:szCs w:val="21"/>
          <w:spacing w:val="2"/>
        </w:rPr>
        <w:t>储能发展。</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2021年12月发布的《电力辅助服务管</w:t>
      </w:r>
      <w:r>
        <w:rPr>
          <w:rFonts w:ascii="Microsoft YaHei" w:hAnsi="Microsoft YaHei" w:eastAsia="Microsoft YaHei" w:cs="Microsoft YaHei"/>
          <w:sz w:val="21"/>
          <w:szCs w:val="21"/>
        </w:rPr>
        <w:t>理办法》</w:t>
      </w:r>
      <w:r>
        <w:rPr>
          <w:rFonts w:ascii="Microsoft YaHei" w:hAnsi="Microsoft YaHei" w:eastAsia="Microsoft YaHei" w:cs="Microsoft YaHei"/>
          <w:sz w:val="21"/>
          <w:szCs w:val="21"/>
          <w:spacing w:val="-23"/>
        </w:rPr>
        <w:t xml:space="preserve"> </w:t>
      </w:r>
      <w:r>
        <w:rPr>
          <w:rFonts w:ascii="Microsoft YaHei" w:hAnsi="Microsoft YaHei" w:eastAsia="Microsoft YaHei" w:cs="Microsoft YaHei"/>
          <w:sz w:val="21"/>
          <w:szCs w:val="21"/>
        </w:rPr>
        <w:t>，将提供辅助服务主体范围由发电厂扩 </w:t>
      </w:r>
      <w:r>
        <w:rPr>
          <w:rFonts w:ascii="Microsoft YaHei" w:hAnsi="Microsoft YaHei" w:eastAsia="Microsoft YaHei" w:cs="Microsoft YaHei"/>
          <w:sz w:val="21"/>
          <w:szCs w:val="21"/>
          <w:spacing w:val="2"/>
        </w:rPr>
        <w:t>大到包括新型储能等主体；</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建立用户参与的分担共享机制</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36"/>
        </w:rPr>
        <w:t xml:space="preserve"> </w:t>
      </w:r>
      <w:r>
        <w:rPr>
          <w:rFonts w:ascii="Microsoft YaHei" w:hAnsi="Microsoft YaHei" w:eastAsia="Microsoft YaHei" w:cs="Microsoft YaHei"/>
          <w:sz w:val="21"/>
          <w:szCs w:val="21"/>
          <w:spacing w:val="2"/>
        </w:rPr>
        <w:t>电力辅助服务补偿费用由</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发电企业、市场化电力用户等所有并网主体共同</w:t>
      </w:r>
      <w:r>
        <w:rPr>
          <w:rFonts w:ascii="Microsoft YaHei" w:hAnsi="Microsoft YaHei" w:eastAsia="Microsoft YaHei" w:cs="Microsoft YaHei"/>
          <w:sz w:val="21"/>
          <w:szCs w:val="21"/>
          <w:spacing w:val="3"/>
        </w:rPr>
        <w:t>分摊。2022年6月</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，发改委联合能源</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局发布《关于进一步推动新型储能参与电力市场和调度运用的通知》</w:t>
      </w:r>
      <w:r>
        <w:rPr>
          <w:rFonts w:ascii="Microsoft YaHei" w:hAnsi="Microsoft YaHei" w:eastAsia="Microsoft YaHei" w:cs="Microsoft YaHei"/>
          <w:sz w:val="21"/>
          <w:szCs w:val="21"/>
          <w:spacing w:val="-6"/>
        </w:rPr>
        <w:t xml:space="preserve"> </w:t>
      </w:r>
      <w:r>
        <w:rPr>
          <w:rFonts w:ascii="Microsoft YaHei" w:hAnsi="Microsoft YaHei" w:eastAsia="Microsoft YaHei" w:cs="Microsoft YaHei"/>
          <w:sz w:val="21"/>
          <w:szCs w:val="21"/>
          <w:spacing w:val="3"/>
        </w:rPr>
        <w:t>，加快推动独立</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储能参与电力市场配合电网调峰。</w:t>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ict>
          <v:shape id="_x0000_s964" style="position:absolute;margin-left:0.25pt;margin-top:7.06508pt;mso-position-vertical-relative:text;mso-position-horizontal-relative:text;width:81.3pt;height:0.5pt;z-index:252717056;" filled="false" strokecolor="#000000" strokeweight="0.50pt" coordsize="1626,10" coordorigin="0,0" path="m0,5l1625,5e">
            <v:stroke joinstyle="miter"/>
          </v:shape>
        </w:pict>
      </w:r>
      <w:r/>
    </w:p>
    <w:p>
      <w:pPr>
        <w:ind w:left="8" w:right="3127" w:hanging="5"/>
        <w:spacing w:before="56" w:line="183" w:lineRule="auto"/>
        <w:jc w:val="both"/>
        <w:rPr>
          <w:rFonts w:ascii="Microsoft YaHei" w:hAnsi="Microsoft YaHei" w:eastAsia="Microsoft YaHei" w:cs="Microsoft YaHei"/>
          <w:sz w:val="13"/>
          <w:szCs w:val="13"/>
        </w:rPr>
      </w:pPr>
      <w:r>
        <w:rPr>
          <w:rFonts w:ascii="Microsoft YaHei" w:hAnsi="Microsoft YaHei" w:eastAsia="Microsoft YaHei" w:cs="Microsoft YaHei"/>
          <w:sz w:val="9"/>
          <w:szCs w:val="9"/>
          <w:spacing w:val="9"/>
          <w:position w:val="4"/>
        </w:rPr>
        <w:t>42</w:t>
      </w:r>
      <w:r>
        <w:rPr>
          <w:rFonts w:ascii="Microsoft YaHei" w:hAnsi="Microsoft YaHei" w:eastAsia="Microsoft YaHei" w:cs="Microsoft YaHei"/>
          <w:sz w:val="9"/>
          <w:szCs w:val="9"/>
          <w:spacing w:val="16"/>
          <w:w w:val="101"/>
          <w:position w:val="4"/>
        </w:rPr>
        <w:t xml:space="preserve"> </w:t>
      </w:r>
      <w:r>
        <w:rPr>
          <w:rFonts w:ascii="Microsoft YaHei" w:hAnsi="Microsoft YaHei" w:eastAsia="Microsoft YaHei" w:cs="Microsoft YaHei"/>
          <w:sz w:val="13"/>
          <w:szCs w:val="13"/>
          <w:spacing w:val="9"/>
        </w:rPr>
        <w:t>共享储能电站：电站资源不专属于某一新能源站或电网，而是以电网为纽带，将独立分散的电网侧、电源侧、用户侧储能电站</w:t>
      </w:r>
      <w:r>
        <w:rPr>
          <w:rFonts w:ascii="Microsoft YaHei" w:hAnsi="Microsoft YaHei" w:eastAsia="Microsoft YaHei" w:cs="Microsoft YaHei"/>
          <w:sz w:val="13"/>
          <w:szCs w:val="13"/>
        </w:rPr>
        <w:t xml:space="preserve"> </w:t>
      </w:r>
      <w:r>
        <w:rPr>
          <w:rFonts w:ascii="Microsoft YaHei" w:hAnsi="Microsoft YaHei" w:eastAsia="Microsoft YaHei" w:cs="Microsoft YaHei"/>
          <w:sz w:val="13"/>
          <w:szCs w:val="13"/>
          <w:spacing w:val="10"/>
        </w:rPr>
        <w:t>资源整合，并统一协调服务于网内所有新能源站，</w:t>
      </w:r>
      <w:r>
        <w:rPr>
          <w:rFonts w:ascii="Microsoft YaHei" w:hAnsi="Microsoft YaHei" w:eastAsia="Microsoft YaHei" w:cs="Microsoft YaHei"/>
          <w:sz w:val="13"/>
          <w:szCs w:val="13"/>
          <w:spacing w:val="9"/>
        </w:rPr>
        <w:t>推动源网荷各端储能能力全面释放。独立储能暨行业内通常理解的共享储能电</w:t>
      </w:r>
      <w:r>
        <w:rPr>
          <w:rFonts w:ascii="Microsoft YaHei" w:hAnsi="Microsoft YaHei" w:eastAsia="Microsoft YaHei" w:cs="Microsoft YaHei"/>
          <w:sz w:val="13"/>
          <w:szCs w:val="13"/>
        </w:rPr>
        <w:t xml:space="preserve"> </w:t>
      </w:r>
      <w:r>
        <w:rPr>
          <w:rFonts w:ascii="Microsoft YaHei" w:hAnsi="Microsoft YaHei" w:eastAsia="Microsoft YaHei" w:cs="Microsoft YaHei"/>
          <w:sz w:val="13"/>
          <w:szCs w:val="13"/>
          <w:spacing w:val="5"/>
        </w:rPr>
        <w:t>站。</w:t>
      </w:r>
      <w:r>
        <w:rPr>
          <w:rFonts w:ascii="Microsoft YaHei" w:hAnsi="Microsoft YaHei" w:eastAsia="Microsoft YaHei" w:cs="Microsoft YaHei"/>
          <w:sz w:val="13"/>
          <w:szCs w:val="13"/>
          <w:spacing w:val="-17"/>
        </w:rPr>
        <w:t xml:space="preserve"> </w:t>
      </w:r>
      <w:r>
        <w:rPr>
          <w:rFonts w:ascii="Microsoft YaHei" w:hAnsi="Microsoft YaHei" w:eastAsia="Microsoft YaHei" w:cs="Microsoft YaHei"/>
          <w:sz w:val="13"/>
          <w:szCs w:val="13"/>
          <w:spacing w:val="5"/>
        </w:rPr>
        <w:t>《山西储能电站并网运行管理实施细则》征求意见，山</w:t>
      </w:r>
      <w:r>
        <w:rPr>
          <w:rFonts w:ascii="Microsoft YaHei" w:hAnsi="Microsoft YaHei" w:eastAsia="Microsoft YaHei" w:cs="Microsoft YaHei"/>
          <w:sz w:val="13"/>
          <w:szCs w:val="13"/>
          <w:spacing w:val="4"/>
        </w:rPr>
        <w:t>西能监办，  2022年10月28日，</w:t>
      </w:r>
    </w:p>
    <w:p>
      <w:pPr>
        <w:ind w:left="14"/>
        <w:spacing w:before="1" w:line="185" w:lineRule="auto"/>
        <w:rPr>
          <w:rFonts w:ascii="Microsoft YaHei" w:hAnsi="Microsoft YaHei" w:eastAsia="Microsoft YaHei" w:cs="Microsoft YaHei"/>
          <w:sz w:val="13"/>
          <w:szCs w:val="13"/>
        </w:rPr>
      </w:pPr>
      <w:hyperlink w:history="true" r:id="rId246">
        <w:r>
          <w:rPr>
            <w:rFonts w:ascii="Microsoft YaHei" w:hAnsi="Microsoft YaHei" w:eastAsia="Microsoft YaHei" w:cs="Microsoft YaHei"/>
            <w:sz w:val="13"/>
            <w:szCs w:val="13"/>
          </w:rPr>
          <w:t>https</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news</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bjx</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com</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cn</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html</w:t>
        </w:r>
        <w:r>
          <w:rPr>
            <w:rFonts w:ascii="Microsoft YaHei" w:hAnsi="Microsoft YaHei" w:eastAsia="Microsoft YaHei" w:cs="Microsoft YaHei"/>
            <w:sz w:val="13"/>
            <w:szCs w:val="13"/>
            <w:spacing w:val="6"/>
          </w:rPr>
          <w:t>/20221028/1264679.</w:t>
        </w:r>
        <w:r>
          <w:rPr>
            <w:rFonts w:ascii="Microsoft YaHei" w:hAnsi="Microsoft YaHei" w:eastAsia="Microsoft YaHei" w:cs="Microsoft YaHei"/>
            <w:sz w:val="13"/>
            <w:szCs w:val="13"/>
          </w:rPr>
          <w:t>shtml</w:t>
        </w:r>
      </w:hyperlink>
    </w:p>
    <w:p>
      <w:pPr>
        <w:ind w:left="505" w:right="1241" w:hanging="411"/>
        <w:spacing w:before="205"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1300" w:header="0" w:footer="0" w:gutter="0"/>
        </w:sectPr>
        <w:rPr>
          <w:rFonts w:ascii="Microsoft YaHei" w:hAnsi="Microsoft YaHei" w:eastAsia="Microsoft YaHei" w:cs="Microsoft YaHei"/>
          <w:sz w:val="11"/>
          <w:szCs w:val="11"/>
        </w:rPr>
      </w:pPr>
    </w:p>
    <w:p>
      <w:pPr>
        <w:spacing w:before="314" w:line="193" w:lineRule="auto"/>
        <w:rPr>
          <w:rFonts w:ascii="Microsoft YaHei" w:hAnsi="Microsoft YaHei" w:eastAsia="Microsoft YaHei" w:cs="Microsoft YaHei"/>
          <w:sz w:val="18"/>
          <w:szCs w:val="18"/>
        </w:rPr>
      </w:pPr>
      <w:r>
        <w:pict>
          <v:rect id="_x0000_s966" style="position:absolute;margin-left:611.99pt;margin-top:0pt;mso-position-vertical-relative:page;mso-position-horizontal-relative:page;width:0.25pt;height:859pt;z-index:252753920;" o:allowincell="f" fillcolor="#000000" filled="true" stroked="false"/>
        </w:pict>
      </w:r>
      <w:r>
        <w:rPr>
          <w:rFonts w:ascii="Microsoft YaHei" w:hAnsi="Microsoft YaHei" w:eastAsia="Microsoft YaHei" w:cs="Microsoft YaHei"/>
          <w:sz w:val="18"/>
          <w:szCs w:val="18"/>
          <w:b/>
          <w:bCs/>
          <w:color w:val="A8A8A8"/>
          <w:spacing w:val="-1"/>
        </w:rPr>
        <w:t>45</w:t>
      </w:r>
      <w:r>
        <w:rPr>
          <w:rFonts w:ascii="Microsoft YaHei" w:hAnsi="Microsoft YaHei" w:eastAsia="Microsoft YaHei" w:cs="Microsoft YaHei"/>
          <w:sz w:val="18"/>
          <w:szCs w:val="18"/>
          <w:b/>
          <w:bCs/>
          <w:color w:val="A8A8A8"/>
          <w:spacing w:val="15"/>
          <w:w w:val="101"/>
        </w:rPr>
        <w:t xml:space="preserve">  </w:t>
      </w:r>
      <w:r>
        <w:rPr>
          <w:sz w:val="18"/>
          <w:szCs w:val="18"/>
          <w:position w:val="-4"/>
        </w:rPr>
        <w:drawing>
          <wp:inline distT="0" distB="0" distL="0" distR="0">
            <wp:extent cx="6350" cy="130175"/>
            <wp:effectExtent l="0" t="0" r="0" b="0"/>
            <wp:docPr id="528" name="IM 528"/>
            <wp:cNvGraphicFramePr/>
            <a:graphic>
              <a:graphicData uri="http://schemas.openxmlformats.org/drawingml/2006/picture">
                <pic:pic>
                  <pic:nvPicPr>
                    <pic:cNvPr id="528" name="IM 528"/>
                    <pic:cNvPicPr/>
                  </pic:nvPicPr>
                  <pic:blipFill>
                    <a:blip r:embed="rId247"/>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A8A8A8"/>
          <w:spacing w:val="26"/>
          <w:w w:val="101"/>
        </w:rPr>
        <w:t xml:space="preserve">  </w:t>
      </w:r>
      <w:r>
        <w:rPr>
          <w:rFonts w:ascii="Microsoft YaHei" w:hAnsi="Microsoft YaHei" w:eastAsia="Microsoft YaHei" w:cs="Microsoft YaHei"/>
          <w:sz w:val="18"/>
          <w:szCs w:val="18"/>
          <w:color w:val="A8A8A8"/>
          <w:spacing w:val="-1"/>
        </w:rPr>
        <w:t>新型储能助力能源转型</w:t>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ind w:left="346"/>
        <w:spacing w:before="103" w:line="181" w:lineRule="auto"/>
        <w:outlineLvl w:val="0"/>
        <w:rPr>
          <w:rFonts w:ascii="Microsoft YaHei" w:hAnsi="Microsoft YaHei" w:eastAsia="Microsoft YaHei" w:cs="Microsoft YaHei"/>
          <w:sz w:val="24"/>
          <w:szCs w:val="24"/>
        </w:rPr>
      </w:pPr>
      <w:r>
        <w:rPr>
          <w:rFonts w:ascii="Microsoft YaHei" w:hAnsi="Microsoft YaHei" w:eastAsia="Microsoft YaHei" w:cs="Microsoft YaHei"/>
          <w:sz w:val="24"/>
          <w:szCs w:val="24"/>
          <w:b/>
          <w:bCs/>
          <w:color w:val="00C0AE"/>
          <w:spacing w:val="-1"/>
        </w:rPr>
        <w:t>地方政府层面：陆续出台独立储能参与市场的细则</w:t>
      </w:r>
    </w:p>
    <w:p>
      <w:pPr>
        <w:ind w:left="350" w:right="2997" w:hanging="1"/>
        <w:spacing w:before="236" w:line="217"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在国家确定了独立储能发展方向后</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4"/>
        </w:rPr>
        <w:t>，南方区域、华东区域</w:t>
      </w:r>
      <w:r>
        <w:rPr>
          <w:rFonts w:ascii="Microsoft YaHei" w:hAnsi="Microsoft YaHei" w:eastAsia="Microsoft YaHei" w:cs="Microsoft YaHei"/>
          <w:sz w:val="21"/>
          <w:szCs w:val="21"/>
          <w:spacing w:val="3"/>
        </w:rPr>
        <w:t>、华北区域等多个区域能源</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监管办公室（简称“</w:t>
      </w:r>
      <w:r>
        <w:rPr>
          <w:rFonts w:ascii="Microsoft YaHei" w:hAnsi="Microsoft YaHei" w:eastAsia="Microsoft YaHei" w:cs="Microsoft YaHei"/>
          <w:sz w:val="21"/>
          <w:szCs w:val="21"/>
          <w:spacing w:val="-43"/>
        </w:rPr>
        <w:t xml:space="preserve"> </w:t>
      </w:r>
      <w:r>
        <w:rPr>
          <w:rFonts w:ascii="Microsoft YaHei" w:hAnsi="Microsoft YaHei" w:eastAsia="Microsoft YaHei" w:cs="Microsoft YaHei"/>
          <w:sz w:val="21"/>
          <w:szCs w:val="21"/>
          <w:spacing w:val="3"/>
        </w:rPr>
        <w:t>能监办”</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19"/>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3"/>
        </w:rPr>
        <w:t>以及江苏省、湖北省等省级能监办根据自身特点和</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电力市场化进程，出台了新型储能参与电力辅助服务市场的相关细则。</w:t>
      </w:r>
    </w:p>
    <w:p>
      <w:pPr>
        <w:ind w:left="348" w:right="2798" w:firstLine="4"/>
        <w:spacing w:before="265" w:line="21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部分省市明确辅助服务费用来源。2022年3</w:t>
      </w:r>
      <w:r>
        <w:rPr>
          <w:rFonts w:ascii="Microsoft YaHei" w:hAnsi="Microsoft YaHei" w:eastAsia="Microsoft YaHei" w:cs="Microsoft YaHei"/>
          <w:sz w:val="21"/>
          <w:szCs w:val="21"/>
          <w:spacing w:val="3"/>
        </w:rPr>
        <w:t>月</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，国家能源局南方监管局发布关于公开</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征求《南方区域电力并网运行管理实施细则》《南方区域电力辅助服务管理实施细则》</w:t>
      </w:r>
      <w:r>
        <w:rPr>
          <w:rFonts w:ascii="Microsoft YaHei" w:hAnsi="Microsoft YaHei" w:eastAsia="Microsoft YaHei" w:cs="Microsoft YaHei"/>
          <w:sz w:val="21"/>
          <w:szCs w:val="21"/>
          <w:spacing w:val="3"/>
        </w:rPr>
        <w:t xml:space="preserve"> </w:t>
      </w:r>
      <w:r>
        <w:rPr>
          <w:rFonts w:ascii="Microsoft YaHei" w:hAnsi="Microsoft YaHei" w:eastAsia="Microsoft YaHei" w:cs="Microsoft YaHei"/>
          <w:sz w:val="21"/>
          <w:szCs w:val="21"/>
          <w:spacing w:val="3"/>
        </w:rPr>
        <w:t>（征求意见稿）</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3"/>
        </w:rPr>
        <w:t>意见的通告</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，提到独立储能参与辅助服务范围和补偿标准。广东明确</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辅助服务费用有全体用户分担，</w:t>
      </w:r>
      <w:r>
        <w:rPr>
          <w:rFonts w:ascii="Microsoft YaHei" w:hAnsi="Microsoft YaHei" w:eastAsia="Microsoft YaHei" w:cs="Microsoft YaHei"/>
          <w:sz w:val="21"/>
          <w:szCs w:val="21"/>
          <w:spacing w:val="-40"/>
        </w:rPr>
        <w:t xml:space="preserve"> </w:t>
      </w:r>
      <w:r>
        <w:rPr>
          <w:rFonts w:ascii="Microsoft YaHei" w:hAnsi="Microsoft YaHei" w:eastAsia="Microsoft YaHei" w:cs="Microsoft YaHei"/>
          <w:sz w:val="21"/>
          <w:szCs w:val="21"/>
          <w:spacing w:val="1"/>
        </w:rPr>
        <w:t>2021年12月出台的《广东省电网企业代理</w:t>
      </w:r>
      <w:r>
        <w:rPr>
          <w:rFonts w:ascii="Microsoft YaHei" w:hAnsi="Microsoft YaHei" w:eastAsia="Microsoft YaHei" w:cs="Microsoft YaHei"/>
          <w:sz w:val="21"/>
          <w:szCs w:val="21"/>
        </w:rPr>
        <w:t>购电实施方    </w:t>
      </w:r>
      <w:r>
        <w:rPr>
          <w:rFonts w:ascii="Microsoft YaHei" w:hAnsi="Microsoft YaHei" w:eastAsia="Microsoft YaHei" w:cs="Microsoft YaHei"/>
          <w:sz w:val="21"/>
          <w:szCs w:val="21"/>
          <w:spacing w:val="1"/>
        </w:rPr>
        <w:t>案（试行）</w:t>
      </w:r>
      <w:r>
        <w:rPr>
          <w:rFonts w:ascii="Microsoft YaHei" w:hAnsi="Microsoft YaHei" w:eastAsia="Microsoft YaHei" w:cs="Microsoft YaHei"/>
          <w:sz w:val="21"/>
          <w:szCs w:val="21"/>
          <w:spacing w:val="-39"/>
        </w:rPr>
        <w:t xml:space="preserve"> </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spacing w:val="22"/>
        </w:rPr>
        <w:t xml:space="preserve"> </w:t>
      </w:r>
      <w:r>
        <w:rPr>
          <w:rFonts w:ascii="Microsoft YaHei" w:hAnsi="Microsoft YaHei" w:eastAsia="Microsoft YaHei" w:cs="Microsoft YaHei"/>
          <w:sz w:val="13"/>
          <w:szCs w:val="13"/>
          <w:spacing w:val="1"/>
          <w:position w:val="6"/>
        </w:rPr>
        <w:t>43 </w:t>
      </w:r>
      <w:r>
        <w:rPr>
          <w:rFonts w:ascii="Microsoft YaHei" w:hAnsi="Microsoft YaHei" w:eastAsia="Microsoft YaHei" w:cs="Microsoft YaHei"/>
          <w:sz w:val="21"/>
          <w:szCs w:val="21"/>
          <w:spacing w:val="1"/>
        </w:rPr>
        <w:t>，提出辅助服务的相关费用由全体工商业用户共同分摊</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，储能、抽水</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蓄能电站的费用具体按电网企业每月实际发生成本的金额确定 （表</w:t>
      </w:r>
      <w:r>
        <w:rPr>
          <w:rFonts w:ascii="Microsoft YaHei" w:hAnsi="Microsoft YaHei" w:eastAsia="Microsoft YaHei" w:cs="Microsoft YaHei"/>
          <w:sz w:val="21"/>
          <w:szCs w:val="21"/>
          <w:spacing w:val="39"/>
        </w:rPr>
        <w:t xml:space="preserve"> </w:t>
      </w:r>
      <w:r>
        <w:rPr>
          <w:rFonts w:ascii="Microsoft YaHei" w:hAnsi="Microsoft YaHei" w:eastAsia="Microsoft YaHei" w:cs="Microsoft YaHei"/>
          <w:sz w:val="21"/>
          <w:szCs w:val="21"/>
          <w:spacing w:val="-1"/>
        </w:rPr>
        <w:t>12）。广东省将储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能电价纳入输配电价，并且实现市场化交易，有利于储能</w:t>
      </w:r>
      <w:r>
        <w:rPr>
          <w:rFonts w:ascii="Microsoft YaHei" w:hAnsi="Microsoft YaHei" w:eastAsia="Microsoft YaHei" w:cs="Microsoft YaHei"/>
          <w:sz w:val="21"/>
          <w:szCs w:val="21"/>
          <w:spacing w:val="-1"/>
        </w:rPr>
        <w:t>行业的健康发展。</w:t>
      </w:r>
    </w:p>
    <w:p>
      <w:pPr>
        <w:ind w:left="348" w:right="2996"/>
        <w:spacing w:before="264" w:line="21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辅助服务市场范围进一步扩大。</w:t>
      </w:r>
      <w:r>
        <w:rPr>
          <w:rFonts w:ascii="Microsoft YaHei" w:hAnsi="Microsoft YaHei" w:eastAsia="Microsoft YaHei" w:cs="Microsoft YaHei"/>
          <w:sz w:val="21"/>
          <w:szCs w:val="21"/>
          <w:spacing w:val="-40"/>
        </w:rPr>
        <w:t xml:space="preserve"> </w:t>
      </w:r>
      <w:r>
        <w:rPr>
          <w:rFonts w:ascii="Microsoft YaHei" w:hAnsi="Microsoft YaHei" w:eastAsia="Microsoft YaHei" w:cs="Microsoft YaHei"/>
          <w:sz w:val="21"/>
          <w:szCs w:val="21"/>
        </w:rPr>
        <w:t>2021年12月</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rPr>
        <w:t>，《山西独立储能电站参与电力一次调频 </w:t>
      </w:r>
      <w:r>
        <w:rPr>
          <w:rFonts w:ascii="Microsoft YaHei" w:hAnsi="Microsoft YaHei" w:eastAsia="Microsoft YaHei" w:cs="Microsoft YaHei"/>
          <w:sz w:val="21"/>
          <w:szCs w:val="21"/>
          <w:spacing w:val="3"/>
        </w:rPr>
        <w:t>市场交易实施细则（试行</w:t>
      </w:r>
      <w:r>
        <w:rPr>
          <w:rFonts w:ascii="Microsoft YaHei" w:hAnsi="Microsoft YaHei" w:eastAsia="Microsoft YaHei" w:cs="Microsoft YaHei"/>
          <w:sz w:val="21"/>
          <w:szCs w:val="21"/>
          <w:spacing w:val="8"/>
        </w:rPr>
        <w:t>）（</w:t>
      </w:r>
      <w:r>
        <w:rPr>
          <w:rFonts w:ascii="Microsoft YaHei" w:hAnsi="Microsoft YaHei" w:eastAsia="Microsoft YaHei" w:cs="Microsoft YaHei"/>
          <w:sz w:val="21"/>
          <w:szCs w:val="21"/>
          <w:spacing w:val="3"/>
        </w:rPr>
        <w:t>征求意见稿）</w:t>
      </w:r>
      <w:r>
        <w:rPr>
          <w:rFonts w:ascii="Microsoft YaHei" w:hAnsi="Microsoft YaHei" w:eastAsia="Microsoft YaHei" w:cs="Microsoft YaHei"/>
          <w:sz w:val="21"/>
          <w:szCs w:val="21"/>
          <w:spacing w:val="-40"/>
        </w:rPr>
        <w:t xml:space="preserve"> </w:t>
      </w:r>
      <w:r>
        <w:rPr>
          <w:rFonts w:ascii="Microsoft YaHei" w:hAnsi="Microsoft YaHei" w:eastAsia="Microsoft YaHei" w:cs="Microsoft YaHei"/>
          <w:sz w:val="21"/>
          <w:szCs w:val="21"/>
          <w:spacing w:val="3"/>
        </w:rPr>
        <w:t>》</w:t>
      </w:r>
      <w:r>
        <w:rPr>
          <w:rFonts w:ascii="Microsoft YaHei" w:hAnsi="Microsoft YaHei" w:eastAsia="Microsoft YaHei" w:cs="Microsoft YaHei"/>
          <w:sz w:val="21"/>
          <w:szCs w:val="21"/>
          <w:spacing w:val="-39"/>
        </w:rPr>
        <w:t xml:space="preserve"> </w:t>
      </w:r>
      <w:r>
        <w:rPr>
          <w:rFonts w:ascii="Microsoft YaHei" w:hAnsi="Microsoft YaHei" w:eastAsia="Microsoft YaHei" w:cs="Microsoft YaHei"/>
          <w:sz w:val="21"/>
          <w:szCs w:val="21"/>
          <w:spacing w:val="3"/>
        </w:rPr>
        <w:t>允许储能电站通过参与电力一次调频市</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场获取收益。2022年5月</w:t>
      </w:r>
      <w:r>
        <w:rPr>
          <w:rFonts w:ascii="Microsoft YaHei" w:hAnsi="Microsoft YaHei" w:eastAsia="Microsoft YaHei" w:cs="Microsoft YaHei"/>
          <w:sz w:val="21"/>
          <w:szCs w:val="21"/>
          <w:spacing w:val="-27"/>
        </w:rPr>
        <w:t xml:space="preserve"> </w:t>
      </w:r>
      <w:r>
        <w:rPr>
          <w:rFonts w:ascii="Microsoft YaHei" w:hAnsi="Microsoft YaHei" w:eastAsia="Microsoft YaHei" w:cs="Microsoft YaHei"/>
          <w:sz w:val="21"/>
          <w:szCs w:val="21"/>
          <w:spacing w:val="3"/>
        </w:rPr>
        <w:t>，</w:t>
      </w:r>
      <w:r>
        <w:rPr>
          <w:rFonts w:ascii="Microsoft YaHei" w:hAnsi="Microsoft YaHei" w:eastAsia="Microsoft YaHei" w:cs="Microsoft YaHei"/>
          <w:sz w:val="21"/>
          <w:szCs w:val="21"/>
          <w:spacing w:val="-39"/>
        </w:rPr>
        <w:t xml:space="preserve"> </w:t>
      </w:r>
      <w:r>
        <w:rPr>
          <w:rFonts w:ascii="Microsoft YaHei" w:hAnsi="Microsoft YaHei" w:eastAsia="Microsoft YaHei" w:cs="Microsoft YaHei"/>
          <w:sz w:val="21"/>
          <w:szCs w:val="21"/>
          <w:spacing w:val="3"/>
        </w:rPr>
        <w:t>山西能源监管办印发《山西电力一次调频市场交易实施细</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则（试行）》</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的通知</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，其调频市场主体包括发电侧并网</w:t>
      </w:r>
      <w:r>
        <w:rPr>
          <w:rFonts w:ascii="Microsoft YaHei" w:hAnsi="Microsoft YaHei" w:eastAsia="Microsoft YaHei" w:cs="Microsoft YaHei"/>
          <w:sz w:val="21"/>
          <w:szCs w:val="21"/>
          <w:spacing w:val="2"/>
        </w:rPr>
        <w:t>主体及新型储能。未来独立储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能电站参与调频辅助服务或成趋势</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3"/>
        </w:rPr>
        <w:t>，独立储能电站收益渠道有望进一步</w:t>
      </w:r>
      <w:r>
        <w:rPr>
          <w:rFonts w:ascii="Microsoft YaHei" w:hAnsi="Microsoft YaHei" w:eastAsia="Microsoft YaHei" w:cs="Microsoft YaHei"/>
          <w:sz w:val="21"/>
          <w:szCs w:val="21"/>
          <w:spacing w:val="2"/>
        </w:rPr>
        <w:t>增加。另外</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2022年8月</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4"/>
        </w:rPr>
        <w:t>，云南能监办发布关于征求《云南黑启动</w:t>
      </w:r>
      <w:r>
        <w:rPr>
          <w:rFonts w:ascii="Microsoft YaHei" w:hAnsi="Microsoft YaHei" w:eastAsia="Microsoft YaHei" w:cs="Microsoft YaHei"/>
          <w:sz w:val="21"/>
          <w:szCs w:val="21"/>
          <w:spacing w:val="3"/>
        </w:rPr>
        <w:t>辅助服务市场交易规则（征求意</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见稿）》</w:t>
      </w:r>
      <w:r>
        <w:rPr>
          <w:rFonts w:ascii="Microsoft YaHei" w:hAnsi="Microsoft YaHei" w:eastAsia="Microsoft YaHei" w:cs="Microsoft YaHei"/>
          <w:sz w:val="13"/>
          <w:szCs w:val="13"/>
          <w:spacing w:val="-1"/>
          <w:position w:val="6"/>
        </w:rPr>
        <w:t>44</w:t>
      </w:r>
      <w:r>
        <w:rPr>
          <w:rFonts w:ascii="Microsoft YaHei" w:hAnsi="Microsoft YaHei" w:eastAsia="Microsoft YaHei" w:cs="Microsoft YaHei"/>
          <w:sz w:val="13"/>
          <w:szCs w:val="13"/>
          <w:spacing w:val="-10"/>
          <w:position w:val="6"/>
        </w:rPr>
        <w:t xml:space="preserve"> </w:t>
      </w:r>
      <w:r>
        <w:rPr>
          <w:rFonts w:ascii="Microsoft YaHei" w:hAnsi="Microsoft YaHei" w:eastAsia="Microsoft YaHei" w:cs="Microsoft YaHei"/>
          <w:sz w:val="21"/>
          <w:szCs w:val="21"/>
          <w:spacing w:val="-1"/>
        </w:rPr>
        <w:t>，配套储能的新能源电厂和独立储能具</w:t>
      </w:r>
      <w:r>
        <w:rPr>
          <w:rFonts w:ascii="Microsoft YaHei" w:hAnsi="Microsoft YaHei" w:eastAsia="Microsoft YaHei" w:cs="Microsoft YaHei"/>
          <w:sz w:val="21"/>
          <w:szCs w:val="21"/>
          <w:spacing w:val="-2"/>
        </w:rPr>
        <w:t>备黑启动能力后，</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自主参与黑启动辅</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助服务市场</w:t>
      </w:r>
      <w:r>
        <w:rPr>
          <w:rFonts w:ascii="Microsoft YaHei" w:hAnsi="Microsoft YaHei" w:eastAsia="Microsoft YaHei" w:cs="Microsoft YaHei"/>
          <w:sz w:val="21"/>
          <w:szCs w:val="21"/>
          <w:spacing w:val="-21"/>
        </w:rPr>
        <w:t xml:space="preserve"> </w:t>
      </w:r>
      <w:r>
        <w:rPr>
          <w:rFonts w:ascii="Microsoft YaHei" w:hAnsi="Microsoft YaHei" w:eastAsia="Microsoft YaHei" w:cs="Microsoft YaHei"/>
          <w:sz w:val="21"/>
          <w:szCs w:val="21"/>
          <w:spacing w:val="-1"/>
        </w:rPr>
        <w:t>。</w:t>
      </w:r>
    </w:p>
    <w:p>
      <w:pPr>
        <w:ind w:left="345" w:right="2998" w:firstLine="3"/>
        <w:spacing w:before="275" w:line="217"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容量租赁收益模式试水。2022年9月</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w:t>
      </w:r>
      <w:r>
        <w:rPr>
          <w:rFonts w:ascii="Microsoft YaHei" w:hAnsi="Microsoft YaHei" w:eastAsia="Microsoft YaHei" w:cs="Microsoft YaHei"/>
          <w:sz w:val="21"/>
          <w:szCs w:val="21"/>
          <w:spacing w:val="-39"/>
        </w:rPr>
        <w:t xml:space="preserve"> </w:t>
      </w:r>
      <w:r>
        <w:rPr>
          <w:rFonts w:ascii="Microsoft YaHei" w:hAnsi="Microsoft YaHei" w:eastAsia="Microsoft YaHei" w:cs="Microsoft YaHei"/>
          <w:sz w:val="21"/>
          <w:szCs w:val="21"/>
          <w:spacing w:val="3"/>
        </w:rPr>
        <w:t>山东省能源局发布《关于促进我省新型储能示</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范项目健康发展的若干措施》</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的通知</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，允许示范项目容量在全省范围</w:t>
      </w:r>
      <w:r>
        <w:rPr>
          <w:rFonts w:ascii="Microsoft YaHei" w:hAnsi="Microsoft YaHei" w:eastAsia="Microsoft YaHei" w:cs="Microsoft YaHei"/>
          <w:sz w:val="21"/>
          <w:szCs w:val="21"/>
          <w:spacing w:val="1"/>
        </w:rPr>
        <w:t>内租赁使用</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，获</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得容量租赁收益等。《南方区域电力备用辅助服务市场交易规则（征求意见稿）</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w:t>
      </w:r>
      <w:r>
        <w:rPr>
          <w:rFonts w:ascii="Microsoft YaHei" w:hAnsi="Microsoft YaHei" w:eastAsia="Microsoft YaHei" w:cs="Microsoft YaHei"/>
          <w:sz w:val="21"/>
          <w:szCs w:val="21"/>
          <w:spacing w:val="-39"/>
        </w:rPr>
        <w:t xml:space="preserve"> </w:t>
      </w:r>
      <w:r>
        <w:rPr>
          <w:rFonts w:ascii="Microsoft YaHei" w:hAnsi="Microsoft YaHei" w:eastAsia="Microsoft YaHei" w:cs="Microsoft YaHei"/>
          <w:sz w:val="21"/>
          <w:szCs w:val="21"/>
          <w:spacing w:val="3"/>
        </w:rPr>
        <w:t>允</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9"/>
        </w:rPr>
        <w:t>许储能电站作为第三方辅助服务提供者参与跨省备用市场交易</w:t>
      </w:r>
      <w:r>
        <w:rPr>
          <w:rFonts w:ascii="Microsoft YaHei" w:hAnsi="Microsoft YaHei" w:eastAsia="Microsoft YaHei" w:cs="Microsoft YaHei"/>
          <w:sz w:val="21"/>
          <w:szCs w:val="21"/>
          <w:spacing w:val="-14"/>
        </w:rPr>
        <w:t xml:space="preserve"> </w:t>
      </w:r>
      <w:r>
        <w:rPr>
          <w:rFonts w:ascii="Microsoft YaHei" w:hAnsi="Microsoft YaHei" w:eastAsia="Microsoft YaHei" w:cs="Microsoft YaHei"/>
          <w:sz w:val="21"/>
          <w:szCs w:val="21"/>
          <w:spacing w:val="9"/>
        </w:rPr>
        <w:t>，扩展了储能的收益</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8"/>
        </w:rPr>
        <w:t>来源。</w:t>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ict>
          <v:shape id="_x0000_s968" style="position:absolute;margin-left:17.2011pt;margin-top:4.38747pt;mso-position-vertical-relative:text;mso-position-horizontal-relative:text;width:81.3pt;height:0.5pt;z-index:252754944;" filled="false" strokecolor="#000000" strokeweight="0.50pt" coordsize="1626,10" coordorigin="0,0" path="m0,5l1625,5e">
            <v:stroke joinstyle="miter"/>
          </v:shape>
        </w:pict>
      </w:r>
      <w:r/>
    </w:p>
    <w:p>
      <w:pPr>
        <w:ind w:left="352" w:right="3717" w:hanging="10"/>
        <w:spacing w:before="56" w:line="188"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8"/>
          <w:position w:val="4"/>
        </w:rPr>
        <w:t>43</w:t>
      </w:r>
      <w:r>
        <w:rPr>
          <w:rFonts w:ascii="Microsoft YaHei" w:hAnsi="Microsoft YaHei" w:eastAsia="Microsoft YaHei" w:cs="Microsoft YaHei"/>
          <w:sz w:val="9"/>
          <w:szCs w:val="9"/>
          <w:spacing w:val="17"/>
          <w:w w:val="101"/>
          <w:position w:val="4"/>
        </w:rPr>
        <w:t xml:space="preserve"> </w:t>
      </w:r>
      <w:r>
        <w:rPr>
          <w:rFonts w:ascii="Microsoft YaHei" w:hAnsi="Microsoft YaHei" w:eastAsia="Microsoft YaHei" w:cs="Microsoft YaHei"/>
          <w:sz w:val="13"/>
          <w:szCs w:val="13"/>
          <w:spacing w:val="8"/>
        </w:rPr>
        <w:t>关于我省电网企业开展代理购电问题的批复广东省电网企业代理购电实施方案（试行</w:t>
      </w:r>
      <w:r>
        <w:rPr>
          <w:rFonts w:ascii="Microsoft YaHei" w:hAnsi="Microsoft YaHei" w:eastAsia="Microsoft YaHei" w:cs="Microsoft YaHei"/>
          <w:sz w:val="13"/>
          <w:szCs w:val="13"/>
          <w:spacing w:val="17"/>
        </w:rPr>
        <w:t>），</w:t>
      </w:r>
      <w:r>
        <w:rPr>
          <w:rFonts w:ascii="Microsoft YaHei" w:hAnsi="Microsoft YaHei" w:eastAsia="Microsoft YaHei" w:cs="Microsoft YaHei"/>
          <w:sz w:val="13"/>
          <w:szCs w:val="13"/>
          <w:spacing w:val="8"/>
        </w:rPr>
        <w:t>广东省发展和改革委员会，</w:t>
      </w:r>
      <w:r>
        <w:rPr>
          <w:rFonts w:ascii="Microsoft YaHei" w:hAnsi="Microsoft YaHei" w:eastAsia="Microsoft YaHei" w:cs="Microsoft YaHei"/>
          <w:sz w:val="13"/>
          <w:szCs w:val="13"/>
        </w:rPr>
        <w:t xml:space="preserve"> </w:t>
      </w:r>
      <w:hyperlink w:history="true" r:id="rId248">
        <w:r>
          <w:rPr>
            <w:rFonts w:ascii="Microsoft YaHei" w:hAnsi="Microsoft YaHei" w:eastAsia="Microsoft YaHei" w:cs="Microsoft YaHei"/>
            <w:sz w:val="13"/>
            <w:szCs w:val="13"/>
          </w:rPr>
          <w:t>http</w:t>
        </w:r>
        <w:r>
          <w:rPr>
            <w:rFonts w:ascii="Microsoft YaHei" w:hAnsi="Microsoft YaHei" w:eastAsia="Microsoft YaHei" w:cs="Microsoft YaHei"/>
            <w:sz w:val="13"/>
            <w:szCs w:val="13"/>
            <w:spacing w:val="7"/>
          </w:rPr>
          <w:t>://</w:t>
        </w:r>
        <w:r>
          <w:rPr>
            <w:rFonts w:ascii="Microsoft YaHei" w:hAnsi="Microsoft YaHei" w:eastAsia="Microsoft YaHei" w:cs="Microsoft YaHei"/>
            <w:sz w:val="13"/>
            <w:szCs w:val="13"/>
          </w:rPr>
          <w:t>drc</w:t>
        </w:r>
        <w:r>
          <w:rPr>
            <w:rFonts w:ascii="Microsoft YaHei" w:hAnsi="Microsoft YaHei" w:eastAsia="Microsoft YaHei" w:cs="Microsoft YaHei"/>
            <w:sz w:val="13"/>
            <w:szCs w:val="13"/>
            <w:spacing w:val="7"/>
          </w:rPr>
          <w:t>.</w:t>
        </w:r>
        <w:r>
          <w:rPr>
            <w:rFonts w:ascii="Microsoft YaHei" w:hAnsi="Microsoft YaHei" w:eastAsia="Microsoft YaHei" w:cs="Microsoft YaHei"/>
            <w:sz w:val="13"/>
            <w:szCs w:val="13"/>
          </w:rPr>
          <w:t>gd</w:t>
        </w:r>
        <w:r>
          <w:rPr>
            <w:rFonts w:ascii="Microsoft YaHei" w:hAnsi="Microsoft YaHei" w:eastAsia="Microsoft YaHei" w:cs="Microsoft YaHei"/>
            <w:sz w:val="13"/>
            <w:szCs w:val="13"/>
            <w:spacing w:val="7"/>
          </w:rPr>
          <w:t>.</w:t>
        </w:r>
        <w:r>
          <w:rPr>
            <w:rFonts w:ascii="Microsoft YaHei" w:hAnsi="Microsoft YaHei" w:eastAsia="Microsoft YaHei" w:cs="Microsoft YaHei"/>
            <w:sz w:val="13"/>
            <w:szCs w:val="13"/>
          </w:rPr>
          <w:t>gov</w:t>
        </w:r>
        <w:r>
          <w:rPr>
            <w:rFonts w:ascii="Microsoft YaHei" w:hAnsi="Microsoft YaHei" w:eastAsia="Microsoft YaHei" w:cs="Microsoft YaHei"/>
            <w:sz w:val="13"/>
            <w:szCs w:val="13"/>
            <w:spacing w:val="7"/>
          </w:rPr>
          <w:t>.</w:t>
        </w:r>
        <w:r>
          <w:rPr>
            <w:rFonts w:ascii="Microsoft YaHei" w:hAnsi="Microsoft YaHei" w:eastAsia="Microsoft YaHei" w:cs="Microsoft YaHei"/>
            <w:sz w:val="13"/>
            <w:szCs w:val="13"/>
          </w:rPr>
          <w:t>cn</w:t>
        </w:r>
        <w:r>
          <w:rPr>
            <w:rFonts w:ascii="Microsoft YaHei" w:hAnsi="Microsoft YaHei" w:eastAsia="Microsoft YaHei" w:cs="Microsoft YaHei"/>
            <w:sz w:val="13"/>
            <w:szCs w:val="13"/>
            <w:spacing w:val="7"/>
          </w:rPr>
          <w:t>/</w:t>
        </w:r>
        <w:r>
          <w:rPr>
            <w:rFonts w:ascii="Microsoft YaHei" w:hAnsi="Microsoft YaHei" w:eastAsia="Microsoft YaHei" w:cs="Microsoft YaHei"/>
            <w:sz w:val="13"/>
            <w:szCs w:val="13"/>
          </w:rPr>
          <w:t>ywtz</w:t>
        </w:r>
        <w:r>
          <w:rPr>
            <w:rFonts w:ascii="Microsoft YaHei" w:hAnsi="Microsoft YaHei" w:eastAsia="Microsoft YaHei" w:cs="Microsoft YaHei"/>
            <w:sz w:val="13"/>
            <w:szCs w:val="13"/>
            <w:spacing w:val="7"/>
          </w:rPr>
          <w:t>/</w:t>
        </w:r>
        <w:r>
          <w:rPr>
            <w:rFonts w:ascii="Microsoft YaHei" w:hAnsi="Microsoft YaHei" w:eastAsia="Microsoft YaHei" w:cs="Microsoft YaHei"/>
            <w:sz w:val="13"/>
            <w:szCs w:val="13"/>
          </w:rPr>
          <w:t>content</w:t>
        </w:r>
        <w:r>
          <w:rPr>
            <w:rFonts w:ascii="Microsoft YaHei" w:hAnsi="Microsoft YaHei" w:eastAsia="Microsoft YaHei" w:cs="Microsoft YaHei"/>
            <w:sz w:val="13"/>
            <w:szCs w:val="13"/>
            <w:spacing w:val="7"/>
          </w:rPr>
          <w:t>/</w:t>
        </w:r>
        <w:r>
          <w:rPr>
            <w:rFonts w:ascii="Microsoft YaHei" w:hAnsi="Microsoft YaHei" w:eastAsia="Microsoft YaHei" w:cs="Microsoft YaHei"/>
            <w:sz w:val="13"/>
            <w:szCs w:val="13"/>
          </w:rPr>
          <w:t>post</w:t>
        </w:r>
      </w:hyperlink>
      <w:r>
        <w:rPr>
          <w:rFonts w:ascii="Microsoft YaHei" w:hAnsi="Microsoft YaHei" w:eastAsia="Microsoft YaHei" w:cs="Microsoft YaHei"/>
          <w:sz w:val="13"/>
          <w:szCs w:val="13"/>
          <w:spacing w:val="7"/>
        </w:rPr>
        <w:t>_3693270.</w:t>
      </w:r>
      <w:r>
        <w:rPr>
          <w:rFonts w:ascii="Microsoft YaHei" w:hAnsi="Microsoft YaHei" w:eastAsia="Microsoft YaHei" w:cs="Microsoft YaHei"/>
          <w:sz w:val="13"/>
          <w:szCs w:val="13"/>
        </w:rPr>
        <w:t>html</w:t>
      </w:r>
    </w:p>
    <w:p>
      <w:pPr>
        <w:ind w:left="352" w:right="5911" w:hanging="10"/>
        <w:spacing w:before="50" w:line="187"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4"/>
          <w:position w:val="4"/>
        </w:rPr>
        <w:t>44</w:t>
      </w:r>
      <w:r>
        <w:rPr>
          <w:rFonts w:ascii="Microsoft YaHei" w:hAnsi="Microsoft YaHei" w:eastAsia="Microsoft YaHei" w:cs="Microsoft YaHei"/>
          <w:sz w:val="9"/>
          <w:szCs w:val="9"/>
          <w:spacing w:val="33"/>
          <w:w w:val="102"/>
          <w:position w:val="4"/>
        </w:rPr>
        <w:t xml:space="preserve"> </w:t>
      </w:r>
      <w:r>
        <w:rPr>
          <w:rFonts w:ascii="Microsoft YaHei" w:hAnsi="Microsoft YaHei" w:eastAsia="Microsoft YaHei" w:cs="Microsoft YaHei"/>
          <w:sz w:val="13"/>
          <w:szCs w:val="13"/>
          <w:spacing w:val="4"/>
        </w:rPr>
        <w:t>《云南黑启动辅助服务市场交易规则》征求意见，云南能监办，  2022年8月9日，</w:t>
      </w:r>
      <w:r>
        <w:rPr>
          <w:rFonts w:ascii="Microsoft YaHei" w:hAnsi="Microsoft YaHei" w:eastAsia="Microsoft YaHei" w:cs="Microsoft YaHei"/>
          <w:sz w:val="13"/>
          <w:szCs w:val="13"/>
        </w:rPr>
        <w:t xml:space="preserve"> </w:t>
      </w:r>
      <w:hyperlink w:history="true" r:id="rId249">
        <w:r>
          <w:rPr>
            <w:rFonts w:ascii="Microsoft YaHei" w:hAnsi="Microsoft YaHei" w:eastAsia="Microsoft YaHei" w:cs="Microsoft YaHei"/>
            <w:sz w:val="13"/>
            <w:szCs w:val="13"/>
          </w:rPr>
          <w:t>https</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news</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bjx</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com</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cn</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html</w:t>
        </w:r>
        <w:r>
          <w:rPr>
            <w:rFonts w:ascii="Microsoft YaHei" w:hAnsi="Microsoft YaHei" w:eastAsia="Microsoft YaHei" w:cs="Microsoft YaHei"/>
            <w:sz w:val="13"/>
            <w:szCs w:val="13"/>
            <w:spacing w:val="6"/>
          </w:rPr>
          <w:t>/20220809/1247142.</w:t>
        </w:r>
        <w:r>
          <w:rPr>
            <w:rFonts w:ascii="Microsoft YaHei" w:hAnsi="Microsoft YaHei" w:eastAsia="Microsoft YaHei" w:cs="Microsoft YaHei"/>
            <w:sz w:val="13"/>
            <w:szCs w:val="13"/>
          </w:rPr>
          <w:t>shtml</w:t>
        </w:r>
      </w:hyperlink>
    </w:p>
    <w:p>
      <w:pPr>
        <w:ind w:left="844" w:right="1241" w:hanging="411"/>
        <w:spacing w:before="188"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961" w:header="0" w:footer="0" w:gutter="0"/>
        </w:sectPr>
        <w:rPr>
          <w:rFonts w:ascii="Microsoft YaHei" w:hAnsi="Microsoft YaHei" w:eastAsia="Microsoft YaHei" w:cs="Microsoft YaHei"/>
          <w:sz w:val="11"/>
          <w:szCs w:val="11"/>
        </w:rPr>
      </w:pPr>
    </w:p>
    <w:p>
      <w:pPr>
        <w:ind w:left="7664"/>
        <w:spacing w:before="314" w:line="193" w:lineRule="auto"/>
        <w:rPr>
          <w:rFonts w:ascii="Microsoft YaHei" w:hAnsi="Microsoft YaHei" w:eastAsia="Microsoft YaHei" w:cs="Microsoft YaHei"/>
          <w:sz w:val="18"/>
          <w:szCs w:val="18"/>
        </w:rPr>
      </w:pPr>
      <w:r>
        <w:pict>
          <v:rect id="_x0000_s970" style="position:absolute;margin-left:611.99pt;margin-top:0pt;mso-position-vertical-relative:page;mso-position-horizontal-relative:page;width:0.25pt;height:859pt;z-index:252791808;" o:allowincell="f" fillcolor="#000000" filled="true" stroked="false"/>
        </w:pict>
      </w:r>
      <w:r>
        <w:rPr>
          <w:rFonts w:ascii="Microsoft YaHei" w:hAnsi="Microsoft YaHei" w:eastAsia="Microsoft YaHei" w:cs="Microsoft YaHei"/>
          <w:sz w:val="18"/>
          <w:szCs w:val="18"/>
          <w:color w:val="A8A8A8"/>
        </w:rPr>
        <w:t>新型储能助力能源转型</w:t>
      </w:r>
      <w:r>
        <w:rPr>
          <w:rFonts w:ascii="Microsoft YaHei" w:hAnsi="Microsoft YaHei" w:eastAsia="Microsoft YaHei" w:cs="Microsoft YaHei"/>
          <w:sz w:val="18"/>
          <w:szCs w:val="18"/>
          <w:color w:val="A8A8A8"/>
          <w:spacing w:val="20"/>
          <w:w w:val="101"/>
        </w:rPr>
        <w:t xml:space="preserve">  </w:t>
      </w:r>
      <w:r>
        <w:rPr>
          <w:sz w:val="18"/>
          <w:szCs w:val="18"/>
          <w:position w:val="-4"/>
        </w:rPr>
        <w:drawing>
          <wp:inline distT="0" distB="0" distL="0" distR="0">
            <wp:extent cx="6350" cy="130175"/>
            <wp:effectExtent l="0" t="0" r="0" b="0"/>
            <wp:docPr id="530" name="IM 530"/>
            <wp:cNvGraphicFramePr/>
            <a:graphic>
              <a:graphicData uri="http://schemas.openxmlformats.org/drawingml/2006/picture">
                <pic:pic>
                  <pic:nvPicPr>
                    <pic:cNvPr id="530" name="IM 530"/>
                    <pic:cNvPicPr/>
                  </pic:nvPicPr>
                  <pic:blipFill>
                    <a:blip r:embed="rId250"/>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spacing w:val="14"/>
          <w:w w:val="101"/>
        </w:rPr>
        <w:t xml:space="preserve">  </w:t>
      </w:r>
      <w:r>
        <w:rPr>
          <w:rFonts w:ascii="Microsoft YaHei" w:hAnsi="Microsoft YaHei" w:eastAsia="Microsoft YaHei" w:cs="Microsoft YaHei"/>
          <w:sz w:val="18"/>
          <w:szCs w:val="18"/>
          <w:b/>
          <w:bCs/>
          <w:color w:val="A8A8A8"/>
        </w:rPr>
        <w:t>46</w:t>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ind w:left="19"/>
        <w:spacing w:before="90" w:line="191" w:lineRule="auto"/>
        <w:outlineLvl w:val="0"/>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C0AE"/>
          <w:spacing w:val="-2"/>
        </w:rPr>
        <w:t>表 12 | 部分省市独立储能电站参与辅助服务</w:t>
      </w:r>
      <w:r>
        <w:rPr>
          <w:rFonts w:ascii="Microsoft YaHei" w:hAnsi="Microsoft YaHei" w:eastAsia="Microsoft YaHei" w:cs="Microsoft YaHei"/>
          <w:sz w:val="21"/>
          <w:szCs w:val="21"/>
          <w:b/>
          <w:bCs/>
          <w:color w:val="00C0AE"/>
          <w:spacing w:val="-3"/>
        </w:rPr>
        <w:t>政策情况</w:t>
      </w:r>
    </w:p>
    <w:p>
      <w:pPr>
        <w:spacing w:line="180" w:lineRule="exact"/>
        <w:rPr/>
      </w:pPr>
      <w:r/>
    </w:p>
    <w:tbl>
      <w:tblPr>
        <w:tblStyle w:val="TableNormal"/>
        <w:tblW w:w="9617" w:type="dxa"/>
        <w:tblInd w:w="14" w:type="dxa"/>
        <w:tblLayout w:type="fixed"/>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
      <w:tblGrid>
        <w:gridCol w:w="1296"/>
        <w:gridCol w:w="3956"/>
        <w:gridCol w:w="4365"/>
      </w:tblGrid>
      <w:tr>
        <w:trPr>
          <w:trHeight w:val="442" w:hRule="atLeast"/>
        </w:trPr>
        <w:tc>
          <w:tcPr>
            <w:shd w:val="clear" w:fill="00C0AE"/>
            <w:tcW w:w="1296" w:type="dxa"/>
            <w:vAlign w:val="top"/>
            <w:tcBorders>
              <w:bottom w:val="single" w:color="FFFFFF" w:sz="24" w:space="0"/>
            </w:tcBorders>
          </w:tcPr>
          <w:p>
            <w:pPr>
              <w:pStyle w:val="TableText"/>
              <w:ind w:left="214"/>
              <w:spacing w:before="106" w:line="180" w:lineRule="auto"/>
              <w:rPr>
                <w:sz w:val="21"/>
                <w:szCs w:val="21"/>
              </w:rPr>
            </w:pPr>
            <w:r>
              <w:rPr>
                <w:sz w:val="21"/>
                <w:szCs w:val="21"/>
                <w:b/>
                <w:bCs/>
                <w:color w:val="FFFFFF"/>
              </w:rPr>
              <w:t>发布时间</w:t>
            </w:r>
          </w:p>
        </w:tc>
        <w:tc>
          <w:tcPr>
            <w:shd w:val="clear" w:fill="00C0AE"/>
            <w:tcW w:w="3956" w:type="dxa"/>
            <w:vAlign w:val="top"/>
            <w:tcBorders>
              <w:bottom w:val="single" w:color="FFFFFF" w:sz="24" w:space="0"/>
            </w:tcBorders>
          </w:tcPr>
          <w:p>
            <w:pPr>
              <w:pStyle w:val="TableText"/>
              <w:ind w:left="1334"/>
              <w:spacing w:before="106" w:line="180" w:lineRule="auto"/>
              <w:rPr>
                <w:sz w:val="21"/>
                <w:szCs w:val="21"/>
              </w:rPr>
            </w:pPr>
            <w:r>
              <w:rPr>
                <w:sz w:val="21"/>
                <w:szCs w:val="21"/>
                <w:b/>
                <w:bCs/>
                <w:color w:val="FFFFFF"/>
              </w:rPr>
              <w:t>政策文件名称</w:t>
            </w:r>
          </w:p>
        </w:tc>
        <w:tc>
          <w:tcPr>
            <w:shd w:val="clear" w:fill="00C0AE"/>
            <w:tcW w:w="4365" w:type="dxa"/>
            <w:vAlign w:val="top"/>
            <w:tcBorders>
              <w:bottom w:val="single" w:color="FFFFFF" w:sz="24" w:space="0"/>
            </w:tcBorders>
          </w:tcPr>
          <w:p>
            <w:pPr>
              <w:pStyle w:val="TableText"/>
              <w:ind w:left="1971"/>
              <w:spacing w:before="108" w:line="178" w:lineRule="auto"/>
              <w:rPr>
                <w:sz w:val="21"/>
                <w:szCs w:val="21"/>
              </w:rPr>
            </w:pPr>
            <w:r>
              <w:rPr>
                <w:sz w:val="21"/>
                <w:szCs w:val="21"/>
                <w:b/>
                <w:bCs/>
                <w:color w:val="FFFFFF"/>
                <w:spacing w:val="-2"/>
              </w:rPr>
              <w:t>要点</w:t>
            </w:r>
          </w:p>
        </w:tc>
      </w:tr>
      <w:tr>
        <w:trPr>
          <w:trHeight w:val="499" w:hRule="atLeast"/>
        </w:trPr>
        <w:tc>
          <w:tcPr>
            <w:tcW w:w="1296" w:type="dxa"/>
            <w:vAlign w:val="top"/>
            <w:tcBorders>
              <w:right w:val="single" w:color="A8A8A8" w:sz="2" w:space="0"/>
              <w:top w:val="single" w:color="FFFFFF" w:sz="24" w:space="0"/>
            </w:tcBorders>
          </w:tcPr>
          <w:p>
            <w:pPr>
              <w:pStyle w:val="TableText"/>
              <w:ind w:left="192"/>
              <w:spacing w:before="126" w:line="180" w:lineRule="auto"/>
              <w:rPr>
                <w:sz w:val="18"/>
                <w:szCs w:val="18"/>
              </w:rPr>
            </w:pPr>
            <w:r>
              <w:rPr>
                <w:sz w:val="18"/>
                <w:szCs w:val="18"/>
                <w:b/>
                <w:bCs/>
                <w:color w:val="00C0AE"/>
                <w:spacing w:val="-5"/>
              </w:rPr>
              <w:t>2022年9月</w:t>
            </w:r>
          </w:p>
        </w:tc>
        <w:tc>
          <w:tcPr>
            <w:tcW w:w="3956" w:type="dxa"/>
            <w:vAlign w:val="top"/>
            <w:tcBorders>
              <w:left w:val="single" w:color="A8A8A8" w:sz="2" w:space="0"/>
              <w:right w:val="single" w:color="A8A8A8" w:sz="2" w:space="0"/>
              <w:top w:val="single" w:color="FFFFFF" w:sz="24" w:space="0"/>
            </w:tcBorders>
          </w:tcPr>
          <w:p>
            <w:pPr>
              <w:pStyle w:val="TableText"/>
              <w:ind w:left="104" w:right="247"/>
              <w:spacing w:before="11" w:line="180" w:lineRule="auto"/>
              <w:rPr>
                <w:sz w:val="18"/>
                <w:szCs w:val="18"/>
              </w:rPr>
            </w:pPr>
            <w:r>
              <w:rPr>
                <w:sz w:val="18"/>
                <w:szCs w:val="18"/>
                <w:spacing w:val="-1"/>
              </w:rPr>
              <w:t>《关于促进我省新型储能示范项目健康发展的</w:t>
            </w:r>
            <w:r>
              <w:rPr>
                <w:sz w:val="18"/>
                <w:szCs w:val="18"/>
                <w:spacing w:val="17"/>
                <w:w w:val="101"/>
              </w:rPr>
              <w:t xml:space="preserve"> </w:t>
            </w:r>
            <w:r>
              <w:rPr>
                <w:sz w:val="18"/>
                <w:szCs w:val="18"/>
                <w:spacing w:val="-1"/>
              </w:rPr>
              <w:t>若干措施》</w:t>
            </w:r>
          </w:p>
        </w:tc>
        <w:tc>
          <w:tcPr>
            <w:tcW w:w="4365" w:type="dxa"/>
            <w:vAlign w:val="top"/>
            <w:tcBorders>
              <w:left w:val="single" w:color="A8A8A8" w:sz="2" w:space="0"/>
              <w:top w:val="single" w:color="FFFFFF" w:sz="24" w:space="0"/>
            </w:tcBorders>
          </w:tcPr>
          <w:p>
            <w:pPr>
              <w:pStyle w:val="TableText"/>
              <w:ind w:left="111" w:right="93" w:firstLine="16"/>
              <w:spacing w:before="11" w:line="181" w:lineRule="auto"/>
              <w:rPr>
                <w:sz w:val="18"/>
                <w:szCs w:val="18"/>
              </w:rPr>
            </w:pPr>
            <w:r>
              <w:rPr>
                <w:sz w:val="18"/>
                <w:szCs w:val="18"/>
                <w:spacing w:val="-1"/>
              </w:rPr>
              <w:t>山东省允许独立储能示范项目容量在全省范围内租赁</w:t>
            </w:r>
            <w:r>
              <w:rPr>
                <w:sz w:val="18"/>
                <w:szCs w:val="18"/>
                <w:spacing w:val="13"/>
                <w:w w:val="101"/>
              </w:rPr>
              <w:t xml:space="preserve"> </w:t>
            </w:r>
            <w:r>
              <w:rPr>
                <w:sz w:val="18"/>
                <w:szCs w:val="18"/>
                <w:spacing w:val="1"/>
              </w:rPr>
              <w:t>使用，获得容量租赁收益等。</w:t>
            </w:r>
          </w:p>
        </w:tc>
      </w:tr>
      <w:tr>
        <w:trPr>
          <w:trHeight w:val="539" w:hRule="atLeast"/>
        </w:trPr>
        <w:tc>
          <w:tcPr>
            <w:shd w:val="clear" w:fill="F1F1F1"/>
            <w:tcW w:w="1296" w:type="dxa"/>
            <w:vAlign w:val="top"/>
            <w:tcBorders>
              <w:right w:val="single" w:color="A8A8A8" w:sz="2" w:space="0"/>
            </w:tcBorders>
          </w:tcPr>
          <w:p>
            <w:pPr>
              <w:pStyle w:val="TableText"/>
              <w:ind w:left="192"/>
              <w:spacing w:before="168" w:line="180" w:lineRule="auto"/>
              <w:rPr>
                <w:sz w:val="18"/>
                <w:szCs w:val="18"/>
              </w:rPr>
            </w:pPr>
            <w:r>
              <w:rPr>
                <w:sz w:val="18"/>
                <w:szCs w:val="18"/>
                <w:b/>
                <w:bCs/>
                <w:color w:val="00C0AE"/>
                <w:spacing w:val="-5"/>
              </w:rPr>
              <w:t>2022年9月</w:t>
            </w:r>
          </w:p>
        </w:tc>
        <w:tc>
          <w:tcPr>
            <w:shd w:val="clear" w:fill="F1F1F1"/>
            <w:tcW w:w="3956" w:type="dxa"/>
            <w:vAlign w:val="top"/>
            <w:tcBorders>
              <w:left w:val="single" w:color="A8A8A8" w:sz="2" w:space="0"/>
              <w:right w:val="single" w:color="A8A8A8" w:sz="2" w:space="0"/>
            </w:tcBorders>
          </w:tcPr>
          <w:p>
            <w:pPr>
              <w:pStyle w:val="TableText"/>
              <w:ind w:left="105" w:right="241" w:hanging="1"/>
              <w:spacing w:before="51" w:line="178" w:lineRule="auto"/>
              <w:rPr>
                <w:sz w:val="18"/>
                <w:szCs w:val="18"/>
              </w:rPr>
            </w:pPr>
            <w:r>
              <w:rPr>
                <w:sz w:val="18"/>
                <w:szCs w:val="18"/>
              </w:rPr>
              <w:t>《甘肃省电力辅助服务市场运营暂行规则（征</w:t>
            </w:r>
            <w:r>
              <w:rPr>
                <w:sz w:val="18"/>
                <w:szCs w:val="18"/>
                <w:spacing w:val="4"/>
              </w:rPr>
              <w:t xml:space="preserve"> </w:t>
            </w:r>
            <w:r>
              <w:rPr>
                <w:sz w:val="18"/>
                <w:szCs w:val="18"/>
                <w:spacing w:val="-1"/>
              </w:rPr>
              <w:t>求意见稿）》</w:t>
            </w:r>
          </w:p>
        </w:tc>
        <w:tc>
          <w:tcPr>
            <w:shd w:val="clear" w:fill="F1F1F1"/>
            <w:tcW w:w="4365" w:type="dxa"/>
            <w:vAlign w:val="top"/>
            <w:tcBorders>
              <w:left w:val="single" w:color="A8A8A8" w:sz="2" w:space="0"/>
            </w:tcBorders>
          </w:tcPr>
          <w:p>
            <w:pPr>
              <w:pStyle w:val="TableText"/>
              <w:ind w:left="112" w:right="93" w:firstLine="1"/>
              <w:spacing w:before="51" w:line="184" w:lineRule="auto"/>
              <w:rPr>
                <w:sz w:val="18"/>
                <w:szCs w:val="18"/>
              </w:rPr>
            </w:pPr>
            <w:r>
              <w:rPr>
                <w:sz w:val="18"/>
                <w:szCs w:val="18"/>
              </w:rPr>
              <w:t>独立储能按额定容量参与调频、调峰容量市场（补偿</w:t>
            </w:r>
            <w:r>
              <w:rPr>
                <w:sz w:val="18"/>
                <w:szCs w:val="18"/>
                <w:spacing w:val="4"/>
              </w:rPr>
              <w:t xml:space="preserve"> </w:t>
            </w:r>
            <w:r>
              <w:rPr>
                <w:sz w:val="18"/>
                <w:szCs w:val="18"/>
                <w:spacing w:val="-7"/>
              </w:rPr>
              <w:t>标准上限300元/MW/日）。</w:t>
            </w:r>
          </w:p>
        </w:tc>
      </w:tr>
      <w:tr>
        <w:trPr>
          <w:trHeight w:val="818" w:hRule="atLeast"/>
        </w:trPr>
        <w:tc>
          <w:tcPr>
            <w:tcW w:w="1296" w:type="dxa"/>
            <w:vAlign w:val="top"/>
            <w:tcBorders>
              <w:right w:val="single" w:color="A8A8A8" w:sz="2" w:space="0"/>
            </w:tcBorders>
          </w:tcPr>
          <w:p>
            <w:pPr>
              <w:pStyle w:val="TableText"/>
              <w:ind w:left="192"/>
              <w:spacing w:before="309" w:line="180" w:lineRule="auto"/>
              <w:rPr>
                <w:sz w:val="18"/>
                <w:szCs w:val="18"/>
              </w:rPr>
            </w:pPr>
            <w:r>
              <w:rPr>
                <w:sz w:val="18"/>
                <w:szCs w:val="18"/>
                <w:b/>
                <w:bCs/>
                <w:color w:val="00C0AE"/>
                <w:spacing w:val="-5"/>
              </w:rPr>
              <w:t>2022年9月</w:t>
            </w:r>
          </w:p>
        </w:tc>
        <w:tc>
          <w:tcPr>
            <w:tcW w:w="3956" w:type="dxa"/>
            <w:vAlign w:val="top"/>
            <w:tcBorders>
              <w:left w:val="single" w:color="A8A8A8" w:sz="2" w:space="0"/>
              <w:right w:val="single" w:color="A8A8A8" w:sz="2" w:space="0"/>
            </w:tcBorders>
          </w:tcPr>
          <w:p>
            <w:pPr>
              <w:pStyle w:val="TableText"/>
              <w:ind w:left="105" w:right="238"/>
              <w:spacing w:before="192" w:line="178" w:lineRule="auto"/>
              <w:rPr>
                <w:sz w:val="18"/>
                <w:szCs w:val="18"/>
              </w:rPr>
            </w:pPr>
            <w:r>
              <w:rPr>
                <w:sz w:val="18"/>
                <w:szCs w:val="18"/>
              </w:rPr>
              <w:t>《华北区域电力辅助服务管理实施细则（模拟</w:t>
            </w:r>
            <w:r>
              <w:rPr>
                <w:sz w:val="18"/>
                <w:szCs w:val="18"/>
                <w:spacing w:val="6"/>
              </w:rPr>
              <w:t xml:space="preserve"> </w:t>
            </w:r>
            <w:r>
              <w:rPr>
                <w:sz w:val="18"/>
                <w:szCs w:val="18"/>
                <w:spacing w:val="-1"/>
              </w:rPr>
              <w:t>运行稿）》</w:t>
            </w:r>
          </w:p>
        </w:tc>
        <w:tc>
          <w:tcPr>
            <w:tcW w:w="4365" w:type="dxa"/>
            <w:vAlign w:val="top"/>
            <w:tcBorders>
              <w:left w:val="single" w:color="A8A8A8" w:sz="2" w:space="0"/>
            </w:tcBorders>
          </w:tcPr>
          <w:p>
            <w:pPr>
              <w:pStyle w:val="TableText"/>
              <w:ind w:left="113" w:right="105" w:hanging="1"/>
              <w:spacing w:before="191" w:line="181" w:lineRule="auto"/>
              <w:rPr>
                <w:sz w:val="18"/>
                <w:szCs w:val="18"/>
              </w:rPr>
            </w:pPr>
            <w:r>
              <w:rPr>
                <w:sz w:val="18"/>
                <w:szCs w:val="18"/>
                <w:spacing w:val="-1"/>
              </w:rPr>
              <w:t>储能可提供调频、自动发电控制（AGC）、</w:t>
            </w:r>
            <w:r>
              <w:rPr>
                <w:sz w:val="18"/>
                <w:szCs w:val="18"/>
                <w:spacing w:val="-2"/>
              </w:rPr>
              <w:t>有偿调峰</w:t>
            </w:r>
            <w:r>
              <w:rPr>
                <w:sz w:val="18"/>
                <w:szCs w:val="18"/>
              </w:rPr>
              <w:t xml:space="preserve"> </w:t>
            </w:r>
            <w:r>
              <w:rPr>
                <w:sz w:val="18"/>
                <w:szCs w:val="18"/>
                <w:spacing w:val="-1"/>
              </w:rPr>
              <w:t>等多项辅助服务，并制定有关补偿标准。</w:t>
            </w:r>
          </w:p>
        </w:tc>
      </w:tr>
      <w:tr>
        <w:trPr>
          <w:trHeight w:val="539" w:hRule="atLeast"/>
        </w:trPr>
        <w:tc>
          <w:tcPr>
            <w:shd w:val="clear" w:fill="F1F1F1"/>
            <w:tcW w:w="1296" w:type="dxa"/>
            <w:vAlign w:val="top"/>
            <w:tcBorders>
              <w:right w:val="single" w:color="A8A8A8" w:sz="2" w:space="0"/>
            </w:tcBorders>
          </w:tcPr>
          <w:p>
            <w:pPr>
              <w:pStyle w:val="TableText"/>
              <w:ind w:left="192"/>
              <w:spacing w:before="171" w:line="180" w:lineRule="auto"/>
              <w:rPr>
                <w:sz w:val="18"/>
                <w:szCs w:val="18"/>
              </w:rPr>
            </w:pPr>
            <w:r>
              <w:rPr>
                <w:sz w:val="18"/>
                <w:szCs w:val="18"/>
                <w:b/>
                <w:bCs/>
                <w:color w:val="00C0AE"/>
                <w:spacing w:val="-5"/>
              </w:rPr>
              <w:t>2022年8月</w:t>
            </w:r>
          </w:p>
        </w:tc>
        <w:tc>
          <w:tcPr>
            <w:shd w:val="clear" w:fill="F1F1F1"/>
            <w:tcW w:w="3956" w:type="dxa"/>
            <w:vAlign w:val="top"/>
            <w:tcBorders>
              <w:left w:val="single" w:color="A8A8A8" w:sz="2" w:space="0"/>
              <w:right w:val="single" w:color="A8A8A8" w:sz="2" w:space="0"/>
            </w:tcBorders>
          </w:tcPr>
          <w:p>
            <w:pPr>
              <w:pStyle w:val="TableText"/>
              <w:ind w:left="108" w:right="240" w:hanging="3"/>
              <w:spacing w:before="56" w:line="179" w:lineRule="auto"/>
              <w:rPr>
                <w:sz w:val="18"/>
                <w:szCs w:val="18"/>
              </w:rPr>
            </w:pPr>
            <w:r>
              <w:rPr>
                <w:sz w:val="18"/>
                <w:szCs w:val="18"/>
              </w:rPr>
              <w:t>《江苏电力并网运行管理实施细则》《江苏电</w:t>
            </w:r>
            <w:r>
              <w:rPr>
                <w:sz w:val="18"/>
                <w:szCs w:val="18"/>
                <w:spacing w:val="3"/>
              </w:rPr>
              <w:t xml:space="preserve"> </w:t>
            </w:r>
            <w:r>
              <w:rPr>
                <w:sz w:val="18"/>
                <w:szCs w:val="18"/>
              </w:rPr>
              <w:t>力辅助服务管理实施细则》</w:t>
            </w:r>
          </w:p>
        </w:tc>
        <w:tc>
          <w:tcPr>
            <w:shd w:val="clear" w:fill="F1F1F1"/>
            <w:tcW w:w="4365" w:type="dxa"/>
            <w:vAlign w:val="top"/>
            <w:tcBorders>
              <w:left w:val="single" w:color="A8A8A8" w:sz="2" w:space="0"/>
            </w:tcBorders>
          </w:tcPr>
          <w:p>
            <w:pPr>
              <w:pStyle w:val="TableText"/>
              <w:ind w:left="122"/>
              <w:spacing w:before="172" w:line="178" w:lineRule="auto"/>
              <w:rPr>
                <w:sz w:val="18"/>
                <w:szCs w:val="18"/>
              </w:rPr>
            </w:pPr>
            <w:r>
              <w:rPr>
                <w:sz w:val="18"/>
                <w:szCs w:val="18"/>
                <w:spacing w:val="-1"/>
              </w:rPr>
              <w:t>明确储能电站的考核细则。</w:t>
            </w:r>
          </w:p>
        </w:tc>
      </w:tr>
      <w:tr>
        <w:trPr>
          <w:trHeight w:val="539" w:hRule="atLeast"/>
        </w:trPr>
        <w:tc>
          <w:tcPr>
            <w:tcW w:w="1296" w:type="dxa"/>
            <w:vAlign w:val="top"/>
            <w:tcBorders>
              <w:right w:val="single" w:color="A8A8A8" w:sz="2" w:space="0"/>
            </w:tcBorders>
          </w:tcPr>
          <w:p>
            <w:pPr>
              <w:pStyle w:val="TableText"/>
              <w:ind w:left="192"/>
              <w:spacing w:before="172" w:line="180" w:lineRule="auto"/>
              <w:rPr>
                <w:sz w:val="18"/>
                <w:szCs w:val="18"/>
              </w:rPr>
            </w:pPr>
            <w:r>
              <w:rPr>
                <w:sz w:val="18"/>
                <w:szCs w:val="18"/>
                <w:b/>
                <w:bCs/>
                <w:color w:val="00C0AE"/>
                <w:spacing w:val="-5"/>
              </w:rPr>
              <w:t>2022年8月</w:t>
            </w:r>
          </w:p>
        </w:tc>
        <w:tc>
          <w:tcPr>
            <w:tcW w:w="3956" w:type="dxa"/>
            <w:vAlign w:val="top"/>
            <w:tcBorders>
              <w:left w:val="single" w:color="A8A8A8" w:sz="2" w:space="0"/>
              <w:right w:val="single" w:color="A8A8A8" w:sz="2" w:space="0"/>
            </w:tcBorders>
          </w:tcPr>
          <w:p>
            <w:pPr>
              <w:pStyle w:val="TableText"/>
              <w:ind w:left="107" w:right="245" w:hanging="2"/>
              <w:spacing w:before="55" w:line="178" w:lineRule="auto"/>
              <w:rPr>
                <w:sz w:val="18"/>
                <w:szCs w:val="18"/>
              </w:rPr>
            </w:pPr>
            <w:r>
              <w:rPr>
                <w:sz w:val="18"/>
                <w:szCs w:val="18"/>
                <w:spacing w:val="-1"/>
              </w:rPr>
              <w:t>《云南黑启动辅助服务市场交易规则（征求意</w:t>
            </w:r>
            <w:r>
              <w:rPr>
                <w:sz w:val="18"/>
                <w:szCs w:val="18"/>
                <w:spacing w:val="18"/>
                <w:w w:val="101"/>
              </w:rPr>
              <w:t xml:space="preserve"> </w:t>
            </w:r>
            <w:r>
              <w:rPr>
                <w:sz w:val="18"/>
                <w:szCs w:val="18"/>
                <w:spacing w:val="-2"/>
              </w:rPr>
              <w:t>见稿）》</w:t>
            </w:r>
          </w:p>
        </w:tc>
        <w:tc>
          <w:tcPr>
            <w:tcW w:w="4365" w:type="dxa"/>
            <w:vAlign w:val="top"/>
            <w:tcBorders>
              <w:left w:val="single" w:color="A8A8A8" w:sz="2" w:space="0"/>
            </w:tcBorders>
          </w:tcPr>
          <w:p>
            <w:pPr>
              <w:pStyle w:val="TableText"/>
              <w:ind w:left="136" w:hanging="19"/>
              <w:spacing w:before="58" w:line="178" w:lineRule="auto"/>
              <w:rPr>
                <w:sz w:val="18"/>
                <w:szCs w:val="18"/>
              </w:rPr>
            </w:pPr>
            <w:r>
              <w:rPr>
                <w:sz w:val="18"/>
                <w:szCs w:val="18"/>
                <w:spacing w:val="-4"/>
              </w:rPr>
              <w:t>配套储能的新能源电厂和独立储能具备黑启动能力后，</w:t>
            </w:r>
            <w:r>
              <w:rPr>
                <w:sz w:val="18"/>
                <w:szCs w:val="18"/>
                <w:spacing w:val="9"/>
              </w:rPr>
              <w:t xml:space="preserve"> </w:t>
            </w:r>
            <w:r>
              <w:rPr>
                <w:sz w:val="18"/>
                <w:szCs w:val="18"/>
                <w:spacing w:val="-4"/>
              </w:rPr>
              <w:t>自主参与黑启动辅助服务市场。</w:t>
            </w:r>
          </w:p>
        </w:tc>
      </w:tr>
      <w:tr>
        <w:trPr>
          <w:trHeight w:val="1097" w:hRule="atLeast"/>
        </w:trPr>
        <w:tc>
          <w:tcPr>
            <w:shd w:val="clear" w:fill="F1F1F1"/>
            <w:tcW w:w="1296" w:type="dxa"/>
            <w:vAlign w:val="top"/>
            <w:tcBorders>
              <w:right w:val="single" w:color="A8A8A8" w:sz="2" w:space="0"/>
            </w:tcBorders>
          </w:tcPr>
          <w:p>
            <w:pPr>
              <w:spacing w:line="373" w:lineRule="auto"/>
              <w:rPr>
                <w:rFonts w:ascii="Arial"/>
                <w:sz w:val="21"/>
              </w:rPr>
            </w:pPr>
            <w:r/>
          </w:p>
          <w:p>
            <w:pPr>
              <w:pStyle w:val="TableText"/>
              <w:ind w:left="192"/>
              <w:spacing w:before="77" w:line="180" w:lineRule="auto"/>
              <w:rPr>
                <w:sz w:val="18"/>
                <w:szCs w:val="18"/>
              </w:rPr>
            </w:pPr>
            <w:r>
              <w:rPr>
                <w:sz w:val="18"/>
                <w:szCs w:val="18"/>
                <w:b/>
                <w:bCs/>
                <w:color w:val="00C0AE"/>
                <w:spacing w:val="-5"/>
              </w:rPr>
              <w:t>2022年8月</w:t>
            </w:r>
          </w:p>
        </w:tc>
        <w:tc>
          <w:tcPr>
            <w:shd w:val="clear" w:fill="F1F1F1"/>
            <w:tcW w:w="3956" w:type="dxa"/>
            <w:vAlign w:val="top"/>
            <w:tcBorders>
              <w:left w:val="single" w:color="A8A8A8" w:sz="2" w:space="0"/>
              <w:right w:val="single" w:color="A8A8A8" w:sz="2" w:space="0"/>
            </w:tcBorders>
          </w:tcPr>
          <w:p>
            <w:pPr>
              <w:spacing w:line="373" w:lineRule="auto"/>
              <w:rPr>
                <w:rFonts w:ascii="Arial"/>
                <w:sz w:val="21"/>
              </w:rPr>
            </w:pPr>
            <w:r/>
          </w:p>
          <w:p>
            <w:pPr>
              <w:pStyle w:val="TableText"/>
              <w:ind w:left="104"/>
              <w:spacing w:before="77" w:line="179" w:lineRule="auto"/>
              <w:rPr>
                <w:sz w:val="18"/>
                <w:szCs w:val="18"/>
              </w:rPr>
            </w:pPr>
            <w:r>
              <w:rPr>
                <w:sz w:val="18"/>
                <w:szCs w:val="18"/>
              </w:rPr>
              <w:t>《河南省“十四五”新型储能实施方案》</w:t>
            </w:r>
          </w:p>
        </w:tc>
        <w:tc>
          <w:tcPr>
            <w:shd w:val="clear" w:fill="F1F1F1"/>
            <w:tcW w:w="4365" w:type="dxa"/>
            <w:vAlign w:val="top"/>
            <w:tcBorders>
              <w:left w:val="single" w:color="A8A8A8" w:sz="2" w:space="0"/>
            </w:tcBorders>
          </w:tcPr>
          <w:p>
            <w:pPr>
              <w:pStyle w:val="TableText"/>
              <w:ind w:left="113" w:right="93"/>
              <w:spacing w:before="221" w:line="179" w:lineRule="auto"/>
              <w:jc w:val="both"/>
              <w:rPr>
                <w:sz w:val="18"/>
                <w:szCs w:val="18"/>
              </w:rPr>
            </w:pPr>
            <w:r>
              <w:rPr>
                <w:sz w:val="18"/>
                <w:szCs w:val="18"/>
                <w:spacing w:val="-2"/>
              </w:rPr>
              <w:t>独立储能容量租赁建议价格为200元/kWh/年，新能</w:t>
            </w:r>
            <w:r>
              <w:rPr>
                <w:sz w:val="18"/>
                <w:szCs w:val="18"/>
                <w:spacing w:val="3"/>
              </w:rPr>
              <w:t xml:space="preserve">  </w:t>
            </w:r>
            <w:r>
              <w:rPr>
                <w:sz w:val="18"/>
                <w:szCs w:val="18"/>
              </w:rPr>
              <w:t>源企业和共享储能项目企业根据当年租赁参考价签订</w:t>
            </w:r>
            <w:r>
              <w:rPr>
                <w:sz w:val="18"/>
                <w:szCs w:val="18"/>
                <w:spacing w:val="3"/>
              </w:rPr>
              <w:t xml:space="preserve"> </w:t>
            </w:r>
            <w:r>
              <w:rPr>
                <w:sz w:val="18"/>
                <w:szCs w:val="18"/>
                <w:spacing w:val="-1"/>
              </w:rPr>
              <w:t>10年以上长期租赁协议或合同。</w:t>
            </w:r>
          </w:p>
        </w:tc>
      </w:tr>
      <w:tr>
        <w:trPr>
          <w:trHeight w:val="539" w:hRule="atLeast"/>
        </w:trPr>
        <w:tc>
          <w:tcPr>
            <w:tcW w:w="1296" w:type="dxa"/>
            <w:vAlign w:val="top"/>
            <w:tcBorders>
              <w:right w:val="single" w:color="A8A8A8" w:sz="2" w:space="0"/>
            </w:tcBorders>
          </w:tcPr>
          <w:p>
            <w:pPr>
              <w:pStyle w:val="TableText"/>
              <w:ind w:left="192"/>
              <w:spacing w:before="175" w:line="180" w:lineRule="auto"/>
              <w:rPr>
                <w:sz w:val="18"/>
                <w:szCs w:val="18"/>
              </w:rPr>
            </w:pPr>
            <w:r>
              <w:rPr>
                <w:sz w:val="18"/>
                <w:szCs w:val="18"/>
                <w:b/>
                <w:bCs/>
                <w:color w:val="00C0AE"/>
                <w:spacing w:val="-5"/>
              </w:rPr>
              <w:t>2022年7月</w:t>
            </w:r>
          </w:p>
        </w:tc>
        <w:tc>
          <w:tcPr>
            <w:tcW w:w="3956" w:type="dxa"/>
            <w:vAlign w:val="top"/>
            <w:tcBorders>
              <w:left w:val="single" w:color="A8A8A8" w:sz="2" w:space="0"/>
              <w:right w:val="single" w:color="A8A8A8" w:sz="2" w:space="0"/>
            </w:tcBorders>
          </w:tcPr>
          <w:p>
            <w:pPr>
              <w:pStyle w:val="TableText"/>
              <w:ind w:left="106" w:right="194" w:hanging="2"/>
              <w:spacing w:before="59" w:line="178" w:lineRule="auto"/>
              <w:rPr>
                <w:sz w:val="18"/>
                <w:szCs w:val="18"/>
              </w:rPr>
            </w:pPr>
            <w:r>
              <w:rPr>
                <w:sz w:val="18"/>
                <w:szCs w:val="18"/>
                <w:spacing w:val="-1"/>
              </w:rPr>
              <w:t>《山东省发电机并网运行管理实施细则（2022</w:t>
            </w:r>
            <w:r>
              <w:rPr>
                <w:sz w:val="18"/>
                <w:szCs w:val="18"/>
                <w:spacing w:val="10"/>
              </w:rPr>
              <w:t xml:space="preserve"> </w:t>
            </w:r>
            <w:r>
              <w:rPr>
                <w:sz w:val="18"/>
                <w:szCs w:val="18"/>
                <w:spacing w:val="1"/>
              </w:rPr>
              <w:t>年修订版）》等</w:t>
            </w:r>
          </w:p>
        </w:tc>
        <w:tc>
          <w:tcPr>
            <w:tcW w:w="4365" w:type="dxa"/>
            <w:vAlign w:val="top"/>
            <w:tcBorders>
              <w:left w:val="single" w:color="A8A8A8" w:sz="2" w:space="0"/>
            </w:tcBorders>
          </w:tcPr>
          <w:p>
            <w:pPr>
              <w:pStyle w:val="TableText"/>
              <w:ind w:left="122"/>
              <w:spacing w:before="176" w:line="178" w:lineRule="auto"/>
              <w:rPr>
                <w:sz w:val="18"/>
                <w:szCs w:val="18"/>
              </w:rPr>
            </w:pPr>
            <w:r>
              <w:rPr>
                <w:sz w:val="18"/>
                <w:szCs w:val="18"/>
                <w:spacing w:val="-1"/>
              </w:rPr>
              <w:t>明确储能电站的考核细则。</w:t>
            </w:r>
          </w:p>
        </w:tc>
      </w:tr>
      <w:tr>
        <w:trPr>
          <w:trHeight w:val="539" w:hRule="atLeast"/>
        </w:trPr>
        <w:tc>
          <w:tcPr>
            <w:shd w:val="clear" w:fill="F1F1F1"/>
            <w:tcW w:w="1296" w:type="dxa"/>
            <w:vAlign w:val="top"/>
            <w:tcBorders>
              <w:right w:val="single" w:color="A8A8A8" w:sz="2" w:space="0"/>
            </w:tcBorders>
          </w:tcPr>
          <w:p>
            <w:pPr>
              <w:pStyle w:val="TableText"/>
              <w:ind w:left="192"/>
              <w:spacing w:before="176" w:line="180" w:lineRule="auto"/>
              <w:rPr>
                <w:sz w:val="18"/>
                <w:szCs w:val="18"/>
              </w:rPr>
            </w:pPr>
            <w:r>
              <w:rPr>
                <w:sz w:val="18"/>
                <w:szCs w:val="18"/>
                <w:b/>
                <w:bCs/>
                <w:color w:val="00C0AE"/>
                <w:spacing w:val="-5"/>
              </w:rPr>
              <w:t>2022年6月</w:t>
            </w:r>
          </w:p>
        </w:tc>
        <w:tc>
          <w:tcPr>
            <w:shd w:val="clear" w:fill="F1F1F1"/>
            <w:tcW w:w="3956" w:type="dxa"/>
            <w:vAlign w:val="top"/>
            <w:tcBorders>
              <w:left w:val="single" w:color="A8A8A8" w:sz="2" w:space="0"/>
              <w:right w:val="single" w:color="A8A8A8" w:sz="2" w:space="0"/>
            </w:tcBorders>
          </w:tcPr>
          <w:p>
            <w:pPr>
              <w:pStyle w:val="TableText"/>
              <w:ind w:left="110" w:right="240" w:hanging="5"/>
              <w:spacing w:before="60" w:line="178" w:lineRule="auto"/>
              <w:rPr>
                <w:sz w:val="18"/>
                <w:szCs w:val="18"/>
              </w:rPr>
            </w:pPr>
            <w:r>
              <w:rPr>
                <w:sz w:val="18"/>
                <w:szCs w:val="18"/>
              </w:rPr>
              <w:t>《江西电力调频辅助服务市场交易规则（征求</w:t>
            </w:r>
            <w:r>
              <w:rPr>
                <w:sz w:val="18"/>
                <w:szCs w:val="18"/>
                <w:spacing w:val="4"/>
              </w:rPr>
              <w:t xml:space="preserve"> </w:t>
            </w:r>
            <w:r>
              <w:rPr>
                <w:sz w:val="18"/>
                <w:szCs w:val="18"/>
                <w:spacing w:val="-2"/>
              </w:rPr>
              <w:t>意见稿）》</w:t>
            </w:r>
          </w:p>
        </w:tc>
        <w:tc>
          <w:tcPr>
            <w:shd w:val="clear" w:fill="F1F1F1"/>
            <w:tcW w:w="4365" w:type="dxa"/>
            <w:vAlign w:val="top"/>
            <w:tcBorders>
              <w:left w:val="single" w:color="A8A8A8" w:sz="2" w:space="0"/>
            </w:tcBorders>
          </w:tcPr>
          <w:p>
            <w:pPr>
              <w:pStyle w:val="TableText"/>
              <w:ind w:left="114"/>
              <w:spacing w:before="178" w:line="177" w:lineRule="auto"/>
              <w:rPr>
                <w:sz w:val="18"/>
                <w:szCs w:val="18"/>
              </w:rPr>
            </w:pPr>
            <w:r>
              <w:rPr>
                <w:sz w:val="18"/>
                <w:szCs w:val="18"/>
                <w:spacing w:val="-1"/>
              </w:rPr>
              <w:t>独立储能电站可参与调频辅助服务。</w:t>
            </w:r>
          </w:p>
        </w:tc>
      </w:tr>
      <w:tr>
        <w:trPr>
          <w:trHeight w:val="818" w:hRule="atLeast"/>
        </w:trPr>
        <w:tc>
          <w:tcPr>
            <w:tcW w:w="1296" w:type="dxa"/>
            <w:vAlign w:val="top"/>
            <w:tcBorders>
              <w:right w:val="single" w:color="A8A8A8" w:sz="2" w:space="0"/>
            </w:tcBorders>
          </w:tcPr>
          <w:p>
            <w:pPr>
              <w:pStyle w:val="TableText"/>
              <w:ind w:left="192"/>
              <w:spacing w:before="317" w:line="180" w:lineRule="auto"/>
              <w:rPr>
                <w:sz w:val="18"/>
                <w:szCs w:val="18"/>
              </w:rPr>
            </w:pPr>
            <w:r>
              <w:rPr>
                <w:sz w:val="18"/>
                <w:szCs w:val="18"/>
                <w:b/>
                <w:bCs/>
                <w:color w:val="00C0AE"/>
                <w:spacing w:val="-5"/>
              </w:rPr>
              <w:t>2022年6月</w:t>
            </w:r>
          </w:p>
        </w:tc>
        <w:tc>
          <w:tcPr>
            <w:tcW w:w="3956" w:type="dxa"/>
            <w:vAlign w:val="top"/>
            <w:tcBorders>
              <w:left w:val="single" w:color="A8A8A8" w:sz="2" w:space="0"/>
              <w:right w:val="single" w:color="A8A8A8" w:sz="2" w:space="0"/>
            </w:tcBorders>
          </w:tcPr>
          <w:p>
            <w:pPr>
              <w:pStyle w:val="TableText"/>
              <w:ind w:left="107" w:right="244" w:hanging="2"/>
              <w:spacing w:before="203" w:line="179" w:lineRule="auto"/>
              <w:rPr>
                <w:sz w:val="18"/>
                <w:szCs w:val="18"/>
              </w:rPr>
            </w:pPr>
            <w:r>
              <w:rPr>
                <w:sz w:val="18"/>
                <w:szCs w:val="18"/>
              </w:rPr>
              <w:t>《南方区域电力并网运行管理实施细则》《南 </w:t>
            </w:r>
            <w:r>
              <w:rPr>
                <w:sz w:val="18"/>
                <w:szCs w:val="18"/>
              </w:rPr>
              <w:t>方区域电力辅助服务管理实施细则》</w:t>
            </w:r>
          </w:p>
        </w:tc>
        <w:tc>
          <w:tcPr>
            <w:tcW w:w="4365" w:type="dxa"/>
            <w:vAlign w:val="top"/>
            <w:tcBorders>
              <w:left w:val="single" w:color="A8A8A8" w:sz="2" w:space="0"/>
            </w:tcBorders>
          </w:tcPr>
          <w:p>
            <w:pPr>
              <w:pStyle w:val="TableText"/>
              <w:ind w:left="115" w:right="93" w:hanging="1"/>
              <w:spacing w:before="204" w:line="185" w:lineRule="auto"/>
              <w:rPr>
                <w:sz w:val="18"/>
                <w:szCs w:val="18"/>
              </w:rPr>
            </w:pPr>
            <w:r>
              <w:rPr>
                <w:sz w:val="18"/>
                <w:szCs w:val="18"/>
              </w:rPr>
              <w:t>规定独立储能参与辅助服务发范围和补偿标准，广东</w:t>
            </w:r>
            <w:r>
              <w:rPr>
                <w:sz w:val="18"/>
                <w:szCs w:val="18"/>
                <w:spacing w:val="3"/>
              </w:rPr>
              <w:t xml:space="preserve"> </w:t>
            </w:r>
            <w:r>
              <w:rPr>
                <w:sz w:val="18"/>
                <w:szCs w:val="18"/>
                <w:spacing w:val="-3"/>
              </w:rPr>
              <w:t>调峰辅助服务单价0.792元/kWh。</w:t>
            </w:r>
          </w:p>
        </w:tc>
      </w:tr>
      <w:tr>
        <w:trPr>
          <w:trHeight w:val="539" w:hRule="atLeast"/>
        </w:trPr>
        <w:tc>
          <w:tcPr>
            <w:shd w:val="clear" w:fill="F1F1F1"/>
            <w:tcW w:w="1296" w:type="dxa"/>
            <w:vAlign w:val="top"/>
            <w:tcBorders>
              <w:right w:val="single" w:color="A8A8A8" w:sz="2" w:space="0"/>
            </w:tcBorders>
          </w:tcPr>
          <w:p>
            <w:pPr>
              <w:pStyle w:val="TableText"/>
              <w:ind w:left="192"/>
              <w:spacing w:before="179" w:line="180" w:lineRule="auto"/>
              <w:rPr>
                <w:sz w:val="18"/>
                <w:szCs w:val="18"/>
              </w:rPr>
            </w:pPr>
            <w:r>
              <w:rPr>
                <w:sz w:val="18"/>
                <w:szCs w:val="18"/>
                <w:b/>
                <w:bCs/>
                <w:color w:val="00C0AE"/>
                <w:spacing w:val="-5"/>
              </w:rPr>
              <w:t>2022年6月</w:t>
            </w:r>
          </w:p>
        </w:tc>
        <w:tc>
          <w:tcPr>
            <w:shd w:val="clear" w:fill="F1F1F1"/>
            <w:tcW w:w="3956" w:type="dxa"/>
            <w:vAlign w:val="top"/>
            <w:tcBorders>
              <w:left w:val="single" w:color="A8A8A8" w:sz="2" w:space="0"/>
              <w:right w:val="single" w:color="A8A8A8" w:sz="2" w:space="0"/>
            </w:tcBorders>
          </w:tcPr>
          <w:p>
            <w:pPr>
              <w:pStyle w:val="TableText"/>
              <w:ind w:left="110" w:right="239" w:hanging="5"/>
              <w:spacing w:before="63" w:line="178" w:lineRule="auto"/>
              <w:rPr>
                <w:sz w:val="18"/>
                <w:szCs w:val="18"/>
              </w:rPr>
            </w:pPr>
            <w:r>
              <w:rPr>
                <w:sz w:val="18"/>
                <w:szCs w:val="18"/>
              </w:rPr>
              <w:t>《湖北电力调频辅助服务市场交易规则（征求</w:t>
            </w:r>
            <w:r>
              <w:rPr>
                <w:sz w:val="18"/>
                <w:szCs w:val="18"/>
                <w:spacing w:val="4"/>
              </w:rPr>
              <w:t xml:space="preserve"> </w:t>
            </w:r>
            <w:r>
              <w:rPr>
                <w:sz w:val="18"/>
                <w:szCs w:val="18"/>
                <w:spacing w:val="-2"/>
              </w:rPr>
              <w:t>意见稿）》</w:t>
            </w:r>
          </w:p>
        </w:tc>
        <w:tc>
          <w:tcPr>
            <w:shd w:val="clear" w:fill="F1F1F1"/>
            <w:tcW w:w="4365" w:type="dxa"/>
            <w:vAlign w:val="top"/>
            <w:tcBorders>
              <w:left w:val="single" w:color="A8A8A8" w:sz="2" w:space="0"/>
            </w:tcBorders>
          </w:tcPr>
          <w:p>
            <w:pPr>
              <w:pStyle w:val="TableText"/>
              <w:ind w:left="114"/>
              <w:spacing w:before="181" w:line="177" w:lineRule="auto"/>
              <w:rPr>
                <w:sz w:val="18"/>
                <w:szCs w:val="18"/>
              </w:rPr>
            </w:pPr>
            <w:r>
              <w:rPr>
                <w:sz w:val="18"/>
                <w:szCs w:val="18"/>
              </w:rPr>
              <w:t>独立储能、虚拟电厂等纳入市场主体范围。</w:t>
            </w:r>
          </w:p>
        </w:tc>
      </w:tr>
      <w:tr>
        <w:trPr>
          <w:trHeight w:val="539" w:hRule="atLeast"/>
        </w:trPr>
        <w:tc>
          <w:tcPr>
            <w:tcW w:w="1296" w:type="dxa"/>
            <w:vAlign w:val="top"/>
            <w:tcBorders>
              <w:right w:val="single" w:color="A8A8A8" w:sz="2" w:space="0"/>
            </w:tcBorders>
          </w:tcPr>
          <w:p>
            <w:pPr>
              <w:pStyle w:val="TableText"/>
              <w:ind w:left="193"/>
              <w:spacing w:before="180" w:line="180" w:lineRule="auto"/>
              <w:rPr>
                <w:sz w:val="18"/>
                <w:szCs w:val="18"/>
              </w:rPr>
            </w:pPr>
            <w:r>
              <w:rPr>
                <w:sz w:val="18"/>
                <w:szCs w:val="18"/>
                <w:b/>
                <w:bCs/>
                <w:color w:val="00C0AE"/>
                <w:spacing w:val="-5"/>
              </w:rPr>
              <w:t>2022年5月</w:t>
            </w:r>
          </w:p>
        </w:tc>
        <w:tc>
          <w:tcPr>
            <w:tcW w:w="3956" w:type="dxa"/>
            <w:vAlign w:val="top"/>
            <w:tcBorders>
              <w:left w:val="single" w:color="A8A8A8" w:sz="2" w:space="0"/>
              <w:right w:val="single" w:color="A8A8A8" w:sz="2" w:space="0"/>
            </w:tcBorders>
          </w:tcPr>
          <w:p>
            <w:pPr>
              <w:pStyle w:val="TableText"/>
              <w:ind w:left="104" w:right="415" w:firstLine="1"/>
              <w:spacing w:before="64" w:line="178" w:lineRule="auto"/>
              <w:rPr>
                <w:sz w:val="18"/>
                <w:szCs w:val="18"/>
              </w:rPr>
            </w:pPr>
            <w:r>
              <w:rPr>
                <w:sz w:val="18"/>
                <w:szCs w:val="18"/>
              </w:rPr>
              <w:t>《山西电力一次调频市场交易实施细则（试</w:t>
            </w:r>
            <w:r>
              <w:rPr>
                <w:sz w:val="18"/>
                <w:szCs w:val="18"/>
                <w:spacing w:val="9"/>
              </w:rPr>
              <w:t xml:space="preserve"> </w:t>
            </w:r>
            <w:r>
              <w:rPr>
                <w:sz w:val="18"/>
                <w:szCs w:val="18"/>
                <w:spacing w:val="-2"/>
              </w:rPr>
              <w:t>行）》</w:t>
            </w:r>
          </w:p>
        </w:tc>
        <w:tc>
          <w:tcPr>
            <w:tcW w:w="4365" w:type="dxa"/>
            <w:vAlign w:val="top"/>
            <w:tcBorders>
              <w:left w:val="single" w:color="A8A8A8" w:sz="2" w:space="0"/>
            </w:tcBorders>
          </w:tcPr>
          <w:p>
            <w:pPr>
              <w:pStyle w:val="TableText"/>
              <w:ind w:left="111" w:firstLine="1"/>
              <w:spacing w:before="65" w:line="180" w:lineRule="auto"/>
              <w:rPr>
                <w:sz w:val="18"/>
                <w:szCs w:val="18"/>
              </w:rPr>
            </w:pPr>
            <w:r>
              <w:rPr>
                <w:sz w:val="18"/>
                <w:szCs w:val="18"/>
                <w:spacing w:val="-4"/>
              </w:rPr>
              <w:t>独立储能提供一次调频，按性能获得补偿，报价范围：</w:t>
            </w:r>
            <w:r>
              <w:rPr>
                <w:sz w:val="18"/>
                <w:szCs w:val="18"/>
                <w:spacing w:val="14"/>
              </w:rPr>
              <w:t xml:space="preserve"> </w:t>
            </w:r>
            <w:r>
              <w:rPr>
                <w:sz w:val="18"/>
                <w:szCs w:val="18"/>
                <w:spacing w:val="-11"/>
              </w:rPr>
              <w:t>5-10元/MW。</w:t>
            </w:r>
          </w:p>
        </w:tc>
      </w:tr>
      <w:tr>
        <w:trPr>
          <w:trHeight w:val="539" w:hRule="atLeast"/>
        </w:trPr>
        <w:tc>
          <w:tcPr>
            <w:shd w:val="clear" w:fill="F1F1F1"/>
            <w:tcW w:w="1296" w:type="dxa"/>
            <w:vAlign w:val="top"/>
            <w:tcBorders>
              <w:right w:val="single" w:color="A8A8A8" w:sz="2" w:space="0"/>
            </w:tcBorders>
          </w:tcPr>
          <w:p>
            <w:pPr>
              <w:pStyle w:val="TableText"/>
              <w:ind w:left="192"/>
              <w:spacing w:before="182" w:line="180" w:lineRule="auto"/>
              <w:rPr>
                <w:sz w:val="18"/>
                <w:szCs w:val="18"/>
              </w:rPr>
            </w:pPr>
            <w:r>
              <w:rPr>
                <w:sz w:val="18"/>
                <w:szCs w:val="18"/>
                <w:b/>
                <w:bCs/>
                <w:color w:val="00C0AE"/>
                <w:spacing w:val="-5"/>
              </w:rPr>
              <w:t>2022年5月</w:t>
            </w:r>
          </w:p>
        </w:tc>
        <w:tc>
          <w:tcPr>
            <w:shd w:val="clear" w:fill="F1F1F1"/>
            <w:tcW w:w="3956" w:type="dxa"/>
            <w:vAlign w:val="top"/>
            <w:tcBorders>
              <w:left w:val="single" w:color="A8A8A8" w:sz="2" w:space="0"/>
              <w:right w:val="single" w:color="A8A8A8" w:sz="2" w:space="0"/>
            </w:tcBorders>
          </w:tcPr>
          <w:p>
            <w:pPr>
              <w:pStyle w:val="TableText"/>
              <w:ind w:left="113" w:right="194" w:hanging="9"/>
              <w:spacing w:before="68" w:line="179" w:lineRule="auto"/>
              <w:rPr>
                <w:sz w:val="18"/>
                <w:szCs w:val="18"/>
              </w:rPr>
            </w:pPr>
            <w:r>
              <w:rPr>
                <w:sz w:val="18"/>
                <w:szCs w:val="18"/>
                <w:spacing w:val="-1"/>
              </w:rPr>
              <w:t>《关于开展宁夏2022年新型储能项目试点工作</w:t>
            </w:r>
            <w:r>
              <w:rPr>
                <w:sz w:val="18"/>
                <w:szCs w:val="18"/>
                <w:spacing w:val="10"/>
              </w:rPr>
              <w:t xml:space="preserve"> </w:t>
            </w:r>
            <w:r>
              <w:rPr>
                <w:sz w:val="18"/>
                <w:szCs w:val="18"/>
                <w:spacing w:val="-3"/>
              </w:rPr>
              <w:t>的通知》</w:t>
            </w:r>
          </w:p>
        </w:tc>
        <w:tc>
          <w:tcPr>
            <w:shd w:val="clear" w:fill="F1F1F1"/>
            <w:tcW w:w="4365" w:type="dxa"/>
            <w:vAlign w:val="top"/>
            <w:tcBorders>
              <w:left w:val="single" w:color="A8A8A8" w:sz="2" w:space="0"/>
            </w:tcBorders>
          </w:tcPr>
          <w:p>
            <w:pPr>
              <w:pStyle w:val="TableText"/>
              <w:ind w:left="114" w:right="129" w:firstLine="2"/>
              <w:spacing w:before="67" w:line="178" w:lineRule="auto"/>
              <w:rPr>
                <w:sz w:val="18"/>
                <w:szCs w:val="18"/>
              </w:rPr>
            </w:pPr>
            <w:r>
              <w:rPr>
                <w:sz w:val="18"/>
                <w:szCs w:val="18"/>
                <w:spacing w:val="-2"/>
              </w:rPr>
              <w:t>试点项目调峰补偿：0.8元/kWh，全年完全充放电次</w:t>
            </w:r>
            <w:r>
              <w:rPr>
                <w:sz w:val="18"/>
                <w:szCs w:val="18"/>
                <w:spacing w:val="13"/>
                <w:w w:val="101"/>
              </w:rPr>
              <w:t xml:space="preserve"> </w:t>
            </w:r>
            <w:r>
              <w:rPr>
                <w:sz w:val="18"/>
                <w:szCs w:val="18"/>
                <w:spacing w:val="-6"/>
              </w:rPr>
              <w:t>数600次。</w:t>
            </w:r>
          </w:p>
        </w:tc>
      </w:tr>
      <w:tr>
        <w:trPr>
          <w:trHeight w:val="539" w:hRule="atLeast"/>
        </w:trPr>
        <w:tc>
          <w:tcPr>
            <w:tcW w:w="1296" w:type="dxa"/>
            <w:vAlign w:val="top"/>
            <w:tcBorders>
              <w:right w:val="single" w:color="A8A8A8" w:sz="2" w:space="0"/>
            </w:tcBorders>
          </w:tcPr>
          <w:p>
            <w:pPr>
              <w:pStyle w:val="TableText"/>
              <w:ind w:left="192"/>
              <w:spacing w:before="183" w:line="180" w:lineRule="auto"/>
              <w:rPr>
                <w:sz w:val="18"/>
                <w:szCs w:val="18"/>
              </w:rPr>
            </w:pPr>
            <w:r>
              <w:rPr>
                <w:sz w:val="18"/>
                <w:szCs w:val="18"/>
                <w:b/>
                <w:bCs/>
                <w:color w:val="00C0AE"/>
                <w:spacing w:val="-5"/>
              </w:rPr>
              <w:t>2022年4月</w:t>
            </w:r>
          </w:p>
        </w:tc>
        <w:tc>
          <w:tcPr>
            <w:tcW w:w="3956" w:type="dxa"/>
            <w:vAlign w:val="top"/>
            <w:tcBorders>
              <w:left w:val="single" w:color="A8A8A8" w:sz="2" w:space="0"/>
              <w:right w:val="single" w:color="A8A8A8" w:sz="2" w:space="0"/>
            </w:tcBorders>
          </w:tcPr>
          <w:p>
            <w:pPr>
              <w:pStyle w:val="TableText"/>
              <w:ind w:left="103" w:right="240" w:firstLine="1"/>
              <w:spacing w:before="66" w:line="178" w:lineRule="auto"/>
              <w:rPr>
                <w:sz w:val="18"/>
                <w:szCs w:val="18"/>
              </w:rPr>
            </w:pPr>
            <w:r>
              <w:rPr>
                <w:sz w:val="18"/>
                <w:szCs w:val="18"/>
              </w:rPr>
              <w:t>《福建省电力调峰辅助服务市场交易规则（试</w:t>
            </w:r>
            <w:r>
              <w:rPr>
                <w:sz w:val="18"/>
                <w:szCs w:val="18"/>
                <w:spacing w:val="4"/>
              </w:rPr>
              <w:t xml:space="preserve"> </w:t>
            </w:r>
            <w:r>
              <w:rPr>
                <w:sz w:val="18"/>
                <w:szCs w:val="18"/>
                <w:spacing w:val="-1"/>
              </w:rPr>
              <w:t>行</w:t>
            </w:r>
            <w:r>
              <w:rPr>
                <w:sz w:val="18"/>
                <w:szCs w:val="18"/>
                <w:spacing w:val="1"/>
              </w:rPr>
              <w:t>）（</w:t>
            </w:r>
            <w:r>
              <w:rPr>
                <w:sz w:val="18"/>
                <w:szCs w:val="18"/>
                <w:spacing w:val="-1"/>
              </w:rPr>
              <w:t>2022年修订版）》</w:t>
            </w:r>
          </w:p>
        </w:tc>
        <w:tc>
          <w:tcPr>
            <w:tcW w:w="4365" w:type="dxa"/>
            <w:vAlign w:val="top"/>
            <w:tcBorders>
              <w:left w:val="single" w:color="A8A8A8" w:sz="2" w:space="0"/>
            </w:tcBorders>
          </w:tcPr>
          <w:p>
            <w:pPr>
              <w:pStyle w:val="TableText"/>
              <w:ind w:left="113"/>
              <w:spacing w:before="184" w:line="177" w:lineRule="auto"/>
              <w:rPr>
                <w:sz w:val="18"/>
                <w:szCs w:val="18"/>
              </w:rPr>
            </w:pPr>
            <w:r>
              <w:rPr>
                <w:sz w:val="18"/>
                <w:szCs w:val="18"/>
              </w:rPr>
              <w:t>独立储能电站按照电网调度需求提供调峰服务。</w:t>
            </w:r>
          </w:p>
        </w:tc>
      </w:tr>
      <w:tr>
        <w:trPr>
          <w:trHeight w:val="828" w:hRule="atLeast"/>
        </w:trPr>
        <w:tc>
          <w:tcPr>
            <w:shd w:val="clear" w:fill="F1F1F1"/>
            <w:tcW w:w="1296" w:type="dxa"/>
            <w:vAlign w:val="top"/>
            <w:tcBorders>
              <w:right w:val="single" w:color="A8A8A8" w:sz="2" w:space="0"/>
            </w:tcBorders>
          </w:tcPr>
          <w:p>
            <w:pPr>
              <w:spacing w:line="245" w:lineRule="auto"/>
              <w:rPr>
                <w:rFonts w:ascii="Arial"/>
                <w:sz w:val="21"/>
              </w:rPr>
            </w:pPr>
            <w:r/>
          </w:p>
          <w:p>
            <w:pPr>
              <w:pStyle w:val="TableText"/>
              <w:ind w:left="192"/>
              <w:spacing w:before="77" w:line="180" w:lineRule="auto"/>
              <w:rPr>
                <w:sz w:val="18"/>
                <w:szCs w:val="18"/>
              </w:rPr>
            </w:pPr>
            <w:r>
              <w:rPr>
                <w:sz w:val="18"/>
                <w:szCs w:val="18"/>
                <w:b/>
                <w:bCs/>
                <w:color w:val="00C0AE"/>
                <w:spacing w:val="-5"/>
              </w:rPr>
              <w:t>2022年4月</w:t>
            </w:r>
          </w:p>
        </w:tc>
        <w:tc>
          <w:tcPr>
            <w:shd w:val="clear" w:fill="F1F1F1"/>
            <w:tcW w:w="3956" w:type="dxa"/>
            <w:vAlign w:val="top"/>
            <w:tcBorders>
              <w:left w:val="single" w:color="A8A8A8" w:sz="2" w:space="0"/>
              <w:right w:val="single" w:color="A8A8A8" w:sz="2" w:space="0"/>
            </w:tcBorders>
          </w:tcPr>
          <w:p>
            <w:pPr>
              <w:pStyle w:val="TableText"/>
              <w:ind w:left="105" w:right="247"/>
              <w:spacing w:before="208" w:line="180" w:lineRule="auto"/>
              <w:rPr>
                <w:sz w:val="18"/>
                <w:szCs w:val="18"/>
              </w:rPr>
            </w:pPr>
            <w:r>
              <w:rPr>
                <w:sz w:val="18"/>
                <w:szCs w:val="18"/>
                <w:spacing w:val="-1"/>
              </w:rPr>
              <w:t>《关于电力现货市场容量补偿电价有关事项的</w:t>
            </w:r>
            <w:r>
              <w:rPr>
                <w:sz w:val="18"/>
                <w:szCs w:val="18"/>
                <w:spacing w:val="17"/>
                <w:w w:val="101"/>
              </w:rPr>
              <w:t xml:space="preserve"> </w:t>
            </w:r>
            <w:r>
              <w:rPr>
                <w:sz w:val="18"/>
                <w:szCs w:val="18"/>
                <w:spacing w:val="-2"/>
              </w:rPr>
              <w:t>通知》</w:t>
            </w:r>
          </w:p>
        </w:tc>
        <w:tc>
          <w:tcPr>
            <w:shd w:val="clear" w:fill="F1F1F1"/>
            <w:tcW w:w="4365" w:type="dxa"/>
            <w:vAlign w:val="top"/>
            <w:tcBorders>
              <w:left w:val="single" w:color="A8A8A8" w:sz="2" w:space="0"/>
            </w:tcBorders>
          </w:tcPr>
          <w:p>
            <w:pPr>
              <w:pStyle w:val="TableText"/>
              <w:ind w:left="119" w:right="93" w:hanging="4"/>
              <w:spacing w:before="209" w:line="178" w:lineRule="auto"/>
              <w:rPr>
                <w:sz w:val="18"/>
                <w:szCs w:val="18"/>
              </w:rPr>
            </w:pPr>
            <w:r>
              <w:rPr>
                <w:sz w:val="18"/>
                <w:szCs w:val="18"/>
              </w:rPr>
              <w:t>参与电力现货市场的发电机组容量补偿费用从用户侧</w:t>
            </w:r>
            <w:r>
              <w:rPr>
                <w:sz w:val="18"/>
                <w:szCs w:val="18"/>
                <w:spacing w:val="3"/>
              </w:rPr>
              <w:t xml:space="preserve"> </w:t>
            </w:r>
            <w:r>
              <w:rPr>
                <w:sz w:val="18"/>
                <w:szCs w:val="18"/>
                <w:spacing w:val="-2"/>
              </w:rPr>
              <w:t>收取，电价标准暂定为每千瓦时0.0991元（含税）。</w:t>
            </w:r>
          </w:p>
        </w:tc>
      </w:tr>
    </w:tbl>
    <w:p>
      <w:pPr>
        <w:spacing w:before="239" w:line="187"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8"/>
        </w:rPr>
        <w:t>资料来源：储能与电力市场，毕马威分析</w:t>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ind w:left="494" w:right="1241" w:hanging="411"/>
        <w:spacing w:before="47"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1310" w:header="0" w:footer="0" w:gutter="0"/>
        </w:sectPr>
        <w:rPr>
          <w:rFonts w:ascii="Microsoft YaHei" w:hAnsi="Microsoft YaHei" w:eastAsia="Microsoft YaHei" w:cs="Microsoft YaHei"/>
          <w:sz w:val="11"/>
          <w:szCs w:val="11"/>
        </w:rPr>
      </w:pPr>
    </w:p>
    <w:p>
      <w:pPr>
        <w:spacing w:before="314" w:line="193" w:lineRule="auto"/>
        <w:rPr>
          <w:rFonts w:ascii="Microsoft YaHei" w:hAnsi="Microsoft YaHei" w:eastAsia="Microsoft YaHei" w:cs="Microsoft YaHei"/>
          <w:sz w:val="18"/>
          <w:szCs w:val="18"/>
        </w:rPr>
      </w:pPr>
      <w:r>
        <w:pict>
          <v:rect id="_x0000_s972" style="position:absolute;margin-left:611.99pt;margin-top:0pt;mso-position-vertical-relative:page;mso-position-horizontal-relative:page;width:0.25pt;height:859pt;z-index:252831744;" o:allowincell="f" fillcolor="#000000" filled="true" stroked="false"/>
        </w:pict>
      </w:r>
      <w:r>
        <w:rPr>
          <w:rFonts w:ascii="Microsoft YaHei" w:hAnsi="Microsoft YaHei" w:eastAsia="Microsoft YaHei" w:cs="Microsoft YaHei"/>
          <w:sz w:val="18"/>
          <w:szCs w:val="18"/>
          <w:b/>
          <w:bCs/>
          <w:color w:val="A8A8A8"/>
          <w:spacing w:val="-1"/>
        </w:rPr>
        <w:t>47</w:t>
      </w:r>
      <w:r>
        <w:rPr>
          <w:rFonts w:ascii="Microsoft YaHei" w:hAnsi="Microsoft YaHei" w:eastAsia="Microsoft YaHei" w:cs="Microsoft YaHei"/>
          <w:sz w:val="18"/>
          <w:szCs w:val="18"/>
          <w:b/>
          <w:bCs/>
          <w:color w:val="A8A8A8"/>
          <w:spacing w:val="15"/>
          <w:w w:val="101"/>
        </w:rPr>
        <w:t xml:space="preserve">  </w:t>
      </w:r>
      <w:r>
        <w:rPr>
          <w:sz w:val="18"/>
          <w:szCs w:val="18"/>
          <w:position w:val="-4"/>
        </w:rPr>
        <w:drawing>
          <wp:inline distT="0" distB="0" distL="0" distR="0">
            <wp:extent cx="6350" cy="130175"/>
            <wp:effectExtent l="0" t="0" r="0" b="0"/>
            <wp:docPr id="532" name="IM 532"/>
            <wp:cNvGraphicFramePr/>
            <a:graphic>
              <a:graphicData uri="http://schemas.openxmlformats.org/drawingml/2006/picture">
                <pic:pic>
                  <pic:nvPicPr>
                    <pic:cNvPr id="532" name="IM 532"/>
                    <pic:cNvPicPr/>
                  </pic:nvPicPr>
                  <pic:blipFill>
                    <a:blip r:embed="rId251"/>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A8A8A8"/>
          <w:spacing w:val="26"/>
          <w:w w:val="101"/>
        </w:rPr>
        <w:t xml:space="preserve">  </w:t>
      </w:r>
      <w:r>
        <w:rPr>
          <w:rFonts w:ascii="Microsoft YaHei" w:hAnsi="Microsoft YaHei" w:eastAsia="Microsoft YaHei" w:cs="Microsoft YaHei"/>
          <w:sz w:val="18"/>
          <w:szCs w:val="18"/>
          <w:color w:val="A8A8A8"/>
          <w:spacing w:val="-1"/>
        </w:rPr>
        <w:t>新型储能助力能源转型</w:t>
      </w:r>
    </w:p>
    <w:p>
      <w:pPr>
        <w:pStyle w:val="BodyText"/>
        <w:spacing w:line="314" w:lineRule="auto"/>
        <w:rPr/>
      </w:pPr>
      <w:r/>
    </w:p>
    <w:p>
      <w:pPr>
        <w:pStyle w:val="BodyText"/>
        <w:spacing w:line="314" w:lineRule="auto"/>
        <w:rPr/>
      </w:pPr>
      <w:r/>
    </w:p>
    <w:p>
      <w:pPr>
        <w:pStyle w:val="BodyText"/>
        <w:spacing w:line="315" w:lineRule="auto"/>
        <w:rPr/>
      </w:pPr>
      <w:r/>
    </w:p>
    <w:p>
      <w:pPr>
        <w:ind w:left="372"/>
        <w:spacing w:before="154" w:line="180" w:lineRule="auto"/>
        <w:outlineLvl w:val="0"/>
        <w:rPr>
          <w:rFonts w:ascii="Microsoft YaHei" w:hAnsi="Microsoft YaHei" w:eastAsia="Microsoft YaHei" w:cs="Microsoft YaHei"/>
          <w:sz w:val="36"/>
          <w:szCs w:val="36"/>
        </w:rPr>
      </w:pPr>
      <w:r>
        <w:rPr>
          <w:rFonts w:ascii="Microsoft YaHei" w:hAnsi="Microsoft YaHei" w:eastAsia="Microsoft YaHei" w:cs="Microsoft YaHei"/>
          <w:sz w:val="36"/>
          <w:szCs w:val="36"/>
          <w:b/>
          <w:bCs/>
          <w:color w:val="00338D"/>
          <w:spacing w:val="-1"/>
        </w:rPr>
        <w:t>独立储能电站收益分析</w:t>
      </w:r>
    </w:p>
    <w:p>
      <w:pPr>
        <w:ind w:left="351" w:right="2998" w:hanging="3"/>
        <w:spacing w:before="244" w:line="217"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独立储能参与辅助市场服务是未来发展方向</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，其收益模式还在探索中</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2"/>
        </w:rPr>
        <w:t>，细则有待进一</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步落实。</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总体来说</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2"/>
        </w:rPr>
        <w:t>，独立储能电站的收益渠道包括容量租赁收入、容量电价收入、</w:t>
      </w:r>
      <w:r>
        <w:rPr>
          <w:rFonts w:ascii="Microsoft YaHei" w:hAnsi="Microsoft YaHei" w:eastAsia="Microsoft YaHei" w:cs="Microsoft YaHei"/>
          <w:sz w:val="21"/>
          <w:szCs w:val="21"/>
          <w:spacing w:val="-37"/>
        </w:rPr>
        <w:t xml:space="preserve"> </w:t>
      </w:r>
      <w:r>
        <w:rPr>
          <w:rFonts w:ascii="Microsoft YaHei" w:hAnsi="Microsoft YaHei" w:eastAsia="Microsoft YaHei" w:cs="Microsoft YaHei"/>
          <w:sz w:val="21"/>
          <w:szCs w:val="21"/>
          <w:spacing w:val="2"/>
        </w:rPr>
        <w:t>电</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力现货交易收入和辅助服务收入等。</w:t>
      </w:r>
    </w:p>
    <w:p>
      <w:pPr>
        <w:pStyle w:val="BodyText"/>
        <w:spacing w:line="254" w:lineRule="auto"/>
        <w:rPr/>
      </w:pPr>
      <w:r/>
    </w:p>
    <w:p>
      <w:pPr>
        <w:ind w:left="877"/>
        <w:spacing w:before="116" w:line="184" w:lineRule="auto"/>
        <w:rPr>
          <w:rFonts w:ascii="Microsoft YaHei" w:hAnsi="Microsoft YaHei" w:eastAsia="Microsoft YaHei" w:cs="Microsoft YaHei"/>
          <w:sz w:val="27"/>
          <w:szCs w:val="27"/>
        </w:rPr>
      </w:pPr>
      <w:r>
        <w:pict>
          <v:shape id="_x0000_s974" style="position:absolute;margin-left:16.9511pt;margin-top:2.50142pt;mso-position-vertical-relative:text;mso-position-horizontal-relative:text;width:22.1pt;height:21.15pt;z-index:252829696;" fillcolor="#00C0AE" filled="true" stroked="false" type="#_x0000_t202">
            <v:fill opacity="0.937255" on="true"/>
            <v:stroke on="false"/>
            <v:path/>
            <v:imagedata o:title=""/>
            <o:lock v:ext="edit" aspectratio="false"/>
            <v:textbox inset="0mm,0mm,0mm,0mm">
              <w:txbxContent>
                <w:p>
                  <w:pPr>
                    <w:ind w:left="131"/>
                    <w:spacing w:before="99" w:line="173" w:lineRule="auto"/>
                    <w:rPr>
                      <w:rFonts w:ascii="Microsoft YaHei" w:hAnsi="Microsoft YaHei" w:eastAsia="Microsoft YaHei" w:cs="Microsoft YaHei"/>
                      <w:sz w:val="27"/>
                      <w:szCs w:val="27"/>
                    </w:rPr>
                  </w:pPr>
                  <w:r>
                    <w:rPr>
                      <w:rFonts w:ascii="Microsoft YaHei" w:hAnsi="Microsoft YaHei" w:eastAsia="Microsoft YaHei" w:cs="Microsoft YaHei"/>
                      <w:sz w:val="27"/>
                      <w:szCs w:val="27"/>
                      <w:b/>
                      <w:bCs/>
                      <w:color w:val="FFFFFF"/>
                      <w:spacing w:val="-5"/>
                    </w:rPr>
                    <w:t>1.</w:t>
                  </w:r>
                </w:p>
              </w:txbxContent>
            </v:textbox>
          </v:shape>
        </w:pict>
      </w:r>
      <w:r>
        <w:rPr>
          <w:rFonts w:ascii="Microsoft YaHei" w:hAnsi="Microsoft YaHei" w:eastAsia="Microsoft YaHei" w:cs="Microsoft YaHei"/>
          <w:sz w:val="27"/>
          <w:szCs w:val="27"/>
          <w:b/>
          <w:bCs/>
          <w:color w:val="00C0AE"/>
          <w:spacing w:val="8"/>
        </w:rPr>
        <w:t>参与电力市场现货交易获取价差套利收入</w:t>
      </w:r>
    </w:p>
    <w:p>
      <w:pPr>
        <w:ind w:left="346" w:right="2828"/>
        <w:spacing w:before="246" w:line="220"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储能参与电力市场现货交易主要是通过在电价低谷时充电、</w:t>
      </w:r>
      <w:r>
        <w:rPr>
          <w:rFonts w:ascii="Microsoft YaHei" w:hAnsi="Microsoft YaHei" w:eastAsia="Microsoft YaHei" w:cs="Microsoft YaHei"/>
          <w:sz w:val="21"/>
          <w:szCs w:val="21"/>
          <w:spacing w:val="-38"/>
        </w:rPr>
        <w:t xml:space="preserve"> </w:t>
      </w:r>
      <w:r>
        <w:rPr>
          <w:rFonts w:ascii="Microsoft YaHei" w:hAnsi="Microsoft YaHei" w:eastAsia="Microsoft YaHei" w:cs="Microsoft YaHei"/>
          <w:sz w:val="21"/>
          <w:szCs w:val="21"/>
          <w:spacing w:val="4"/>
        </w:rPr>
        <w:t>电价高峰时放</w:t>
      </w:r>
      <w:r>
        <w:rPr>
          <w:rFonts w:ascii="Microsoft YaHei" w:hAnsi="Microsoft YaHei" w:eastAsia="Microsoft YaHei" w:cs="Microsoft YaHei"/>
          <w:sz w:val="21"/>
          <w:szCs w:val="21"/>
          <w:spacing w:val="3"/>
        </w:rPr>
        <w:t>电赚取电力</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5"/>
        </w:rPr>
        <w:t>差价收入。2022年5月出台的《关于进一步</w:t>
      </w:r>
      <w:r>
        <w:rPr>
          <w:rFonts w:ascii="Microsoft YaHei" w:hAnsi="Microsoft YaHei" w:eastAsia="Microsoft YaHei" w:cs="Microsoft YaHei"/>
          <w:sz w:val="21"/>
          <w:szCs w:val="21"/>
          <w:spacing w:val="4"/>
        </w:rPr>
        <w:t>推动新型储能参与电力市场和调度运用的</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通知》</w:t>
      </w:r>
      <w:r>
        <w:rPr>
          <w:rFonts w:ascii="Microsoft YaHei" w:hAnsi="Microsoft YaHei" w:eastAsia="Microsoft YaHei" w:cs="Microsoft YaHei"/>
          <w:sz w:val="21"/>
          <w:szCs w:val="21"/>
          <w:spacing w:val="-11"/>
        </w:rPr>
        <w:t xml:space="preserve"> </w:t>
      </w:r>
      <w:r>
        <w:rPr>
          <w:rFonts w:ascii="Microsoft YaHei" w:hAnsi="Microsoft YaHei" w:eastAsia="Microsoft YaHei" w:cs="Microsoft YaHei"/>
          <w:sz w:val="21"/>
          <w:szCs w:val="21"/>
          <w:spacing w:val="2"/>
        </w:rPr>
        <w:t>，明确了独立储能电站充电电量不承担输配电价和政府基金及附加。在此之前，</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储能电站视同电力用户</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4"/>
        </w:rPr>
        <w:t>，应付的电价中包含能量电价</w:t>
      </w:r>
      <w:r>
        <w:rPr>
          <w:rFonts w:ascii="Microsoft YaHei" w:hAnsi="Microsoft YaHei" w:eastAsia="Microsoft YaHei" w:cs="Microsoft YaHei"/>
          <w:sz w:val="21"/>
          <w:szCs w:val="21"/>
          <w:spacing w:val="3"/>
        </w:rPr>
        <w:t>、输配电价、容量电价、政府基</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金及附加、相应税费等</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，再考虑充放电效率等因素</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，该政策使参与现货市</w:t>
      </w:r>
      <w:r>
        <w:rPr>
          <w:rFonts w:ascii="Microsoft YaHei" w:hAnsi="Microsoft YaHei" w:eastAsia="Microsoft YaHei" w:cs="Microsoft YaHei"/>
          <w:sz w:val="21"/>
          <w:szCs w:val="21"/>
          <w:spacing w:val="2"/>
        </w:rPr>
        <w:t>场的储能电</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站成本降低0.14元/千瓦时</w:t>
      </w:r>
      <w:r>
        <w:rPr>
          <w:rFonts w:ascii="Microsoft YaHei" w:hAnsi="Microsoft YaHei" w:eastAsia="Microsoft YaHei" w:cs="Microsoft YaHei"/>
          <w:sz w:val="13"/>
          <w:szCs w:val="13"/>
          <w:spacing w:val="-2"/>
          <w:position w:val="5"/>
        </w:rPr>
        <w:t>45</w:t>
      </w:r>
      <w:r>
        <w:rPr>
          <w:rFonts w:ascii="Microsoft YaHei" w:hAnsi="Microsoft YaHei" w:eastAsia="Microsoft YaHei" w:cs="Microsoft YaHei"/>
          <w:sz w:val="21"/>
          <w:szCs w:val="21"/>
          <w:spacing w:val="-2"/>
        </w:rPr>
        <w:t>。</w:t>
      </w:r>
    </w:p>
    <w:p>
      <w:pPr>
        <w:ind w:left="349" w:right="2997" w:firstLine="14"/>
        <w:spacing w:before="239" w:line="21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山东是率先允许独立储能参与电力现货市场的省份。2022年2月</w:t>
      </w:r>
      <w:r>
        <w:rPr>
          <w:rFonts w:ascii="Microsoft YaHei" w:hAnsi="Microsoft YaHei" w:eastAsia="Microsoft YaHei" w:cs="Microsoft YaHei"/>
          <w:sz w:val="21"/>
          <w:szCs w:val="21"/>
          <w:spacing w:val="-25"/>
        </w:rPr>
        <w:t xml:space="preserve"> </w:t>
      </w:r>
      <w:r>
        <w:rPr>
          <w:rFonts w:ascii="Microsoft YaHei" w:hAnsi="Microsoft YaHei" w:eastAsia="Microsoft YaHei" w:cs="Microsoft YaHei"/>
          <w:sz w:val="21"/>
          <w:szCs w:val="21"/>
          <w:spacing w:val="3"/>
        </w:rPr>
        <w:t>，海阳国电投储能科</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技、华电滕州新源热电、三峡新能源（庆云）</w:t>
      </w:r>
      <w:r>
        <w:rPr>
          <w:rFonts w:ascii="Microsoft YaHei" w:hAnsi="Microsoft YaHei" w:eastAsia="Microsoft YaHei" w:cs="Microsoft YaHei"/>
          <w:sz w:val="21"/>
          <w:szCs w:val="21"/>
          <w:spacing w:val="-33"/>
        </w:rPr>
        <w:t xml:space="preserve"> </w:t>
      </w:r>
      <w:r>
        <w:rPr>
          <w:rFonts w:ascii="Microsoft YaHei" w:hAnsi="Microsoft YaHei" w:eastAsia="Microsoft YaHei" w:cs="Microsoft YaHei"/>
          <w:sz w:val="21"/>
          <w:szCs w:val="21"/>
          <w:spacing w:val="4"/>
        </w:rPr>
        <w:t>三家新型储</w:t>
      </w:r>
      <w:r>
        <w:rPr>
          <w:rFonts w:ascii="Microsoft YaHei" w:hAnsi="Microsoft YaHei" w:eastAsia="Microsoft YaHei" w:cs="Microsoft YaHei"/>
          <w:sz w:val="21"/>
          <w:szCs w:val="21"/>
          <w:spacing w:val="3"/>
        </w:rPr>
        <w:t>能电站示范项目在山东电力</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交易中心完成注册</w:t>
      </w:r>
      <w:r>
        <w:rPr>
          <w:rFonts w:ascii="Microsoft YaHei" w:hAnsi="Microsoft YaHei" w:eastAsia="Microsoft YaHei" w:cs="Microsoft YaHei"/>
          <w:sz w:val="21"/>
          <w:szCs w:val="21"/>
          <w:spacing w:val="-30"/>
        </w:rPr>
        <w:t xml:space="preserve"> </w:t>
      </w:r>
      <w:r>
        <w:rPr>
          <w:rFonts w:ascii="Microsoft YaHei" w:hAnsi="Microsoft YaHei" w:eastAsia="Microsoft YaHei" w:cs="Microsoft YaHei"/>
          <w:sz w:val="21"/>
          <w:szCs w:val="21"/>
          <w:spacing w:val="2"/>
        </w:rPr>
        <w:t>，正式进入电力现货市场。</w:t>
      </w:r>
      <w:r>
        <w:rPr>
          <w:rFonts w:ascii="Microsoft YaHei" w:hAnsi="Microsoft YaHei" w:eastAsia="Microsoft YaHei" w:cs="Microsoft YaHei"/>
          <w:sz w:val="21"/>
          <w:szCs w:val="21"/>
          <w:spacing w:val="-37"/>
        </w:rPr>
        <w:t xml:space="preserve"> </w:t>
      </w:r>
      <w:r>
        <w:rPr>
          <w:rFonts w:ascii="Microsoft YaHei" w:hAnsi="Microsoft YaHei" w:eastAsia="Microsoft YaHei" w:cs="Microsoft YaHei"/>
          <w:sz w:val="21"/>
          <w:szCs w:val="21"/>
          <w:spacing w:val="2"/>
        </w:rPr>
        <w:t>三家独立储能电站充电时为市场用户</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从现货市场直接购电；放电时为发电企业</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3"/>
        </w:rPr>
        <w:t>，在电力现货市场进行售电</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，其相应充</w:t>
      </w:r>
      <w:r>
        <w:rPr>
          <w:rFonts w:ascii="Microsoft YaHei" w:hAnsi="Microsoft YaHei" w:eastAsia="Microsoft YaHei" w:cs="Microsoft YaHei"/>
          <w:sz w:val="21"/>
          <w:szCs w:val="21"/>
          <w:spacing w:val="2"/>
        </w:rPr>
        <w:t>电电</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量不承担输配电价和政府性基金及附加。</w:t>
      </w:r>
      <w:r>
        <w:rPr>
          <w:rFonts w:ascii="Microsoft YaHei" w:hAnsi="Microsoft YaHei" w:eastAsia="Microsoft YaHei" w:cs="Microsoft YaHei"/>
          <w:sz w:val="21"/>
          <w:szCs w:val="21"/>
          <w:spacing w:val="-20"/>
        </w:rPr>
        <w:t xml:space="preserve"> </w:t>
      </w:r>
      <w:r>
        <w:rPr>
          <w:rFonts w:ascii="Microsoft YaHei" w:hAnsi="Microsoft YaHei" w:eastAsia="Microsoft YaHei" w:cs="Microsoft YaHei"/>
          <w:sz w:val="21"/>
          <w:szCs w:val="21"/>
          <w:spacing w:val="2"/>
        </w:rPr>
        <w:t>山东的独立储能电站日结算电费均值为32万</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元，预计月度结算收入可达900-1,000万元</w:t>
      </w:r>
      <w:r>
        <w:rPr>
          <w:rFonts w:ascii="Microsoft YaHei" w:hAnsi="Microsoft YaHei" w:eastAsia="Microsoft YaHei" w:cs="Microsoft YaHei"/>
          <w:sz w:val="13"/>
          <w:szCs w:val="13"/>
          <w:position w:val="6"/>
        </w:rPr>
        <w:t>46</w:t>
      </w:r>
      <w:r>
        <w:rPr>
          <w:rFonts w:ascii="Microsoft YaHei" w:hAnsi="Microsoft YaHei" w:eastAsia="Microsoft YaHei" w:cs="Microsoft YaHei"/>
          <w:sz w:val="21"/>
          <w:szCs w:val="21"/>
        </w:rPr>
        <w:t>。</w:t>
      </w:r>
      <w:r>
        <w:rPr>
          <w:rFonts w:ascii="Microsoft YaHei" w:hAnsi="Microsoft YaHei" w:eastAsia="Microsoft YaHei" w:cs="Microsoft YaHei"/>
          <w:sz w:val="21"/>
          <w:szCs w:val="21"/>
          <w:spacing w:val="-37"/>
        </w:rPr>
        <w:t xml:space="preserve"> </w:t>
      </w:r>
      <w:r>
        <w:rPr>
          <w:rFonts w:ascii="Microsoft YaHei" w:hAnsi="Microsoft YaHei" w:eastAsia="Microsoft YaHei" w:cs="Microsoft YaHei"/>
          <w:sz w:val="21"/>
          <w:szCs w:val="21"/>
        </w:rPr>
        <w:t>不过现货市场套利也存在不确定性</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rPr>
        <w:t>，主 </w:t>
      </w:r>
      <w:r>
        <w:rPr>
          <w:rFonts w:ascii="Microsoft YaHei" w:hAnsi="Microsoft YaHei" w:eastAsia="Microsoft YaHei" w:cs="Microsoft YaHei"/>
          <w:sz w:val="21"/>
          <w:szCs w:val="21"/>
          <w:spacing w:val="-1"/>
        </w:rPr>
        <w:t>要峰谷电价的变化可能导致实际价差不及预期。</w:t>
      </w:r>
    </w:p>
    <w:p>
      <w:pPr>
        <w:pStyle w:val="BodyText"/>
        <w:spacing w:line="329" w:lineRule="auto"/>
        <w:rPr/>
      </w:pPr>
      <w:r/>
    </w:p>
    <w:p>
      <w:pPr>
        <w:ind w:left="879"/>
        <w:spacing w:before="117" w:line="183" w:lineRule="auto"/>
        <w:rPr>
          <w:rFonts w:ascii="Microsoft YaHei" w:hAnsi="Microsoft YaHei" w:eastAsia="Microsoft YaHei" w:cs="Microsoft YaHei"/>
          <w:sz w:val="27"/>
          <w:szCs w:val="27"/>
        </w:rPr>
      </w:pPr>
      <w:r>
        <w:pict>
          <v:shape id="_x0000_s976" style="position:absolute;margin-left:16.9511pt;margin-top:2.41246pt;mso-position-vertical-relative:text;mso-position-horizontal-relative:text;width:22.1pt;height:21.15pt;z-index:252830720;" fillcolor="#00C0AE" filled="true" stroked="false" type="#_x0000_t202">
            <v:fill on="true"/>
            <v:stroke on="false"/>
            <v:path/>
            <v:imagedata o:title=""/>
            <o:lock v:ext="edit" aspectratio="false"/>
            <v:textbox inset="0mm,0mm,0mm,0mm">
              <w:txbxContent>
                <w:p>
                  <w:pPr>
                    <w:ind w:left="118"/>
                    <w:spacing w:before="97" w:line="175" w:lineRule="auto"/>
                    <w:rPr>
                      <w:rFonts w:ascii="Microsoft YaHei" w:hAnsi="Microsoft YaHei" w:eastAsia="Microsoft YaHei" w:cs="Microsoft YaHei"/>
                      <w:sz w:val="27"/>
                      <w:szCs w:val="27"/>
                    </w:rPr>
                  </w:pPr>
                  <w:r>
                    <w:rPr>
                      <w:rFonts w:ascii="Microsoft YaHei" w:hAnsi="Microsoft YaHei" w:eastAsia="Microsoft YaHei" w:cs="Microsoft YaHei"/>
                      <w:sz w:val="27"/>
                      <w:szCs w:val="27"/>
                      <w:b/>
                      <w:bCs/>
                      <w:color w:val="FFFFFF"/>
                      <w:spacing w:val="-1"/>
                    </w:rPr>
                    <w:t>2.</w:t>
                  </w:r>
                </w:p>
              </w:txbxContent>
            </v:textbox>
          </v:shape>
        </w:pict>
      </w:r>
      <w:r>
        <w:rPr>
          <w:rFonts w:ascii="Microsoft YaHei" w:hAnsi="Microsoft YaHei" w:eastAsia="Microsoft YaHei" w:cs="Microsoft YaHei"/>
          <w:sz w:val="27"/>
          <w:szCs w:val="27"/>
          <w:b/>
          <w:bCs/>
          <w:color w:val="00C0AE"/>
          <w:spacing w:val="6"/>
        </w:rPr>
        <w:t>容量补偿收入</w:t>
      </w:r>
    </w:p>
    <w:p>
      <w:pPr>
        <w:ind w:left="348" w:right="2997"/>
        <w:spacing w:before="246" w:line="217"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容量市场是电力市场体系的重要组成部分</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3"/>
        </w:rPr>
        <w:t>，</w:t>
      </w:r>
      <w:r>
        <w:rPr>
          <w:rFonts w:ascii="Microsoft YaHei" w:hAnsi="Microsoft YaHei" w:eastAsia="Microsoft YaHei" w:cs="Microsoft YaHei"/>
          <w:sz w:val="21"/>
          <w:szCs w:val="21"/>
          <w:spacing w:val="-33"/>
        </w:rPr>
        <w:t xml:space="preserve"> </w:t>
      </w:r>
      <w:r>
        <w:rPr>
          <w:rFonts w:ascii="Microsoft YaHei" w:hAnsi="Microsoft YaHei" w:eastAsia="Microsoft YaHei" w:cs="Microsoft YaHei"/>
          <w:sz w:val="21"/>
          <w:szCs w:val="21"/>
          <w:spacing w:val="3"/>
        </w:rPr>
        <w:t>旨在保障电力系统长期容量的充</w:t>
      </w:r>
      <w:r>
        <w:rPr>
          <w:rFonts w:ascii="Microsoft YaHei" w:hAnsi="Microsoft YaHei" w:eastAsia="Microsoft YaHei" w:cs="Microsoft YaHei"/>
          <w:sz w:val="21"/>
          <w:szCs w:val="21"/>
          <w:spacing w:val="2"/>
        </w:rPr>
        <w:t>裕性。容</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量电价收入是一种激励机制</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4"/>
        </w:rPr>
        <w:t>，使发电机组能够获得电能量市场</w:t>
      </w:r>
      <w:r>
        <w:rPr>
          <w:rFonts w:ascii="Microsoft YaHei" w:hAnsi="Microsoft YaHei" w:eastAsia="Microsoft YaHei" w:cs="Microsoft YaHei"/>
          <w:sz w:val="21"/>
          <w:szCs w:val="21"/>
          <w:spacing w:val="3"/>
        </w:rPr>
        <w:t>和辅助服务市场以外的</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稳定收入</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，能起到补偿固定成本、激励电源投资、保障</w:t>
      </w:r>
      <w:r>
        <w:rPr>
          <w:rFonts w:ascii="Microsoft YaHei" w:hAnsi="Microsoft YaHei" w:eastAsia="Microsoft YaHei" w:cs="Microsoft YaHei"/>
          <w:sz w:val="21"/>
          <w:szCs w:val="21"/>
          <w:spacing w:val="2"/>
        </w:rPr>
        <w:t>容量供应等作用</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，在国外电力</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市场中有着广泛应用</w:t>
      </w:r>
      <w:r>
        <w:rPr>
          <w:rFonts w:ascii="Microsoft YaHei" w:hAnsi="Microsoft YaHei" w:eastAsia="Microsoft YaHei" w:cs="Microsoft YaHei"/>
          <w:sz w:val="13"/>
          <w:szCs w:val="13"/>
          <w:position w:val="6"/>
        </w:rPr>
        <w:t>47</w:t>
      </w:r>
      <w:r>
        <w:rPr>
          <w:rFonts w:ascii="Microsoft YaHei" w:hAnsi="Microsoft YaHei" w:eastAsia="Microsoft YaHei" w:cs="Microsoft YaHei"/>
          <w:sz w:val="21"/>
          <w:szCs w:val="21"/>
        </w:rPr>
        <w:t>。我国大多数省份容量补偿机制仍在研究制定中，缺乏</w:t>
      </w:r>
      <w:r>
        <w:rPr>
          <w:rFonts w:ascii="Microsoft YaHei" w:hAnsi="Microsoft YaHei" w:eastAsia="Microsoft YaHei" w:cs="Microsoft YaHei"/>
          <w:sz w:val="21"/>
          <w:szCs w:val="21"/>
          <w:spacing w:val="-1"/>
        </w:rPr>
        <w:t>统一、平</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等、稳定的储能容量回收机制。</w:t>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ict>
          <v:shape id="_x0000_s978" style="position:absolute;margin-left:17.2011pt;margin-top:4.35516pt;mso-position-vertical-relative:text;mso-position-horizontal-relative:text;width:81.3pt;height:0.5pt;z-index:252832768;" filled="false" strokecolor="#000000" strokeweight="0.50pt" coordsize="1626,10" coordorigin="0,0" path="m0,5l1625,5e">
            <v:stroke joinstyle="miter"/>
          </v:shape>
        </w:pict>
      </w:r>
      <w:r/>
    </w:p>
    <w:p>
      <w:pPr>
        <w:ind w:left="352" w:right="5560" w:hanging="10"/>
        <w:spacing w:before="56" w:line="187"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4"/>
          <w:position w:val="4"/>
        </w:rPr>
        <w:t>45</w:t>
      </w:r>
      <w:r>
        <w:rPr>
          <w:rFonts w:ascii="Microsoft YaHei" w:hAnsi="Microsoft YaHei" w:eastAsia="Microsoft YaHei" w:cs="Microsoft YaHei"/>
          <w:sz w:val="9"/>
          <w:szCs w:val="9"/>
          <w:spacing w:val="27"/>
          <w:w w:val="102"/>
          <w:position w:val="4"/>
        </w:rPr>
        <w:t xml:space="preserve"> </w:t>
      </w:r>
      <w:r>
        <w:rPr>
          <w:rFonts w:ascii="Microsoft YaHei" w:hAnsi="Microsoft YaHei" w:eastAsia="Microsoft YaHei" w:cs="Microsoft YaHei"/>
          <w:sz w:val="13"/>
          <w:szCs w:val="13"/>
          <w:spacing w:val="4"/>
        </w:rPr>
        <w:t>新政实施，储能电站平均每充1度电成本下降0.14元，北极星储能网，  2022年6月9日，</w:t>
      </w:r>
      <w:r>
        <w:rPr>
          <w:rFonts w:ascii="Microsoft YaHei" w:hAnsi="Microsoft YaHei" w:eastAsia="Microsoft YaHei" w:cs="Microsoft YaHei"/>
          <w:sz w:val="13"/>
          <w:szCs w:val="13"/>
        </w:rPr>
        <w:t xml:space="preserve"> </w:t>
      </w:r>
      <w:hyperlink w:history="true" r:id="rId252">
        <w:r>
          <w:rPr>
            <w:rFonts w:ascii="Microsoft YaHei" w:hAnsi="Microsoft YaHei" w:eastAsia="Microsoft YaHei" w:cs="Microsoft YaHei"/>
            <w:sz w:val="13"/>
            <w:szCs w:val="13"/>
          </w:rPr>
          <w:t>https</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news</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bjx</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com</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cn</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html</w:t>
        </w:r>
        <w:r>
          <w:rPr>
            <w:rFonts w:ascii="Microsoft YaHei" w:hAnsi="Microsoft YaHei" w:eastAsia="Microsoft YaHei" w:cs="Microsoft YaHei"/>
            <w:sz w:val="13"/>
            <w:szCs w:val="13"/>
            <w:spacing w:val="6"/>
          </w:rPr>
          <w:t>/20220609/1231867.</w:t>
        </w:r>
        <w:r>
          <w:rPr>
            <w:rFonts w:ascii="Microsoft YaHei" w:hAnsi="Microsoft YaHei" w:eastAsia="Microsoft YaHei" w:cs="Microsoft YaHei"/>
            <w:sz w:val="13"/>
            <w:szCs w:val="13"/>
          </w:rPr>
          <w:t>shtml</w:t>
        </w:r>
      </w:hyperlink>
    </w:p>
    <w:p>
      <w:pPr>
        <w:ind w:left="342"/>
        <w:spacing w:before="51" w:line="189"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5"/>
          <w:position w:val="4"/>
        </w:rPr>
        <w:t>46 </w:t>
      </w:r>
      <w:r>
        <w:rPr>
          <w:rFonts w:ascii="Microsoft YaHei" w:hAnsi="Microsoft YaHei" w:eastAsia="Microsoft YaHei" w:cs="Microsoft YaHei"/>
          <w:sz w:val="13"/>
          <w:szCs w:val="13"/>
          <w:spacing w:val="5"/>
        </w:rPr>
        <w:t>关立等，独立储能电站参与电力现货市场机制及试运行分析，</w:t>
      </w:r>
      <w:r>
        <w:rPr>
          <w:rFonts w:ascii="Microsoft YaHei" w:hAnsi="Microsoft YaHei" w:eastAsia="Microsoft YaHei" w:cs="Microsoft YaHei"/>
          <w:sz w:val="13"/>
          <w:szCs w:val="13"/>
          <w:spacing w:val="15"/>
          <w:w w:val="102"/>
        </w:rPr>
        <w:t xml:space="preserve">  </w:t>
      </w:r>
      <w:r>
        <w:rPr>
          <w:rFonts w:ascii="Microsoft YaHei" w:hAnsi="Microsoft YaHei" w:eastAsia="Microsoft YaHei" w:cs="Microsoft YaHei"/>
          <w:sz w:val="13"/>
          <w:szCs w:val="13"/>
          <w:spacing w:val="5"/>
        </w:rPr>
        <w:t>《中国电力》2022年第10期</w:t>
      </w:r>
    </w:p>
    <w:p>
      <w:pPr>
        <w:ind w:left="342"/>
        <w:spacing w:before="50" w:line="189"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6"/>
          <w:position w:val="4"/>
        </w:rPr>
        <w:t>47</w:t>
      </w:r>
      <w:r>
        <w:rPr>
          <w:rFonts w:ascii="Microsoft YaHei" w:hAnsi="Microsoft YaHei" w:eastAsia="Microsoft YaHei" w:cs="Microsoft YaHei"/>
          <w:sz w:val="9"/>
          <w:szCs w:val="9"/>
          <w:spacing w:val="20"/>
          <w:w w:val="102"/>
          <w:position w:val="4"/>
        </w:rPr>
        <w:t xml:space="preserve"> </w:t>
      </w:r>
      <w:r>
        <w:rPr>
          <w:rFonts w:ascii="Microsoft YaHei" w:hAnsi="Microsoft YaHei" w:eastAsia="Microsoft YaHei" w:cs="Microsoft YaHei"/>
          <w:sz w:val="13"/>
          <w:szCs w:val="13"/>
          <w:spacing w:val="6"/>
        </w:rPr>
        <w:t>陈政等，如何通过重构容量市场机制以破解能源“不可能三角”协同问题？  《电网技术》2021年第1期</w:t>
      </w:r>
    </w:p>
    <w:p>
      <w:pPr>
        <w:ind w:left="844" w:right="1241" w:hanging="411"/>
        <w:spacing w:before="219"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961" w:header="0" w:footer="0" w:gutter="0"/>
        </w:sectPr>
        <w:rPr>
          <w:rFonts w:ascii="Microsoft YaHei" w:hAnsi="Microsoft YaHei" w:eastAsia="Microsoft YaHei" w:cs="Microsoft YaHei"/>
          <w:sz w:val="11"/>
          <w:szCs w:val="11"/>
        </w:rPr>
      </w:pPr>
    </w:p>
    <w:p>
      <w:pPr>
        <w:ind w:left="7674"/>
        <w:spacing w:before="314" w:line="193" w:lineRule="auto"/>
        <w:outlineLvl w:val="0"/>
        <w:rPr>
          <w:rFonts w:ascii="Microsoft YaHei" w:hAnsi="Microsoft YaHei" w:eastAsia="Microsoft YaHei" w:cs="Microsoft YaHei"/>
          <w:sz w:val="18"/>
          <w:szCs w:val="18"/>
        </w:rPr>
      </w:pPr>
      <w:r>
        <w:pict>
          <v:rect id="_x0000_s980" style="position:absolute;margin-left:611.99pt;margin-top:0pt;mso-position-vertical-relative:page;mso-position-horizontal-relative:page;width:0.25pt;height:859pt;z-index:252868608;" o:allowincell="f" fillcolor="#000000" filled="true" stroked="false"/>
        </w:pict>
      </w:r>
      <w:r>
        <w:rPr>
          <w:rFonts w:ascii="Microsoft YaHei" w:hAnsi="Microsoft YaHei" w:eastAsia="Microsoft YaHei" w:cs="Microsoft YaHei"/>
          <w:sz w:val="18"/>
          <w:szCs w:val="18"/>
          <w:color w:val="A8A8A8"/>
        </w:rPr>
        <w:t>新型储能助力能源转型</w:t>
      </w:r>
      <w:r>
        <w:rPr>
          <w:rFonts w:ascii="Microsoft YaHei" w:hAnsi="Microsoft YaHei" w:eastAsia="Microsoft YaHei" w:cs="Microsoft YaHei"/>
          <w:sz w:val="18"/>
          <w:szCs w:val="18"/>
          <w:color w:val="A8A8A8"/>
          <w:spacing w:val="20"/>
          <w:w w:val="101"/>
        </w:rPr>
        <w:t xml:space="preserve">  </w:t>
      </w:r>
      <w:r>
        <w:rPr>
          <w:sz w:val="18"/>
          <w:szCs w:val="18"/>
          <w:position w:val="-4"/>
        </w:rPr>
        <w:drawing>
          <wp:inline distT="0" distB="0" distL="0" distR="0">
            <wp:extent cx="6350" cy="130175"/>
            <wp:effectExtent l="0" t="0" r="0" b="0"/>
            <wp:docPr id="534" name="IM 534"/>
            <wp:cNvGraphicFramePr/>
            <a:graphic>
              <a:graphicData uri="http://schemas.openxmlformats.org/drawingml/2006/picture">
                <pic:pic>
                  <pic:nvPicPr>
                    <pic:cNvPr id="534" name="IM 534"/>
                    <pic:cNvPicPr/>
                  </pic:nvPicPr>
                  <pic:blipFill>
                    <a:blip r:embed="rId253"/>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spacing w:val="14"/>
          <w:w w:val="101"/>
        </w:rPr>
        <w:t xml:space="preserve">  </w:t>
      </w:r>
      <w:r>
        <w:rPr>
          <w:rFonts w:ascii="Microsoft YaHei" w:hAnsi="Microsoft YaHei" w:eastAsia="Microsoft YaHei" w:cs="Microsoft YaHei"/>
          <w:sz w:val="18"/>
          <w:szCs w:val="18"/>
          <w:b/>
          <w:bCs/>
          <w:color w:val="A8A8A8"/>
        </w:rPr>
        <w:t>48</w:t>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ind w:left="9" w:right="2797"/>
        <w:spacing w:before="90" w:line="21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2021年10月</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rPr>
        <w:t>，《华北电力调峰容量市场运营规则》</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rPr>
        <w:t>出台，是</w:t>
      </w:r>
      <w:r>
        <w:rPr>
          <w:rFonts w:ascii="Microsoft YaHei" w:hAnsi="Microsoft YaHei" w:eastAsia="Microsoft YaHei" w:cs="Microsoft YaHei"/>
          <w:sz w:val="21"/>
          <w:szCs w:val="21"/>
          <w:spacing w:val="-1"/>
        </w:rPr>
        <w:t>国内首个探索以容量为交</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易品种的新型辅助服务市场，参与的主体是燃煤发电机组</w:t>
      </w:r>
      <w:r>
        <w:rPr>
          <w:rFonts w:ascii="Microsoft YaHei" w:hAnsi="Microsoft YaHei" w:eastAsia="Microsoft YaHei" w:cs="Microsoft YaHei"/>
          <w:sz w:val="13"/>
          <w:szCs w:val="13"/>
          <w:position w:val="6"/>
        </w:rPr>
        <w:t>48</w:t>
      </w:r>
      <w:r>
        <w:rPr>
          <w:rFonts w:ascii="Microsoft YaHei" w:hAnsi="Microsoft YaHei" w:eastAsia="Microsoft YaHei" w:cs="Microsoft YaHei"/>
          <w:sz w:val="21"/>
          <w:szCs w:val="21"/>
        </w:rPr>
        <w:t>。山东省规定，在容量市场</w:t>
      </w:r>
      <w:r>
        <w:rPr>
          <w:rFonts w:ascii="Microsoft YaHei" w:hAnsi="Microsoft YaHei" w:eastAsia="Microsoft YaHei" w:cs="Microsoft YaHei"/>
          <w:sz w:val="21"/>
          <w:szCs w:val="21"/>
          <w:spacing w:val="1"/>
        </w:rPr>
        <w:t xml:space="preserve">    </w:t>
      </w:r>
      <w:r>
        <w:rPr>
          <w:rFonts w:ascii="Microsoft YaHei" w:hAnsi="Microsoft YaHei" w:eastAsia="Microsoft YaHei" w:cs="Microsoft YaHei"/>
          <w:sz w:val="21"/>
          <w:szCs w:val="21"/>
        </w:rPr>
        <w:t>运行前</w:t>
      </w:r>
      <w:r>
        <w:rPr>
          <w:rFonts w:ascii="Microsoft YaHei" w:hAnsi="Microsoft YaHei" w:eastAsia="Microsoft YaHei" w:cs="Microsoft YaHei"/>
          <w:sz w:val="13"/>
          <w:szCs w:val="13"/>
          <w:position w:val="6"/>
        </w:rPr>
        <w:t>49</w:t>
      </w:r>
      <w:r>
        <w:rPr>
          <w:rFonts w:ascii="Microsoft YaHei" w:hAnsi="Microsoft YaHei" w:eastAsia="Microsoft YaHei" w:cs="Microsoft YaHei"/>
          <w:sz w:val="21"/>
          <w:szCs w:val="21"/>
        </w:rPr>
        <w:t>，参与电力现货市场的燃煤发电机组容量补偿费用从用户侧收取，补偿参与现</w:t>
      </w:r>
      <w:r>
        <w:rPr>
          <w:rFonts w:ascii="Microsoft YaHei" w:hAnsi="Microsoft YaHei" w:eastAsia="Microsoft YaHei" w:cs="Microsoft YaHei"/>
          <w:sz w:val="21"/>
          <w:szCs w:val="21"/>
          <w:spacing w:val="1"/>
        </w:rPr>
        <w:t xml:space="preserve">    </w:t>
      </w:r>
      <w:r>
        <w:rPr>
          <w:rFonts w:ascii="Microsoft YaHei" w:hAnsi="Microsoft YaHei" w:eastAsia="Microsoft YaHei" w:cs="Microsoft YaHei"/>
          <w:sz w:val="21"/>
          <w:szCs w:val="21"/>
          <w:spacing w:val="3"/>
        </w:rPr>
        <w:t>货市场交易的燃煤发电机组固定成本</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w:t>
      </w:r>
      <w:r>
        <w:rPr>
          <w:rFonts w:ascii="Microsoft YaHei" w:hAnsi="Microsoft YaHei" w:eastAsia="Microsoft YaHei" w:cs="Microsoft YaHei"/>
          <w:sz w:val="21"/>
          <w:szCs w:val="21"/>
          <w:spacing w:val="-36"/>
        </w:rPr>
        <w:t xml:space="preserve"> </w:t>
      </w:r>
      <w:r>
        <w:rPr>
          <w:rFonts w:ascii="Microsoft YaHei" w:hAnsi="Microsoft YaHei" w:eastAsia="Microsoft YaHei" w:cs="Microsoft YaHei"/>
          <w:sz w:val="21"/>
          <w:szCs w:val="21"/>
          <w:spacing w:val="3"/>
        </w:rPr>
        <w:t>电价标准暂定为每千瓦时</w:t>
      </w:r>
      <w:r>
        <w:rPr>
          <w:rFonts w:ascii="Microsoft YaHei" w:hAnsi="Microsoft YaHei" w:eastAsia="Microsoft YaHei" w:cs="Microsoft YaHei"/>
          <w:sz w:val="21"/>
          <w:szCs w:val="21"/>
          <w:spacing w:val="2"/>
        </w:rPr>
        <w:t>0.0991元（含税）</w:t>
      </w:r>
      <w:r>
        <w:rPr>
          <w:rFonts w:ascii="Microsoft YaHei" w:hAnsi="Microsoft YaHei" w:eastAsia="Microsoft YaHei" w:cs="Microsoft YaHei"/>
          <w:sz w:val="13"/>
          <w:szCs w:val="13"/>
          <w:spacing w:val="2"/>
          <w:position w:val="6"/>
        </w:rPr>
        <w:t>50</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根据山东省电力调控中心的报告</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rPr>
        <w:t>，2022年3月，</w:t>
      </w:r>
      <w:r>
        <w:rPr>
          <w:rFonts w:ascii="Microsoft YaHei" w:hAnsi="Microsoft YaHei" w:eastAsia="Microsoft YaHei" w:cs="Microsoft YaHei"/>
          <w:sz w:val="21"/>
          <w:szCs w:val="21"/>
          <w:spacing w:val="-33"/>
        </w:rPr>
        <w:t xml:space="preserve"> </w:t>
      </w:r>
      <w:r>
        <w:rPr>
          <w:rFonts w:ascii="Microsoft YaHei" w:hAnsi="Microsoft YaHei" w:eastAsia="Microsoft YaHei" w:cs="Microsoft YaHei"/>
          <w:sz w:val="21"/>
          <w:szCs w:val="21"/>
          <w:spacing w:val="-1"/>
        </w:rPr>
        <w:t>四家储能电站容量补偿总费用为1,348</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万元（储能电站装机量均为100MW/200MWh</w:t>
      </w:r>
      <w:r>
        <w:rPr>
          <w:rFonts w:ascii="Microsoft YaHei" w:hAnsi="Microsoft YaHei" w:eastAsia="Microsoft YaHei" w:cs="Microsoft YaHei"/>
          <w:sz w:val="21"/>
          <w:szCs w:val="21"/>
        </w:rPr>
        <w:t>），</w:t>
      </w:r>
      <w:r>
        <w:rPr>
          <w:rFonts w:ascii="Microsoft YaHei" w:hAnsi="Microsoft YaHei" w:eastAsia="Microsoft YaHei" w:cs="Microsoft YaHei"/>
          <w:sz w:val="21"/>
          <w:szCs w:val="21"/>
          <w:spacing w:val="-40"/>
        </w:rPr>
        <w:t xml:space="preserve"> </w:t>
      </w:r>
      <w:r>
        <w:rPr>
          <w:rFonts w:ascii="Microsoft YaHei" w:hAnsi="Microsoft YaHei" w:eastAsia="Microsoft YaHei" w:cs="Microsoft YaHei"/>
          <w:sz w:val="21"/>
          <w:szCs w:val="21"/>
          <w:spacing w:val="-4"/>
        </w:rPr>
        <w:t>每年补偿费用约300元/kW</w:t>
      </w:r>
      <w:r>
        <w:rPr>
          <w:rFonts w:ascii="Microsoft YaHei" w:hAnsi="Microsoft YaHei" w:eastAsia="Microsoft YaHei" w:cs="Microsoft YaHei"/>
          <w:sz w:val="21"/>
          <w:szCs w:val="21"/>
          <w:spacing w:val="-27"/>
        </w:rPr>
        <w:t xml:space="preserve"> </w:t>
      </w:r>
      <w:r>
        <w:rPr>
          <w:rFonts w:ascii="Microsoft YaHei" w:hAnsi="Microsoft YaHei" w:eastAsia="Microsoft YaHei" w:cs="Microsoft YaHei"/>
          <w:sz w:val="21"/>
          <w:szCs w:val="21"/>
          <w:spacing w:val="-4"/>
        </w:rPr>
        <w:t>，收</w:t>
      </w:r>
      <w:r>
        <w:rPr>
          <w:rFonts w:ascii="Microsoft YaHei" w:hAnsi="Microsoft YaHei" w:eastAsia="Microsoft YaHei" w:cs="Microsoft YaHei"/>
          <w:sz w:val="21"/>
          <w:szCs w:val="21"/>
          <w:spacing w:val="-5"/>
        </w:rPr>
        <w:t>益相</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对可观。2022年9月</w:t>
      </w:r>
      <w:r>
        <w:rPr>
          <w:rFonts w:ascii="Microsoft YaHei" w:hAnsi="Microsoft YaHei" w:eastAsia="Microsoft YaHei" w:cs="Microsoft YaHei"/>
          <w:sz w:val="21"/>
          <w:szCs w:val="21"/>
          <w:spacing w:val="-12"/>
        </w:rPr>
        <w:t xml:space="preserve"> </w:t>
      </w:r>
      <w:r>
        <w:rPr>
          <w:rFonts w:ascii="Microsoft YaHei" w:hAnsi="Microsoft YaHei" w:eastAsia="Microsoft YaHei" w:cs="Microsoft YaHei"/>
          <w:sz w:val="21"/>
          <w:szCs w:val="21"/>
          <w:spacing w:val="3"/>
        </w:rPr>
        <w:t>，甘肃省能监办发布了《甘肃省电力辅助服务市场运营暂行规则》</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（征求意见稿）</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24"/>
        </w:rPr>
        <w:t xml:space="preserve"> </w:t>
      </w:r>
      <w:r>
        <w:rPr>
          <w:rFonts w:ascii="Microsoft YaHei" w:hAnsi="Microsoft YaHei" w:eastAsia="Microsoft YaHei" w:cs="Microsoft YaHei"/>
          <w:sz w:val="21"/>
          <w:szCs w:val="21"/>
          <w:spacing w:val="-2"/>
        </w:rPr>
        <w:t>，指出10MW/2h以上的储能电站可以独立身份参与调峰容量市场交</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易</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，为储能创造了调峰容量补偿这一新的收入增长点。</w:t>
      </w:r>
      <w:r>
        <w:rPr>
          <w:rFonts w:ascii="Microsoft YaHei" w:hAnsi="Microsoft YaHei" w:eastAsia="Microsoft YaHei" w:cs="Microsoft YaHei"/>
          <w:sz w:val="21"/>
          <w:szCs w:val="21"/>
          <w:spacing w:val="-41"/>
        </w:rPr>
        <w:t xml:space="preserve"> </w:t>
      </w:r>
      <w:r>
        <w:rPr>
          <w:rFonts w:ascii="Microsoft YaHei" w:hAnsi="Microsoft YaHei" w:eastAsia="Microsoft YaHei" w:cs="Microsoft YaHei"/>
          <w:sz w:val="21"/>
          <w:szCs w:val="21"/>
          <w:spacing w:val="3"/>
        </w:rPr>
        <w:t>甘肃在全国范围内首次为储能</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电站开放了调峰容量市场，储能参与调峰容量市场补偿标准上限为3</w:t>
      </w:r>
      <w:r>
        <w:rPr>
          <w:rFonts w:ascii="Microsoft YaHei" w:hAnsi="Microsoft YaHei" w:eastAsia="Microsoft YaHei" w:cs="Microsoft YaHei"/>
          <w:sz w:val="21"/>
          <w:szCs w:val="21"/>
          <w:spacing w:val="-3"/>
        </w:rPr>
        <w:t>00元/MW/日</w:t>
      </w:r>
      <w:r>
        <w:rPr>
          <w:rFonts w:ascii="Microsoft YaHei" w:hAnsi="Microsoft YaHei" w:eastAsia="Microsoft YaHei" w:cs="Microsoft YaHei"/>
          <w:sz w:val="13"/>
          <w:szCs w:val="13"/>
          <w:spacing w:val="-3"/>
          <w:position w:val="6"/>
        </w:rPr>
        <w:t>51</w:t>
      </w:r>
      <w:r>
        <w:rPr>
          <w:rFonts w:ascii="Microsoft YaHei" w:hAnsi="Microsoft YaHei" w:eastAsia="Microsoft YaHei" w:cs="Microsoft YaHei"/>
          <w:sz w:val="21"/>
          <w:szCs w:val="21"/>
          <w:spacing w:val="-3"/>
        </w:rPr>
        <w:t>。</w:t>
      </w:r>
    </w:p>
    <w:p>
      <w:pPr>
        <w:ind w:left="10" w:right="2998" w:hanging="1"/>
        <w:spacing w:before="251" w:line="219"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初期容量市场的探索从燃煤机组（火电）</w:t>
      </w:r>
      <w:r>
        <w:rPr>
          <w:rFonts w:ascii="Microsoft YaHei" w:hAnsi="Microsoft YaHei" w:eastAsia="Microsoft YaHei" w:cs="Microsoft YaHei"/>
          <w:sz w:val="21"/>
          <w:szCs w:val="21"/>
          <w:spacing w:val="-38"/>
        </w:rPr>
        <w:t xml:space="preserve"> </w:t>
      </w:r>
      <w:r>
        <w:rPr>
          <w:rFonts w:ascii="Microsoft YaHei" w:hAnsi="Microsoft YaHei" w:eastAsia="Microsoft YaHei" w:cs="Microsoft YaHei"/>
          <w:sz w:val="21"/>
          <w:szCs w:val="21"/>
          <w:spacing w:val="2"/>
        </w:rPr>
        <w:t>开始</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，通过煤电充分进行容量市场交易</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，为</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新能源发电资源进入容量市场和全面开放容量市场提供经验</w:t>
      </w:r>
      <w:r>
        <w:rPr>
          <w:rFonts w:ascii="Microsoft YaHei" w:hAnsi="Microsoft YaHei" w:eastAsia="Microsoft YaHei" w:cs="Microsoft YaHei"/>
          <w:sz w:val="13"/>
          <w:szCs w:val="13"/>
          <w:position w:val="6"/>
        </w:rPr>
        <w:t>52</w:t>
      </w:r>
      <w:r>
        <w:rPr>
          <w:rFonts w:ascii="Microsoft YaHei" w:hAnsi="Microsoft YaHei" w:eastAsia="Microsoft YaHei" w:cs="Microsoft YaHei"/>
          <w:sz w:val="21"/>
          <w:szCs w:val="21"/>
        </w:rPr>
        <w:t>。新能源发电机组进入容</w:t>
      </w:r>
      <w:r>
        <w:rPr>
          <w:rFonts w:ascii="Microsoft YaHei" w:hAnsi="Microsoft YaHei" w:eastAsia="Microsoft YaHei" w:cs="Microsoft YaHei"/>
          <w:sz w:val="21"/>
          <w:szCs w:val="21"/>
          <w:spacing w:val="6"/>
        </w:rPr>
        <w:t xml:space="preserve"> </w:t>
      </w:r>
      <w:r>
        <w:rPr>
          <w:rFonts w:ascii="Microsoft YaHei" w:hAnsi="Microsoft YaHei" w:eastAsia="Microsoft YaHei" w:cs="Microsoft YaHei"/>
          <w:sz w:val="21"/>
          <w:szCs w:val="21"/>
        </w:rPr>
        <w:t>量市场是大势所趋，可获得相对稳定的收益。</w:t>
      </w:r>
    </w:p>
    <w:p>
      <w:pPr>
        <w:pStyle w:val="BodyText"/>
        <w:spacing w:line="454" w:lineRule="auto"/>
        <w:rPr/>
      </w:pPr>
      <w:r/>
    </w:p>
    <w:p>
      <w:pPr>
        <w:ind w:left="540"/>
        <w:spacing w:before="116" w:line="184" w:lineRule="auto"/>
        <w:rPr>
          <w:rFonts w:ascii="Microsoft YaHei" w:hAnsi="Microsoft YaHei" w:eastAsia="Microsoft YaHei" w:cs="Microsoft YaHei"/>
          <w:sz w:val="27"/>
          <w:szCs w:val="27"/>
        </w:rPr>
      </w:pPr>
      <w:r>
        <w:pict>
          <v:shape id="_x0000_s982" style="position:absolute;margin-left:0pt;margin-top:2.25953pt;mso-position-vertical-relative:text;mso-position-horizontal-relative:text;width:22.1pt;height:21.4pt;z-index:252867584;" fillcolor="#00C0AE" filled="true" stroked="false" type="#_x0000_t202">
            <v:fill opacity="0.984314" on="true"/>
            <v:stroke on="false"/>
            <v:path/>
            <v:imagedata o:title=""/>
            <o:lock v:ext="edit" aspectratio="false"/>
            <v:textbox inset="0mm,0mm,0mm,0mm">
              <w:txbxContent>
                <w:p>
                  <w:pPr>
                    <w:ind w:left="115"/>
                    <w:spacing w:before="99" w:line="175" w:lineRule="auto"/>
                    <w:rPr>
                      <w:rFonts w:ascii="Microsoft YaHei" w:hAnsi="Microsoft YaHei" w:eastAsia="Microsoft YaHei" w:cs="Microsoft YaHei"/>
                      <w:sz w:val="27"/>
                      <w:szCs w:val="27"/>
                    </w:rPr>
                  </w:pPr>
                  <w:r>
                    <w:rPr>
                      <w:rFonts w:ascii="Microsoft YaHei" w:hAnsi="Microsoft YaHei" w:eastAsia="Microsoft YaHei" w:cs="Microsoft YaHei"/>
                      <w:sz w:val="27"/>
                      <w:szCs w:val="27"/>
                      <w:b/>
                      <w:bCs/>
                      <w:color w:val="FFFFFF"/>
                      <w:spacing w:val="1"/>
                    </w:rPr>
                    <w:t>3.</w:t>
                  </w:r>
                </w:p>
              </w:txbxContent>
            </v:textbox>
          </v:shape>
        </w:pict>
      </w:r>
      <w:r>
        <w:rPr>
          <w:rFonts w:ascii="Microsoft YaHei" w:hAnsi="Microsoft YaHei" w:eastAsia="Microsoft YaHei" w:cs="Microsoft YaHei"/>
          <w:sz w:val="27"/>
          <w:szCs w:val="27"/>
          <w:b/>
          <w:bCs/>
          <w:color w:val="00C0AE"/>
          <w:spacing w:val="6"/>
        </w:rPr>
        <w:t>容量租赁收入</w:t>
      </w:r>
    </w:p>
    <w:p>
      <w:pPr>
        <w:ind w:left="6" w:right="2996" w:firstLine="3"/>
        <w:spacing w:before="249" w:line="217"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容量租赁是指为风电、光伏等新能源电站提供一</w:t>
      </w:r>
      <w:r>
        <w:rPr>
          <w:rFonts w:ascii="Microsoft YaHei" w:hAnsi="Microsoft YaHei" w:eastAsia="Microsoft YaHei" w:cs="Microsoft YaHei"/>
          <w:sz w:val="21"/>
          <w:szCs w:val="21"/>
          <w:spacing w:val="3"/>
        </w:rPr>
        <w:t>定容量的租赁服务</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，独立储能电站获</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得租金</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，新能源电站可通过租赁获得配置储能容量</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2"/>
        </w:rPr>
        <w:t>，避免</w:t>
      </w:r>
      <w:r>
        <w:rPr>
          <w:rFonts w:ascii="Microsoft YaHei" w:hAnsi="Microsoft YaHei" w:eastAsia="Microsoft YaHei" w:cs="Microsoft YaHei"/>
          <w:sz w:val="21"/>
          <w:szCs w:val="21"/>
          <w:spacing w:val="1"/>
        </w:rPr>
        <w:t>自建储能增加资产投入。</w:t>
      </w:r>
      <w:r>
        <w:rPr>
          <w:rFonts w:ascii="Microsoft YaHei" w:hAnsi="Microsoft YaHei" w:eastAsia="Microsoft YaHei" w:cs="Microsoft YaHei"/>
          <w:sz w:val="21"/>
          <w:szCs w:val="21"/>
          <w:spacing w:val="-18"/>
        </w:rPr>
        <w:t xml:space="preserve"> </w:t>
      </w:r>
      <w:r>
        <w:rPr>
          <w:rFonts w:ascii="Microsoft YaHei" w:hAnsi="Microsoft YaHei" w:eastAsia="Microsoft YaHei" w:cs="Microsoft YaHei"/>
          <w:sz w:val="21"/>
          <w:szCs w:val="21"/>
          <w:spacing w:val="1"/>
        </w:rPr>
        <w:t>目</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前山东省允许新型储能示范项目容量在全省范围内租</w:t>
      </w:r>
      <w:r>
        <w:rPr>
          <w:rFonts w:ascii="Microsoft YaHei" w:hAnsi="Microsoft YaHei" w:eastAsia="Microsoft YaHei" w:cs="Microsoft YaHei"/>
          <w:sz w:val="21"/>
          <w:szCs w:val="21"/>
          <w:spacing w:val="3"/>
        </w:rPr>
        <w:t>赁使用</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，获得容量租赁收益。容</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量租赁费用是独立储能建设方稳定的收入来源。</w:t>
      </w:r>
      <w:r>
        <w:rPr>
          <w:rFonts w:ascii="Microsoft YaHei" w:hAnsi="Microsoft YaHei" w:eastAsia="Microsoft YaHei" w:cs="Microsoft YaHei"/>
          <w:sz w:val="21"/>
          <w:szCs w:val="21"/>
          <w:spacing w:val="-18"/>
        </w:rPr>
        <w:t xml:space="preserve"> </w:t>
      </w:r>
      <w:r>
        <w:rPr>
          <w:rFonts w:ascii="Microsoft YaHei" w:hAnsi="Microsoft YaHei" w:eastAsia="Microsoft YaHei" w:cs="Microsoft YaHei"/>
          <w:sz w:val="21"/>
          <w:szCs w:val="21"/>
          <w:spacing w:val="2"/>
        </w:rPr>
        <w:t>目前河南省出台了指导价格</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2"/>
        </w:rPr>
        <w:t>，建议河</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南省独立储能容量租赁价格为200元/kWh/年，新能源企业和共享储</w:t>
      </w:r>
      <w:r>
        <w:rPr>
          <w:rFonts w:ascii="Microsoft YaHei" w:hAnsi="Microsoft YaHei" w:eastAsia="Microsoft YaHei" w:cs="Microsoft YaHei"/>
          <w:sz w:val="21"/>
          <w:szCs w:val="21"/>
          <w:spacing w:val="-1"/>
        </w:rPr>
        <w:t>能项目企业根据当</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年租赁参考价签订10年以上长期租赁协议或合同。其他省份目前还未出台类似价格建</w:t>
      </w:r>
      <w:r>
        <w:rPr>
          <w:rFonts w:ascii="Microsoft YaHei" w:hAnsi="Microsoft YaHei" w:eastAsia="Microsoft YaHei" w:cs="Microsoft YaHei"/>
          <w:sz w:val="21"/>
          <w:szCs w:val="21"/>
          <w:spacing w:val="18"/>
        </w:rPr>
        <w:t xml:space="preserve"> </w:t>
      </w:r>
      <w:r>
        <w:rPr>
          <w:rFonts w:ascii="Microsoft YaHei" w:hAnsi="Microsoft YaHei" w:eastAsia="Microsoft YaHei" w:cs="Microsoft YaHei"/>
          <w:sz w:val="21"/>
          <w:szCs w:val="21"/>
          <w:spacing w:val="-2"/>
        </w:rPr>
        <w:t>议</w:t>
      </w:r>
      <w:r>
        <w:rPr>
          <w:rFonts w:ascii="Microsoft YaHei" w:hAnsi="Microsoft YaHei" w:eastAsia="Microsoft YaHei" w:cs="Microsoft YaHei"/>
          <w:sz w:val="13"/>
          <w:szCs w:val="13"/>
          <w:spacing w:val="-2"/>
          <w:position w:val="6"/>
        </w:rPr>
        <w:t>53</w:t>
      </w:r>
      <w:r>
        <w:rPr>
          <w:rFonts w:ascii="Microsoft YaHei" w:hAnsi="Microsoft YaHei" w:eastAsia="Microsoft YaHei" w:cs="Microsoft YaHei"/>
          <w:sz w:val="21"/>
          <w:szCs w:val="21"/>
          <w:spacing w:val="-2"/>
        </w:rPr>
        <w:t>。但是</w:t>
      </w:r>
      <w:r>
        <w:rPr>
          <w:rFonts w:ascii="Microsoft YaHei" w:hAnsi="Microsoft YaHei" w:eastAsia="Microsoft YaHei" w:cs="Microsoft YaHei"/>
          <w:sz w:val="21"/>
          <w:szCs w:val="21"/>
          <w:spacing w:val="-20"/>
        </w:rPr>
        <w:t xml:space="preserve"> </w:t>
      </w:r>
      <w:r>
        <w:rPr>
          <w:rFonts w:ascii="Microsoft YaHei" w:hAnsi="Microsoft YaHei" w:eastAsia="Microsoft YaHei" w:cs="Microsoft YaHei"/>
          <w:sz w:val="21"/>
          <w:szCs w:val="21"/>
          <w:spacing w:val="-2"/>
        </w:rPr>
        <w:t>，在实际运行中</w:t>
      </w:r>
      <w:r>
        <w:rPr>
          <w:rFonts w:ascii="Microsoft YaHei" w:hAnsi="Microsoft YaHei" w:eastAsia="Microsoft YaHei" w:cs="Microsoft YaHei"/>
          <w:sz w:val="21"/>
          <w:szCs w:val="21"/>
          <w:spacing w:val="-33"/>
        </w:rPr>
        <w:t xml:space="preserve"> </w:t>
      </w:r>
      <w:r>
        <w:rPr>
          <w:rFonts w:ascii="Microsoft YaHei" w:hAnsi="Microsoft YaHei" w:eastAsia="Microsoft YaHei" w:cs="Microsoft YaHei"/>
          <w:sz w:val="21"/>
          <w:szCs w:val="21"/>
          <w:spacing w:val="-2"/>
        </w:rPr>
        <w:t>，租赁费用为250—350元/kW/年（如山东、</w:t>
      </w:r>
      <w:r>
        <w:rPr>
          <w:rFonts w:ascii="Microsoft YaHei" w:hAnsi="Microsoft YaHei" w:eastAsia="Microsoft YaHei" w:cs="Microsoft YaHei"/>
          <w:sz w:val="21"/>
          <w:szCs w:val="21"/>
          <w:spacing w:val="-41"/>
        </w:rPr>
        <w:t xml:space="preserve"> </w:t>
      </w:r>
      <w:r>
        <w:rPr>
          <w:rFonts w:ascii="Microsoft YaHei" w:hAnsi="Microsoft YaHei" w:eastAsia="Microsoft YaHei" w:cs="Microsoft YaHei"/>
          <w:sz w:val="21"/>
          <w:szCs w:val="21"/>
          <w:spacing w:val="-2"/>
        </w:rPr>
        <w:t>陕西、湖南等</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地</w:t>
      </w:r>
      <w:r>
        <w:rPr>
          <w:rFonts w:ascii="Microsoft YaHei" w:hAnsi="Microsoft YaHei" w:eastAsia="Microsoft YaHei" w:cs="Microsoft YaHei"/>
          <w:sz w:val="21"/>
          <w:szCs w:val="21"/>
          <w:spacing w:val="-8"/>
        </w:rPr>
        <w:t>）</w:t>
      </w:r>
      <w:r>
        <w:rPr>
          <w:rFonts w:ascii="Microsoft YaHei" w:hAnsi="Microsoft YaHei" w:eastAsia="Microsoft YaHei" w:cs="Microsoft YaHei"/>
          <w:sz w:val="21"/>
          <w:szCs w:val="21"/>
          <w:spacing w:val="-19"/>
        </w:rPr>
        <w:t xml:space="preserve"> </w:t>
      </w:r>
      <w:r>
        <w:rPr>
          <w:rFonts w:ascii="Microsoft YaHei" w:hAnsi="Microsoft YaHei" w:eastAsia="Microsoft YaHei" w:cs="Microsoft YaHei"/>
          <w:sz w:val="21"/>
          <w:szCs w:val="21"/>
          <w:spacing w:val="-8"/>
        </w:rPr>
        <w:t>，</w:t>
      </w:r>
      <w:r>
        <w:rPr>
          <w:rFonts w:ascii="Microsoft YaHei" w:hAnsi="Microsoft YaHei" w:eastAsia="Microsoft YaHei" w:cs="Microsoft YaHei"/>
          <w:sz w:val="21"/>
          <w:szCs w:val="21"/>
          <w:spacing w:val="-1"/>
        </w:rPr>
        <w:t>一座100MW的独立储能电站</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，容量租赁年</w:t>
      </w:r>
      <w:r>
        <w:rPr>
          <w:rFonts w:ascii="Microsoft YaHei" w:hAnsi="Microsoft YaHei" w:eastAsia="Microsoft YaHei" w:cs="Microsoft YaHei"/>
          <w:sz w:val="21"/>
          <w:szCs w:val="21"/>
          <w:spacing w:val="-2"/>
        </w:rPr>
        <w:t>收入可达3,000万元。</w:t>
      </w:r>
      <w:r>
        <w:rPr>
          <w:rFonts w:ascii="Microsoft YaHei" w:hAnsi="Microsoft YaHei" w:eastAsia="Microsoft YaHei" w:cs="Microsoft YaHei"/>
          <w:sz w:val="21"/>
          <w:szCs w:val="21"/>
          <w:spacing w:val="-17"/>
        </w:rPr>
        <w:t xml:space="preserve"> </w:t>
      </w:r>
      <w:r>
        <w:rPr>
          <w:rFonts w:ascii="Microsoft YaHei" w:hAnsi="Microsoft YaHei" w:eastAsia="Microsoft YaHei" w:cs="Microsoft YaHei"/>
          <w:sz w:val="21"/>
          <w:szCs w:val="21"/>
          <w:spacing w:val="-2"/>
        </w:rPr>
        <w:t>目前</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，储能电</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站容量租赁刚起步</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，主要用来满足新能源电站配储要求</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，通常在新能源发</w:t>
      </w:r>
      <w:r>
        <w:rPr>
          <w:rFonts w:ascii="Microsoft YaHei" w:hAnsi="Microsoft YaHei" w:eastAsia="Microsoft YaHei" w:cs="Microsoft YaHei"/>
          <w:sz w:val="21"/>
          <w:szCs w:val="21"/>
          <w:spacing w:val="2"/>
        </w:rPr>
        <w:t>电集团内部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消化。但是随着新能源装机量的增加和储能收益渠道的</w:t>
      </w:r>
      <w:r>
        <w:rPr>
          <w:rFonts w:ascii="Microsoft YaHei" w:hAnsi="Microsoft YaHei" w:eastAsia="Microsoft YaHei" w:cs="Microsoft YaHei"/>
          <w:sz w:val="21"/>
          <w:szCs w:val="21"/>
          <w:spacing w:val="3"/>
        </w:rPr>
        <w:t>完善</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，对容量租赁的需求会进</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6"/>
        </w:rPr>
        <w:t>一步增加。</w:t>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ict>
          <v:shape id="_x0000_s984" style="position:absolute;margin-left:0.25pt;margin-top:4.53838pt;mso-position-vertical-relative:text;mso-position-horizontal-relative:text;width:81.3pt;height:0.5pt;z-index:252869632;" filled="false" strokecolor="#000000" strokeweight="0.50pt" coordsize="1626,10" coordorigin="0,0" path="m0,5l1625,5e">
            <v:stroke joinstyle="miter"/>
          </v:shape>
        </w:pict>
      </w:r>
      <w:r/>
    </w:p>
    <w:p>
      <w:pPr>
        <w:ind w:left="3"/>
        <w:spacing w:before="56" w:line="189"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8"/>
          <w:position w:val="4"/>
        </w:rPr>
        <w:t>48</w:t>
      </w:r>
      <w:r>
        <w:rPr>
          <w:rFonts w:ascii="Microsoft YaHei" w:hAnsi="Microsoft YaHei" w:eastAsia="Microsoft YaHei" w:cs="Microsoft YaHei"/>
          <w:sz w:val="9"/>
          <w:szCs w:val="9"/>
          <w:spacing w:val="15"/>
          <w:w w:val="103"/>
          <w:position w:val="4"/>
        </w:rPr>
        <w:t xml:space="preserve"> </w:t>
      </w:r>
      <w:r>
        <w:rPr>
          <w:rFonts w:ascii="Microsoft YaHei" w:hAnsi="Microsoft YaHei" w:eastAsia="Microsoft YaHei" w:cs="Microsoft YaHei"/>
          <w:sz w:val="13"/>
          <w:szCs w:val="13"/>
          <w:spacing w:val="8"/>
        </w:rPr>
        <w:t>调峰容量是在当前调峰辅助服务市场仅为调峰效果付费的基础上，探索为调峰能力付</w:t>
      </w:r>
      <w:r>
        <w:rPr>
          <w:rFonts w:ascii="Microsoft YaHei" w:hAnsi="Microsoft YaHei" w:eastAsia="Microsoft YaHei" w:cs="Microsoft YaHei"/>
          <w:sz w:val="13"/>
          <w:szCs w:val="13"/>
          <w:spacing w:val="7"/>
        </w:rPr>
        <w:t>费。</w:t>
      </w:r>
    </w:p>
    <w:p>
      <w:pPr>
        <w:ind w:left="3"/>
        <w:spacing w:before="55" w:line="181"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9"/>
          <w:position w:val="4"/>
        </w:rPr>
        <w:t>49</w:t>
      </w:r>
      <w:r>
        <w:rPr>
          <w:rFonts w:ascii="Microsoft YaHei" w:hAnsi="Microsoft YaHei" w:eastAsia="Microsoft YaHei" w:cs="Microsoft YaHei"/>
          <w:sz w:val="9"/>
          <w:szCs w:val="9"/>
          <w:spacing w:val="16"/>
          <w:w w:val="101"/>
          <w:position w:val="4"/>
        </w:rPr>
        <w:t xml:space="preserve"> </w:t>
      </w:r>
      <w:r>
        <w:rPr>
          <w:rFonts w:ascii="Microsoft YaHei" w:hAnsi="Microsoft YaHei" w:eastAsia="Microsoft YaHei" w:cs="Microsoft YaHei"/>
          <w:sz w:val="13"/>
          <w:szCs w:val="13"/>
          <w:spacing w:val="9"/>
        </w:rPr>
        <w:t>容量市场旨在保障电力系统长期容量的充裕性，我国尚未建立完善的发电容量充裕度保障机制。从国际经验来看，保障市场化</w:t>
      </w:r>
    </w:p>
    <w:p>
      <w:pPr>
        <w:ind w:left="6" w:right="2916"/>
        <w:spacing w:before="1" w:line="184" w:lineRule="auto"/>
        <w:rPr>
          <w:rFonts w:ascii="Microsoft YaHei" w:hAnsi="Microsoft YaHei" w:eastAsia="Microsoft YaHei" w:cs="Microsoft YaHei"/>
          <w:sz w:val="13"/>
          <w:szCs w:val="13"/>
        </w:rPr>
      </w:pPr>
      <w:r>
        <w:rPr>
          <w:rFonts w:ascii="Microsoft YaHei" w:hAnsi="Microsoft YaHei" w:eastAsia="Microsoft YaHei" w:cs="Microsoft YaHei"/>
          <w:sz w:val="13"/>
          <w:szCs w:val="13"/>
          <w:spacing w:val="9"/>
        </w:rPr>
        <w:t>环境下发电容量充裕性主要有4种机制：稀缺定价机制、战略备用机制、容量成本补偿机制、容量市场机制。根据国家电网的研究，</w:t>
      </w:r>
      <w:r>
        <w:rPr>
          <w:rFonts w:ascii="Microsoft YaHei" w:hAnsi="Microsoft YaHei" w:eastAsia="Microsoft YaHei" w:cs="Microsoft YaHei"/>
          <w:sz w:val="13"/>
          <w:szCs w:val="13"/>
          <w:spacing w:val="11"/>
        </w:rPr>
        <w:t xml:space="preserve"> </w:t>
      </w:r>
      <w:r>
        <w:rPr>
          <w:rFonts w:ascii="Microsoft YaHei" w:hAnsi="Microsoft YaHei" w:eastAsia="Microsoft YaHei" w:cs="Microsoft YaHei"/>
          <w:sz w:val="13"/>
          <w:szCs w:val="13"/>
          <w:spacing w:val="9"/>
        </w:rPr>
        <w:t>初期，我国宜采用容量补偿机制，待电力现货市场和金融市场</w:t>
      </w:r>
      <w:r>
        <w:rPr>
          <w:rFonts w:ascii="Microsoft YaHei" w:hAnsi="Microsoft YaHei" w:eastAsia="Microsoft YaHei" w:cs="Microsoft YaHei"/>
          <w:sz w:val="13"/>
          <w:szCs w:val="13"/>
          <w:spacing w:val="8"/>
        </w:rPr>
        <w:t>相对完善后应尽快建立容量市场。</w:t>
      </w:r>
    </w:p>
    <w:p>
      <w:pPr>
        <w:ind w:left="14" w:right="4154" w:hanging="10"/>
        <w:spacing w:before="49" w:line="188"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6"/>
          <w:position w:val="4"/>
        </w:rPr>
        <w:t>50</w:t>
      </w:r>
      <w:r>
        <w:rPr>
          <w:rFonts w:ascii="Microsoft YaHei" w:hAnsi="Microsoft YaHei" w:eastAsia="Microsoft YaHei" w:cs="Microsoft YaHei"/>
          <w:sz w:val="9"/>
          <w:szCs w:val="9"/>
          <w:spacing w:val="24"/>
          <w:w w:val="102"/>
          <w:position w:val="4"/>
        </w:rPr>
        <w:t xml:space="preserve"> </w:t>
      </w:r>
      <w:r>
        <w:rPr>
          <w:rFonts w:ascii="Microsoft YaHei" w:hAnsi="Microsoft YaHei" w:eastAsia="Microsoft YaHei" w:cs="Microsoft YaHei"/>
          <w:sz w:val="13"/>
          <w:szCs w:val="13"/>
          <w:spacing w:val="6"/>
        </w:rPr>
        <w:t>山东省发展和改革委员会关于电力现货市场容量补偿电价有关事项的通知，山东省政府网，</w:t>
      </w:r>
      <w:r>
        <w:rPr>
          <w:rFonts w:ascii="Microsoft YaHei" w:hAnsi="Microsoft YaHei" w:eastAsia="Microsoft YaHei" w:cs="Microsoft YaHei"/>
          <w:sz w:val="13"/>
          <w:szCs w:val="13"/>
          <w:spacing w:val="17"/>
          <w:w w:val="102"/>
        </w:rPr>
        <w:t xml:space="preserve"> </w:t>
      </w:r>
      <w:r>
        <w:rPr>
          <w:rFonts w:ascii="Microsoft YaHei" w:hAnsi="Microsoft YaHei" w:eastAsia="Microsoft YaHei" w:cs="Microsoft YaHei"/>
          <w:sz w:val="13"/>
          <w:szCs w:val="13"/>
          <w:spacing w:val="6"/>
        </w:rPr>
        <w:t>2022年4月22日，</w:t>
      </w:r>
      <w:r>
        <w:rPr>
          <w:rFonts w:ascii="Microsoft YaHei" w:hAnsi="Microsoft YaHei" w:eastAsia="Microsoft YaHei" w:cs="Microsoft YaHei"/>
          <w:sz w:val="13"/>
          <w:szCs w:val="13"/>
        </w:rPr>
        <w:t xml:space="preserve"> </w:t>
      </w:r>
      <w:hyperlink w:history="true" r:id="rId254">
        <w:r>
          <w:rPr>
            <w:rFonts w:ascii="Microsoft YaHei" w:hAnsi="Microsoft YaHei" w:eastAsia="Microsoft YaHei" w:cs="Microsoft YaHei"/>
            <w:sz w:val="13"/>
            <w:szCs w:val="13"/>
          </w:rPr>
          <w:t>http</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www</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shandong</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gov</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cn</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art</w:t>
        </w:r>
        <w:r>
          <w:rPr>
            <w:rFonts w:ascii="Microsoft YaHei" w:hAnsi="Microsoft YaHei" w:eastAsia="Microsoft YaHei" w:cs="Microsoft YaHei"/>
            <w:sz w:val="13"/>
            <w:szCs w:val="13"/>
            <w:spacing w:val="6"/>
          </w:rPr>
          <w:t>/2022/4/22/</w:t>
        </w:r>
        <w:r>
          <w:rPr>
            <w:rFonts w:ascii="Microsoft YaHei" w:hAnsi="Microsoft YaHei" w:eastAsia="Microsoft YaHei" w:cs="Microsoft YaHei"/>
            <w:sz w:val="13"/>
            <w:szCs w:val="13"/>
          </w:rPr>
          <w:t>art</w:t>
        </w:r>
      </w:hyperlink>
      <w:r>
        <w:rPr>
          <w:rFonts w:ascii="Microsoft YaHei" w:hAnsi="Microsoft YaHei" w:eastAsia="Microsoft YaHei" w:cs="Microsoft YaHei"/>
          <w:sz w:val="13"/>
          <w:szCs w:val="13"/>
          <w:spacing w:val="6"/>
        </w:rPr>
        <w:t>_100623_40428.</w:t>
      </w:r>
      <w:r>
        <w:rPr>
          <w:rFonts w:ascii="Microsoft YaHei" w:hAnsi="Microsoft YaHei" w:eastAsia="Microsoft YaHei" w:cs="Microsoft YaHei"/>
          <w:sz w:val="13"/>
          <w:szCs w:val="13"/>
        </w:rPr>
        <w:t>html</w:t>
      </w:r>
    </w:p>
    <w:p>
      <w:pPr>
        <w:ind w:left="4"/>
        <w:spacing w:before="50" w:line="198"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5"/>
          <w:position w:val="4"/>
        </w:rPr>
        <w:t>51</w:t>
      </w:r>
      <w:r>
        <w:rPr>
          <w:rFonts w:ascii="Microsoft YaHei" w:hAnsi="Microsoft YaHei" w:eastAsia="Microsoft YaHei" w:cs="Microsoft YaHei"/>
          <w:sz w:val="13"/>
          <w:szCs w:val="13"/>
          <w:spacing w:val="5"/>
        </w:rPr>
        <w:t>甘肃能源监管办，</w:t>
      </w:r>
      <w:r>
        <w:rPr>
          <w:rFonts w:ascii="Microsoft YaHei" w:hAnsi="Microsoft YaHei" w:eastAsia="Microsoft YaHei" w:cs="Microsoft YaHei"/>
          <w:sz w:val="13"/>
          <w:szCs w:val="13"/>
          <w:spacing w:val="13"/>
          <w:w w:val="101"/>
        </w:rPr>
        <w:t xml:space="preserve">  </w:t>
      </w:r>
      <w:r>
        <w:rPr>
          <w:rFonts w:ascii="Microsoft YaHei" w:hAnsi="Microsoft YaHei" w:eastAsia="Microsoft YaHei" w:cs="Microsoft YaHei"/>
          <w:sz w:val="13"/>
          <w:szCs w:val="13"/>
          <w:spacing w:val="5"/>
        </w:rPr>
        <w:t>《甘肃省电力辅助服务市场运营暂行规则(</w:t>
      </w:r>
      <w:r>
        <w:rPr>
          <w:rFonts w:ascii="Microsoft YaHei" w:hAnsi="Microsoft YaHei" w:eastAsia="Microsoft YaHei" w:cs="Microsoft YaHei"/>
          <w:sz w:val="13"/>
          <w:szCs w:val="13"/>
          <w:spacing w:val="4"/>
        </w:rPr>
        <w:t>征求意见稿)》</w:t>
      </w:r>
      <w:r>
        <w:rPr>
          <w:rFonts w:ascii="Microsoft YaHei" w:hAnsi="Microsoft YaHei" w:eastAsia="Microsoft YaHei" w:cs="Microsoft YaHei"/>
          <w:sz w:val="13"/>
          <w:szCs w:val="13"/>
          <w:spacing w:val="-9"/>
        </w:rPr>
        <w:t xml:space="preserve"> </w:t>
      </w:r>
      <w:r>
        <w:rPr>
          <w:rFonts w:ascii="Microsoft YaHei" w:hAnsi="Microsoft YaHei" w:eastAsia="Microsoft YaHei" w:cs="Microsoft YaHei"/>
          <w:sz w:val="13"/>
          <w:szCs w:val="13"/>
          <w:spacing w:val="4"/>
        </w:rPr>
        <w:t>，2022年9月21日</w:t>
      </w:r>
    </w:p>
    <w:p>
      <w:pPr>
        <w:ind w:left="4"/>
        <w:spacing w:before="42" w:line="198"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4"/>
          <w:position w:val="4"/>
        </w:rPr>
        <w:t>52</w:t>
      </w:r>
      <w:r>
        <w:rPr>
          <w:rFonts w:ascii="Microsoft YaHei" w:hAnsi="Microsoft YaHei" w:eastAsia="Microsoft YaHei" w:cs="Microsoft YaHei"/>
          <w:sz w:val="9"/>
          <w:szCs w:val="9"/>
          <w:spacing w:val="24"/>
          <w:w w:val="103"/>
          <w:position w:val="4"/>
        </w:rPr>
        <w:t xml:space="preserve"> </w:t>
      </w:r>
      <w:r>
        <w:rPr>
          <w:rFonts w:ascii="Microsoft YaHei" w:hAnsi="Microsoft YaHei" w:eastAsia="Microsoft YaHei" w:cs="Microsoft YaHei"/>
          <w:sz w:val="13"/>
          <w:szCs w:val="13"/>
          <w:spacing w:val="4"/>
        </w:rPr>
        <w:t>孙启星等，适应中国现行电力市场环境下的容量市场机制设计，</w:t>
      </w:r>
      <w:r>
        <w:rPr>
          <w:rFonts w:ascii="Microsoft YaHei" w:hAnsi="Microsoft YaHei" w:eastAsia="Microsoft YaHei" w:cs="Microsoft YaHei"/>
          <w:sz w:val="13"/>
          <w:szCs w:val="13"/>
          <w:spacing w:val="13"/>
        </w:rPr>
        <w:t xml:space="preserve">  </w:t>
      </w:r>
      <w:r>
        <w:rPr>
          <w:rFonts w:ascii="Microsoft YaHei" w:hAnsi="Microsoft YaHei" w:eastAsia="Microsoft YaHei" w:cs="Microsoft YaHei"/>
          <w:sz w:val="13"/>
          <w:szCs w:val="13"/>
          <w:spacing w:val="4"/>
        </w:rPr>
        <w:t>《中国电力》</w:t>
      </w:r>
      <w:r>
        <w:rPr>
          <w:rFonts w:ascii="Microsoft YaHei" w:hAnsi="Microsoft YaHei" w:eastAsia="Microsoft YaHei" w:cs="Microsoft YaHei"/>
          <w:sz w:val="13"/>
          <w:szCs w:val="13"/>
          <w:spacing w:val="-9"/>
        </w:rPr>
        <w:t xml:space="preserve"> </w:t>
      </w:r>
      <w:r>
        <w:rPr>
          <w:rFonts w:ascii="Microsoft YaHei" w:hAnsi="Microsoft YaHei" w:eastAsia="Microsoft YaHei" w:cs="Microsoft YaHei"/>
          <w:sz w:val="13"/>
          <w:szCs w:val="13"/>
          <w:spacing w:val="4"/>
        </w:rPr>
        <w:t>，2022,</w:t>
      </w:r>
      <w:r>
        <w:rPr>
          <w:rFonts w:ascii="Microsoft YaHei" w:hAnsi="Microsoft YaHei" w:eastAsia="Microsoft YaHei" w:cs="Microsoft YaHei"/>
          <w:sz w:val="13"/>
          <w:szCs w:val="13"/>
          <w:spacing w:val="23"/>
          <w:w w:val="101"/>
        </w:rPr>
        <w:t xml:space="preserve"> </w:t>
      </w:r>
      <w:r>
        <w:rPr>
          <w:rFonts w:ascii="Microsoft YaHei" w:hAnsi="Microsoft YaHei" w:eastAsia="Microsoft YaHei" w:cs="Microsoft YaHei"/>
          <w:sz w:val="13"/>
          <w:szCs w:val="13"/>
          <w:spacing w:val="4"/>
        </w:rPr>
        <w:t>55(8)</w:t>
      </w:r>
    </w:p>
    <w:p>
      <w:pPr>
        <w:ind w:left="14" w:right="5973" w:hanging="10"/>
        <w:spacing w:before="45" w:line="187"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4"/>
          <w:position w:val="4"/>
        </w:rPr>
        <w:t>53</w:t>
      </w:r>
      <w:r>
        <w:rPr>
          <w:rFonts w:ascii="Microsoft YaHei" w:hAnsi="Microsoft YaHei" w:eastAsia="Microsoft YaHei" w:cs="Microsoft YaHei"/>
          <w:sz w:val="9"/>
          <w:szCs w:val="9"/>
          <w:spacing w:val="24"/>
          <w:w w:val="101"/>
          <w:position w:val="4"/>
        </w:rPr>
        <w:t xml:space="preserve"> </w:t>
      </w:r>
      <w:r>
        <w:rPr>
          <w:rFonts w:ascii="Microsoft YaHei" w:hAnsi="Microsoft YaHei" w:eastAsia="Microsoft YaHei" w:cs="Microsoft YaHei"/>
          <w:sz w:val="13"/>
          <w:szCs w:val="13"/>
          <w:spacing w:val="4"/>
        </w:rPr>
        <w:t>《河南省“十四五”新型储能实施方案》正式发布，腾讯网，  2022年8月23日，</w:t>
      </w:r>
      <w:r>
        <w:rPr>
          <w:rFonts w:ascii="Microsoft YaHei" w:hAnsi="Microsoft YaHei" w:eastAsia="Microsoft YaHei" w:cs="Microsoft YaHei"/>
          <w:sz w:val="13"/>
          <w:szCs w:val="13"/>
        </w:rPr>
        <w:t xml:space="preserve"> </w:t>
      </w:r>
      <w:hyperlink w:history="true" r:id="rId255">
        <w:r>
          <w:rPr>
            <w:rFonts w:ascii="Microsoft YaHei" w:hAnsi="Microsoft YaHei" w:eastAsia="Microsoft YaHei" w:cs="Microsoft YaHei"/>
            <w:sz w:val="13"/>
            <w:szCs w:val="13"/>
          </w:rPr>
          <w:t>https</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www</w:t>
        </w:r>
        <w:r>
          <w:rPr>
            <w:rFonts w:ascii="Microsoft YaHei" w:hAnsi="Microsoft YaHei" w:eastAsia="Microsoft YaHei" w:cs="Microsoft YaHei"/>
            <w:sz w:val="13"/>
            <w:szCs w:val="13"/>
            <w:spacing w:val="6"/>
          </w:rPr>
          <w:t>.163.</w:t>
        </w:r>
        <w:r>
          <w:rPr>
            <w:rFonts w:ascii="Microsoft YaHei" w:hAnsi="Microsoft YaHei" w:eastAsia="Microsoft YaHei" w:cs="Microsoft YaHei"/>
            <w:sz w:val="13"/>
            <w:szCs w:val="13"/>
          </w:rPr>
          <w:t>com</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dy</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article</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HFEMPOU</w:t>
        </w:r>
        <w:r>
          <w:rPr>
            <w:rFonts w:ascii="Microsoft YaHei" w:hAnsi="Microsoft YaHei" w:eastAsia="Microsoft YaHei" w:cs="Microsoft YaHei"/>
            <w:sz w:val="13"/>
            <w:szCs w:val="13"/>
            <w:spacing w:val="6"/>
          </w:rPr>
          <w:t>30519X2P5.</w:t>
        </w:r>
        <w:r>
          <w:rPr>
            <w:rFonts w:ascii="Microsoft YaHei" w:hAnsi="Microsoft YaHei" w:eastAsia="Microsoft YaHei" w:cs="Microsoft YaHei"/>
            <w:sz w:val="13"/>
            <w:szCs w:val="13"/>
          </w:rPr>
          <w:t>html</w:t>
        </w:r>
      </w:hyperlink>
    </w:p>
    <w:p>
      <w:pPr>
        <w:ind w:left="505" w:right="1241" w:hanging="411"/>
        <w:spacing w:before="218"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1300" w:header="0" w:footer="0" w:gutter="0"/>
        </w:sectPr>
        <w:rPr>
          <w:rFonts w:ascii="Microsoft YaHei" w:hAnsi="Microsoft YaHei" w:eastAsia="Microsoft YaHei" w:cs="Microsoft YaHei"/>
          <w:sz w:val="11"/>
          <w:szCs w:val="11"/>
        </w:rPr>
      </w:pPr>
    </w:p>
    <w:p>
      <w:pPr>
        <w:spacing w:before="314" w:line="193" w:lineRule="auto"/>
        <w:rPr>
          <w:rFonts w:ascii="Microsoft YaHei" w:hAnsi="Microsoft YaHei" w:eastAsia="Microsoft YaHei" w:cs="Microsoft YaHei"/>
          <w:sz w:val="18"/>
          <w:szCs w:val="18"/>
        </w:rPr>
      </w:pPr>
      <w:r>
        <w:pict>
          <v:rect id="_x0000_s986" style="position:absolute;margin-left:611.99pt;margin-top:0pt;mso-position-vertical-relative:page;mso-position-horizontal-relative:page;width:0.25pt;height:859pt;z-index:252906496;" o:allowincell="f" fillcolor="#000000" filled="true" stroked="false"/>
        </w:pict>
      </w:r>
      <w:r>
        <w:rPr>
          <w:rFonts w:ascii="Microsoft YaHei" w:hAnsi="Microsoft YaHei" w:eastAsia="Microsoft YaHei" w:cs="Microsoft YaHei"/>
          <w:sz w:val="18"/>
          <w:szCs w:val="18"/>
          <w:b/>
          <w:bCs/>
          <w:color w:val="A8A8A8"/>
          <w:spacing w:val="-1"/>
        </w:rPr>
        <w:t>49</w:t>
      </w:r>
      <w:r>
        <w:rPr>
          <w:rFonts w:ascii="Microsoft YaHei" w:hAnsi="Microsoft YaHei" w:eastAsia="Microsoft YaHei" w:cs="Microsoft YaHei"/>
          <w:sz w:val="18"/>
          <w:szCs w:val="18"/>
          <w:b/>
          <w:bCs/>
          <w:color w:val="A8A8A8"/>
          <w:spacing w:val="15"/>
          <w:w w:val="101"/>
        </w:rPr>
        <w:t xml:space="preserve">  </w:t>
      </w:r>
      <w:r>
        <w:rPr>
          <w:sz w:val="18"/>
          <w:szCs w:val="18"/>
          <w:position w:val="-4"/>
        </w:rPr>
        <w:drawing>
          <wp:inline distT="0" distB="0" distL="0" distR="0">
            <wp:extent cx="6350" cy="130175"/>
            <wp:effectExtent l="0" t="0" r="0" b="0"/>
            <wp:docPr id="536" name="IM 536"/>
            <wp:cNvGraphicFramePr/>
            <a:graphic>
              <a:graphicData uri="http://schemas.openxmlformats.org/drawingml/2006/picture">
                <pic:pic>
                  <pic:nvPicPr>
                    <pic:cNvPr id="536" name="IM 536"/>
                    <pic:cNvPicPr/>
                  </pic:nvPicPr>
                  <pic:blipFill>
                    <a:blip r:embed="rId256"/>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A8A8A8"/>
          <w:spacing w:val="26"/>
          <w:w w:val="101"/>
        </w:rPr>
        <w:t xml:space="preserve">  </w:t>
      </w:r>
      <w:r>
        <w:rPr>
          <w:rFonts w:ascii="Microsoft YaHei" w:hAnsi="Microsoft YaHei" w:eastAsia="Microsoft YaHei" w:cs="Microsoft YaHei"/>
          <w:sz w:val="18"/>
          <w:szCs w:val="18"/>
          <w:color w:val="A8A8A8"/>
          <w:spacing w:val="-1"/>
        </w:rPr>
        <w:t>新型储能助力能源转型</w:t>
      </w: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ict>
          <v:rect id="_x0000_s988" style="position:absolute;margin-left:16.9511pt;margin-top:14.8226pt;mso-position-vertical-relative:text;mso-position-horizontal-relative:text;width:22.1pt;height:21.4pt;z-index:252905472;" fillcolor="#00C0AE" filled="true" stroked="false"/>
        </w:pict>
      </w:r>
      <w:r/>
    </w:p>
    <w:p>
      <w:pPr>
        <w:ind w:left="878"/>
        <w:spacing w:before="116" w:line="182" w:lineRule="auto"/>
        <w:rPr>
          <w:rFonts w:ascii="Microsoft YaHei" w:hAnsi="Microsoft YaHei" w:eastAsia="Microsoft YaHei" w:cs="Microsoft YaHei"/>
          <w:sz w:val="27"/>
          <w:szCs w:val="27"/>
        </w:rPr>
      </w:pPr>
      <w:r>
        <w:pict>
          <v:shape id="_x0000_s990" style="position:absolute;margin-left:21.6602pt;margin-top:6.4105pt;mso-position-vertical-relative:text;mso-position-horizontal-relative:text;width:14.4pt;height:18.7pt;z-index:252907520;" filled="false" stroked="false" type="#_x0000_t202">
            <v:fill on="false"/>
            <v:stroke on="false"/>
            <v:path/>
            <v:imagedata o:title=""/>
            <o:lock v:ext="edit" aspectratio="false"/>
            <v:textbox inset="0mm,0mm,0mm,0mm">
              <w:txbxContent>
                <w:p>
                  <w:pPr>
                    <w:ind w:left="20"/>
                    <w:spacing w:before="19" w:line="173" w:lineRule="auto"/>
                    <w:outlineLvl w:val="0"/>
                    <w:rPr>
                      <w:rFonts w:ascii="Microsoft YaHei" w:hAnsi="Microsoft YaHei" w:eastAsia="Microsoft YaHei" w:cs="Microsoft YaHei"/>
                      <w:sz w:val="27"/>
                      <w:szCs w:val="27"/>
                    </w:rPr>
                  </w:pPr>
                  <w:r>
                    <w:rPr>
                      <w:rFonts w:ascii="Microsoft YaHei" w:hAnsi="Microsoft YaHei" w:eastAsia="Microsoft YaHei" w:cs="Microsoft YaHei"/>
                      <w:sz w:val="27"/>
                      <w:szCs w:val="27"/>
                      <w:b/>
                      <w:bCs/>
                      <w:color w:val="FFFFFF"/>
                      <w:spacing w:val="2"/>
                    </w:rPr>
                    <w:t>4.</w:t>
                  </w:r>
                </w:p>
              </w:txbxContent>
            </v:textbox>
          </v:shape>
        </w:pict>
      </w:r>
      <w:r>
        <w:rPr>
          <w:rFonts w:ascii="Microsoft YaHei" w:hAnsi="Microsoft YaHei" w:eastAsia="Microsoft YaHei" w:cs="Microsoft YaHei"/>
          <w:sz w:val="27"/>
          <w:szCs w:val="27"/>
          <w:b/>
          <w:bCs/>
          <w:color w:val="00C0AE"/>
          <w:spacing w:val="6"/>
        </w:rPr>
        <w:t>辅助服务</w:t>
      </w:r>
    </w:p>
    <w:p>
      <w:pPr>
        <w:ind w:left="346" w:right="2826" w:firstLine="21"/>
        <w:spacing w:before="235" w:line="218" w:lineRule="auto"/>
        <w:tabs>
          <w:tab w:val="left" w:pos="8455"/>
        </w:tabs>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电力市场辅助服务主要包括调峰、调频、事故应急及恢复服务等。一是参与调</w:t>
      </w:r>
      <w:r>
        <w:rPr>
          <w:rFonts w:ascii="Microsoft YaHei" w:hAnsi="Microsoft YaHei" w:eastAsia="Microsoft YaHei" w:cs="Microsoft YaHei"/>
          <w:sz w:val="21"/>
          <w:szCs w:val="21"/>
          <w:spacing w:val="3"/>
        </w:rPr>
        <w:t>峰获得</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调峰补偿。调峰已在全国范围内进行推广</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，多个省市出台了调峰补偿标准</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，主要按调</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峰电量给予充电补偿</w:t>
      </w:r>
      <w:r>
        <w:rPr>
          <w:rFonts w:ascii="Microsoft YaHei" w:hAnsi="Microsoft YaHei" w:eastAsia="Microsoft YaHei" w:cs="Microsoft YaHei"/>
          <w:sz w:val="21"/>
          <w:szCs w:val="21"/>
          <w:spacing w:val="-16"/>
        </w:rPr>
        <w:t xml:space="preserve"> </w:t>
      </w:r>
      <w:r>
        <w:rPr>
          <w:rFonts w:ascii="Microsoft YaHei" w:hAnsi="Microsoft YaHei" w:eastAsia="Microsoft YaHei" w:cs="Microsoft YaHei"/>
          <w:sz w:val="21"/>
          <w:szCs w:val="21"/>
          <w:spacing w:val="1"/>
        </w:rPr>
        <w:t>，价格0.15-0.8元/</w:t>
      </w:r>
      <w:r>
        <w:rPr>
          <w:rFonts w:ascii="Microsoft YaHei" w:hAnsi="Microsoft YaHei" w:eastAsia="Microsoft YaHei" w:cs="Microsoft YaHei"/>
          <w:sz w:val="21"/>
          <w:szCs w:val="21"/>
        </w:rPr>
        <w:t>kWh</w:t>
      </w:r>
      <w:r>
        <w:rPr>
          <w:rFonts w:ascii="Microsoft YaHei" w:hAnsi="Microsoft YaHei" w:eastAsia="Microsoft YaHei" w:cs="Microsoft YaHei"/>
          <w:sz w:val="21"/>
          <w:szCs w:val="21"/>
          <w:spacing w:val="1"/>
        </w:rPr>
        <w:t>不等（表  13）</w:t>
      </w:r>
      <w:r>
        <w:rPr>
          <w:rFonts w:ascii="Microsoft YaHei" w:hAnsi="Microsoft YaHei" w:eastAsia="Microsoft YaHei" w:cs="Microsoft YaHei"/>
          <w:sz w:val="21"/>
          <w:szCs w:val="21"/>
          <w:spacing w:val="-39"/>
        </w:rPr>
        <w:t xml:space="preserve"> </w:t>
      </w:r>
      <w:r>
        <w:rPr>
          <w:rFonts w:ascii="Microsoft YaHei" w:hAnsi="Microsoft YaHei" w:eastAsia="Microsoft YaHei" w:cs="Microsoft YaHei"/>
          <w:sz w:val="21"/>
          <w:szCs w:val="21"/>
          <w:spacing w:val="1"/>
        </w:rPr>
        <w:t>。锂电储能的度电成本约</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0.6—0.8元/kWh，大约是抽水蓄能的3-4倍，结合各地的调峰补偿，储能调峰的经济性</w:t>
      </w:r>
      <w:r>
        <w:rPr>
          <w:rFonts w:ascii="Microsoft YaHei" w:hAnsi="Microsoft YaHei" w:eastAsia="Microsoft YaHei" w:cs="Microsoft YaHei"/>
          <w:sz w:val="21"/>
          <w:szCs w:val="21"/>
          <w:spacing w:val="2"/>
        </w:rPr>
        <w:t xml:space="preserve">    </w:t>
      </w:r>
      <w:r>
        <w:rPr>
          <w:rFonts w:ascii="Microsoft YaHei" w:hAnsi="Microsoft YaHei" w:eastAsia="Microsoft YaHei" w:cs="Microsoft YaHei"/>
          <w:sz w:val="21"/>
          <w:szCs w:val="21"/>
        </w:rPr>
        <w:t>需要成本进一步下降才能显现</w:t>
      </w:r>
      <w:r>
        <w:rPr>
          <w:rFonts w:ascii="Microsoft YaHei" w:hAnsi="Microsoft YaHei" w:eastAsia="Microsoft YaHei" w:cs="Microsoft YaHei"/>
          <w:sz w:val="13"/>
          <w:szCs w:val="13"/>
          <w:position w:val="6"/>
        </w:rPr>
        <w:t>54</w:t>
      </w:r>
      <w:r>
        <w:rPr>
          <w:rFonts w:ascii="Microsoft YaHei" w:hAnsi="Microsoft YaHei" w:eastAsia="Microsoft YaHei" w:cs="Microsoft YaHei"/>
          <w:sz w:val="21"/>
          <w:szCs w:val="21"/>
        </w:rPr>
        <w:t>。而且，由于调峰补偿标准经常修改，储能能否从调峰</w:t>
      </w:r>
      <w:r>
        <w:rPr>
          <w:rFonts w:ascii="Microsoft YaHei" w:hAnsi="Microsoft YaHei" w:eastAsia="Microsoft YaHei" w:cs="Microsoft YaHei"/>
          <w:sz w:val="21"/>
          <w:szCs w:val="21"/>
        </w:rPr>
        <w:tab/>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服务中获取持续稳定的收入也存在不确定性。</w:t>
      </w:r>
      <w:r>
        <w:rPr>
          <w:rFonts w:ascii="Microsoft YaHei" w:hAnsi="Microsoft YaHei" w:eastAsia="Microsoft YaHei" w:cs="Microsoft YaHei"/>
          <w:sz w:val="21"/>
          <w:szCs w:val="21"/>
          <w:spacing w:val="-40"/>
        </w:rPr>
        <w:t xml:space="preserve"> </w:t>
      </w:r>
      <w:r>
        <w:rPr>
          <w:rFonts w:ascii="Microsoft YaHei" w:hAnsi="Microsoft YaHei" w:eastAsia="Microsoft YaHei" w:cs="Microsoft YaHei"/>
          <w:sz w:val="21"/>
          <w:szCs w:val="21"/>
          <w:spacing w:val="4"/>
        </w:rPr>
        <w:t>二是参与调频服务获得调频补</w:t>
      </w:r>
      <w:r>
        <w:rPr>
          <w:rFonts w:ascii="Microsoft YaHei" w:hAnsi="Microsoft YaHei" w:eastAsia="Microsoft YaHei" w:cs="Microsoft YaHei"/>
          <w:sz w:val="21"/>
          <w:szCs w:val="21"/>
          <w:spacing w:val="3"/>
        </w:rPr>
        <w:t>偿。各省</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对于调频的补偿金额不同</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，调频主要按调频里程给予调频补偿</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，根据机组响应</w:t>
      </w:r>
      <w:r>
        <w:rPr>
          <w:rFonts w:ascii="Microsoft YaHei" w:hAnsi="Microsoft YaHei" w:eastAsia="Microsoft YaHei" w:cs="Microsoft YaHei"/>
          <w:sz w:val="21"/>
          <w:szCs w:val="21"/>
        </w:rPr>
        <w:t>AGC</w:t>
      </w:r>
      <w:r>
        <w:rPr>
          <w:rFonts w:ascii="Microsoft YaHei" w:hAnsi="Microsoft YaHei" w:eastAsia="Microsoft YaHei" w:cs="Microsoft YaHei"/>
          <w:sz w:val="21"/>
          <w:szCs w:val="21"/>
          <w:spacing w:val="2"/>
        </w:rPr>
        <w:t>调</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频指令的程度</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4"/>
        </w:rPr>
        <w:t>，补偿0-15元/MW</w:t>
      </w:r>
      <w:r>
        <w:rPr>
          <w:rFonts w:ascii="Microsoft YaHei" w:hAnsi="Microsoft YaHei" w:eastAsia="Microsoft YaHei" w:cs="Microsoft YaHei"/>
          <w:sz w:val="21"/>
          <w:szCs w:val="21"/>
          <w:spacing w:val="-27"/>
        </w:rPr>
        <w:t xml:space="preserve"> </w:t>
      </w:r>
      <w:r>
        <w:rPr>
          <w:rFonts w:ascii="Microsoft YaHei" w:hAnsi="Microsoft YaHei" w:eastAsia="Microsoft YaHei" w:cs="Microsoft YaHei"/>
          <w:sz w:val="21"/>
          <w:szCs w:val="21"/>
          <w:spacing w:val="-4"/>
        </w:rPr>
        <w:t>，而目前储能调频里程成本约6.34—9.08元/MW</w:t>
      </w:r>
      <w:r>
        <w:rPr>
          <w:rFonts w:ascii="Microsoft YaHei" w:hAnsi="Microsoft YaHei" w:eastAsia="Microsoft YaHei" w:cs="Microsoft YaHei"/>
          <w:sz w:val="21"/>
          <w:szCs w:val="21"/>
          <w:spacing w:val="-27"/>
        </w:rPr>
        <w:t xml:space="preserve"> </w:t>
      </w:r>
      <w:r>
        <w:rPr>
          <w:rFonts w:ascii="Microsoft YaHei" w:hAnsi="Microsoft YaHei" w:eastAsia="Microsoft YaHei" w:cs="Microsoft YaHei"/>
          <w:sz w:val="21"/>
          <w:szCs w:val="21"/>
          <w:spacing w:val="-4"/>
        </w:rPr>
        <w:t>，调</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频具备一定的获利空间。但是</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，调频存在市场空间有限</w:t>
      </w:r>
      <w:r>
        <w:rPr>
          <w:rFonts w:ascii="Microsoft YaHei" w:hAnsi="Microsoft YaHei" w:eastAsia="Microsoft YaHei" w:cs="Microsoft YaHei"/>
          <w:sz w:val="21"/>
          <w:szCs w:val="21"/>
          <w:spacing w:val="1"/>
        </w:rPr>
        <w:t>的问题</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，随着储能规模的增加，</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储能调频盈利性将下降。三是事故应急及恢复服务。事故应急及恢复服务包括黑启动</w:t>
      </w:r>
      <w:r>
        <w:rPr>
          <w:rFonts w:ascii="Microsoft YaHei" w:hAnsi="Microsoft YaHei" w:eastAsia="Microsoft YaHei" w:cs="Microsoft YaHei"/>
          <w:sz w:val="13"/>
          <w:szCs w:val="13"/>
          <w:spacing w:val="-1"/>
          <w:position w:val="6"/>
        </w:rPr>
        <w:t>55</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spacing w:val="16"/>
          <w:w w:val="101"/>
        </w:rPr>
        <w:t xml:space="preserve"> </w:t>
      </w:r>
      <w:r>
        <w:rPr>
          <w:rFonts w:ascii="Microsoft YaHei" w:hAnsi="Microsoft YaHei" w:eastAsia="Microsoft YaHei" w:cs="Microsoft YaHei"/>
          <w:sz w:val="21"/>
          <w:szCs w:val="21"/>
          <w:spacing w:val="4"/>
        </w:rPr>
        <w:t>稳定切机等。部分南方省份开始推动独立储能参与黑启动服务</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4"/>
        </w:rPr>
        <w:t>，</w:t>
      </w:r>
      <w:r>
        <w:rPr>
          <w:rFonts w:ascii="Microsoft YaHei" w:hAnsi="Microsoft YaHei" w:eastAsia="Microsoft YaHei" w:cs="Microsoft YaHei"/>
          <w:sz w:val="21"/>
          <w:szCs w:val="21"/>
          <w:spacing w:val="3"/>
        </w:rPr>
        <w:t>独立储能的收益进一</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步拓宽。2022年3月</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，南方能源监管局发布通知</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，南方区域独立储能</w:t>
      </w:r>
      <w:r>
        <w:rPr>
          <w:rFonts w:ascii="Microsoft YaHei" w:hAnsi="Microsoft YaHei" w:eastAsia="Microsoft YaHei" w:cs="Microsoft YaHei"/>
          <w:sz w:val="21"/>
          <w:szCs w:val="21"/>
          <w:spacing w:val="2"/>
        </w:rPr>
        <w:t>电站经所属电力</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调度机构技术审核并报能源监管机构同意后</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4"/>
        </w:rPr>
        <w:t>，可参照</w:t>
      </w:r>
      <w:r>
        <w:rPr>
          <w:rFonts w:ascii="Microsoft YaHei" w:hAnsi="Microsoft YaHei" w:eastAsia="Microsoft YaHei" w:cs="Microsoft YaHei"/>
          <w:sz w:val="21"/>
          <w:szCs w:val="21"/>
          <w:spacing w:val="3"/>
        </w:rPr>
        <w:t>火电补偿标准纳入黑启动辅助服</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7"/>
        </w:rPr>
        <w:t>务补偿。</w:t>
      </w:r>
    </w:p>
    <w:p>
      <w:pPr>
        <w:ind w:left="368"/>
        <w:spacing w:before="197" w:line="19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C0AE"/>
          <w:spacing w:val="-7"/>
        </w:rPr>
        <w:t>表 13 |100MW/200MWh独立储能电站收益示例</w:t>
      </w:r>
    </w:p>
    <w:p>
      <w:pPr>
        <w:spacing w:line="200" w:lineRule="exact"/>
        <w:rPr/>
      </w:pPr>
      <w:r/>
    </w:p>
    <w:tbl>
      <w:tblPr>
        <w:tblStyle w:val="TableNormal"/>
        <w:tblW w:w="9650" w:type="dxa"/>
        <w:tblInd w:w="340" w:type="dxa"/>
        <w:tblLayout w:type="fixed"/>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
      <w:tblGrid>
        <w:gridCol w:w="1141"/>
        <w:gridCol w:w="2829"/>
        <w:gridCol w:w="2842"/>
        <w:gridCol w:w="2838"/>
      </w:tblGrid>
      <w:tr>
        <w:trPr>
          <w:trHeight w:val="548" w:hRule="atLeast"/>
        </w:trPr>
        <w:tc>
          <w:tcPr>
            <w:shd w:val="clear" w:fill="00C0AE"/>
            <w:tcW w:w="1141" w:type="dxa"/>
            <w:vAlign w:val="top"/>
            <w:tcBorders>
              <w:bottom w:val="single" w:color="FFFFFF" w:sz="24" w:space="0"/>
            </w:tcBorders>
          </w:tcPr>
          <w:p>
            <w:pPr>
              <w:pStyle w:val="TableText"/>
              <w:ind w:left="123"/>
              <w:spacing w:before="155" w:line="179" w:lineRule="auto"/>
              <w:rPr/>
            </w:pPr>
            <w:r>
              <w:rPr>
                <w:b/>
                <w:bCs/>
                <w:color w:val="FFFFFF"/>
                <w:spacing w:val="-2"/>
              </w:rPr>
              <w:t>收益渠道</w:t>
            </w:r>
          </w:p>
        </w:tc>
        <w:tc>
          <w:tcPr>
            <w:shd w:val="clear" w:fill="00C0AE"/>
            <w:tcW w:w="2829" w:type="dxa"/>
            <w:vAlign w:val="top"/>
            <w:tcBorders>
              <w:bottom w:val="single" w:color="FFFFFF" w:sz="24" w:space="0"/>
            </w:tcBorders>
          </w:tcPr>
          <w:p>
            <w:pPr>
              <w:pStyle w:val="TableText"/>
              <w:ind w:left="1196"/>
              <w:spacing w:before="154" w:line="180" w:lineRule="auto"/>
              <w:rPr/>
            </w:pPr>
            <w:r>
              <w:rPr>
                <w:b/>
                <w:bCs/>
                <w:color w:val="FFFFFF"/>
                <w:spacing w:val="-5"/>
              </w:rPr>
              <w:t>内容</w:t>
            </w:r>
          </w:p>
        </w:tc>
        <w:tc>
          <w:tcPr>
            <w:shd w:val="clear" w:fill="00C0AE"/>
            <w:tcW w:w="2842" w:type="dxa"/>
            <w:vAlign w:val="top"/>
            <w:tcBorders>
              <w:bottom w:val="single" w:color="FFFFFF" w:sz="24" w:space="0"/>
            </w:tcBorders>
          </w:tcPr>
          <w:p>
            <w:pPr>
              <w:pStyle w:val="TableText"/>
              <w:ind w:left="1197"/>
              <w:spacing w:before="157" w:line="177" w:lineRule="auto"/>
              <w:rPr/>
            </w:pPr>
            <w:r>
              <w:rPr>
                <w:b/>
                <w:bCs/>
                <w:color w:val="FFFFFF"/>
                <w:spacing w:val="-2"/>
              </w:rPr>
              <w:t>特点</w:t>
            </w:r>
          </w:p>
        </w:tc>
        <w:tc>
          <w:tcPr>
            <w:shd w:val="clear" w:fill="00C0AE"/>
            <w:tcW w:w="2838" w:type="dxa"/>
            <w:vAlign w:val="top"/>
            <w:tcBorders>
              <w:bottom w:val="single" w:color="FFFFFF" w:sz="24" w:space="0"/>
            </w:tcBorders>
          </w:tcPr>
          <w:p>
            <w:pPr>
              <w:pStyle w:val="TableText"/>
              <w:ind w:left="1198"/>
              <w:spacing w:before="156" w:line="179" w:lineRule="auto"/>
              <w:rPr/>
            </w:pPr>
            <w:r>
              <w:rPr>
                <w:b/>
                <w:bCs/>
                <w:color w:val="FFFFFF"/>
                <w:spacing w:val="-3"/>
              </w:rPr>
              <w:t>收入</w:t>
            </w:r>
          </w:p>
        </w:tc>
      </w:tr>
      <w:tr>
        <w:trPr>
          <w:trHeight w:val="1353" w:hRule="atLeast"/>
        </w:trPr>
        <w:tc>
          <w:tcPr>
            <w:tcW w:w="1141" w:type="dxa"/>
            <w:vAlign w:val="top"/>
            <w:tcBorders>
              <w:right w:val="single" w:color="A8A8A8" w:sz="2" w:space="0"/>
              <w:top w:val="single" w:color="FFFFFF" w:sz="24" w:space="0"/>
            </w:tcBorders>
          </w:tcPr>
          <w:p>
            <w:pPr>
              <w:spacing w:line="329" w:lineRule="auto"/>
              <w:rPr>
                <w:rFonts w:ascii="Arial"/>
                <w:sz w:val="21"/>
              </w:rPr>
            </w:pPr>
            <w:r/>
          </w:p>
          <w:p>
            <w:pPr>
              <w:pStyle w:val="TableText"/>
              <w:ind w:left="107" w:right="224" w:firstLine="13"/>
              <w:spacing w:before="86" w:line="181" w:lineRule="auto"/>
              <w:rPr>
                <w:sz w:val="20"/>
                <w:szCs w:val="20"/>
              </w:rPr>
            </w:pPr>
            <w:r>
              <w:rPr>
                <w:sz w:val="20"/>
                <w:szCs w:val="20"/>
                <w:b/>
                <w:bCs/>
                <w:color w:val="00C0AE"/>
                <w:spacing w:val="-5"/>
              </w:rPr>
              <w:t>电力现货</w:t>
            </w:r>
            <w:r>
              <w:rPr>
                <w:sz w:val="20"/>
                <w:szCs w:val="20"/>
                <w:b/>
                <w:bCs/>
                <w:color w:val="00C0AE"/>
                <w:spacing w:val="2"/>
              </w:rPr>
              <w:t xml:space="preserve"> </w:t>
            </w:r>
            <w:r>
              <w:rPr>
                <w:sz w:val="20"/>
                <w:szCs w:val="20"/>
                <w:b/>
                <w:bCs/>
                <w:color w:val="00C0AE"/>
                <w:spacing w:val="-2"/>
              </w:rPr>
              <w:t>交易</w:t>
            </w:r>
          </w:p>
        </w:tc>
        <w:tc>
          <w:tcPr>
            <w:tcW w:w="2829" w:type="dxa"/>
            <w:vAlign w:val="top"/>
            <w:tcBorders>
              <w:left w:val="single" w:color="A8A8A8" w:sz="2" w:space="0"/>
              <w:right w:val="single" w:color="A8A8A8" w:sz="2" w:space="0"/>
              <w:top w:val="single" w:color="FFFFFF" w:sz="24" w:space="0"/>
            </w:tcBorders>
          </w:tcPr>
          <w:p>
            <w:pPr>
              <w:pStyle w:val="TableText"/>
              <w:ind w:left="105" w:right="109"/>
              <w:spacing w:before="161" w:line="180" w:lineRule="auto"/>
              <w:jc w:val="both"/>
              <w:rPr>
                <w:sz w:val="20"/>
                <w:szCs w:val="20"/>
              </w:rPr>
            </w:pPr>
            <w:r>
              <w:rPr>
                <w:sz w:val="20"/>
                <w:szCs w:val="20"/>
              </w:rPr>
              <w:t>独立储能电站在电力现货市场</w:t>
            </w:r>
            <w:r>
              <w:rPr>
                <w:sz w:val="20"/>
                <w:szCs w:val="20"/>
                <w:spacing w:val="7"/>
              </w:rPr>
              <w:t xml:space="preserve"> </w:t>
            </w:r>
            <w:r>
              <w:rPr>
                <w:sz w:val="20"/>
                <w:szCs w:val="20"/>
              </w:rPr>
              <w:t>进行购电及售电，其相应充电</w:t>
            </w:r>
            <w:r>
              <w:rPr>
                <w:sz w:val="20"/>
                <w:szCs w:val="20"/>
                <w:spacing w:val="7"/>
              </w:rPr>
              <w:t xml:space="preserve"> </w:t>
            </w:r>
            <w:r>
              <w:rPr>
                <w:sz w:val="20"/>
                <w:szCs w:val="20"/>
              </w:rPr>
              <w:t>电量不承担输配电价和政府性</w:t>
            </w:r>
            <w:r>
              <w:rPr>
                <w:sz w:val="20"/>
                <w:szCs w:val="20"/>
                <w:spacing w:val="7"/>
              </w:rPr>
              <w:t xml:space="preserve"> </w:t>
            </w:r>
            <w:r>
              <w:rPr>
                <w:sz w:val="20"/>
                <w:szCs w:val="20"/>
                <w:spacing w:val="-5"/>
              </w:rPr>
              <w:t>基金及附加。</w:t>
            </w:r>
          </w:p>
        </w:tc>
        <w:tc>
          <w:tcPr>
            <w:tcW w:w="2842" w:type="dxa"/>
            <w:vAlign w:val="top"/>
            <w:tcBorders>
              <w:left w:val="single" w:color="A8A8A8" w:sz="2" w:space="0"/>
              <w:right w:val="single" w:color="A8A8A8" w:sz="2" w:space="0"/>
              <w:top w:val="single" w:color="FFFFFF" w:sz="24" w:space="0"/>
            </w:tcBorders>
          </w:tcPr>
          <w:p>
            <w:pPr>
              <w:spacing w:line="459" w:lineRule="auto"/>
              <w:rPr>
                <w:rFonts w:ascii="Arial"/>
                <w:sz w:val="21"/>
              </w:rPr>
            </w:pPr>
            <w:r/>
          </w:p>
          <w:p>
            <w:pPr>
              <w:pStyle w:val="TableText"/>
              <w:ind w:left="112"/>
              <w:spacing w:before="86" w:line="177" w:lineRule="auto"/>
              <w:rPr>
                <w:sz w:val="20"/>
                <w:szCs w:val="20"/>
              </w:rPr>
            </w:pPr>
            <w:r>
              <w:rPr>
                <w:sz w:val="20"/>
                <w:szCs w:val="20"/>
                <w:spacing w:val="-2"/>
              </w:rPr>
              <w:t>获取电力价差套利收入。</w:t>
            </w:r>
          </w:p>
        </w:tc>
        <w:tc>
          <w:tcPr>
            <w:tcW w:w="2838" w:type="dxa"/>
            <w:vAlign w:val="top"/>
            <w:tcBorders>
              <w:left w:val="single" w:color="A8A8A8" w:sz="2" w:space="0"/>
              <w:top w:val="single" w:color="FFFFFF" w:sz="24" w:space="0"/>
            </w:tcBorders>
          </w:tcPr>
          <w:p>
            <w:pPr>
              <w:pStyle w:val="TableText"/>
              <w:ind w:left="116" w:right="99"/>
              <w:spacing w:before="35" w:line="182" w:lineRule="auto"/>
              <w:jc w:val="both"/>
              <w:rPr>
                <w:sz w:val="20"/>
                <w:szCs w:val="20"/>
              </w:rPr>
            </w:pPr>
            <w:r>
              <w:rPr>
                <w:sz w:val="20"/>
                <w:szCs w:val="20"/>
                <w:spacing w:val="-3"/>
              </w:rPr>
              <w:t>按现货价差约0.5元/kWh，以</w:t>
            </w:r>
            <w:r>
              <w:rPr>
                <w:sz w:val="20"/>
                <w:szCs w:val="20"/>
              </w:rPr>
              <w:t xml:space="preserve">  </w:t>
            </w:r>
            <w:r>
              <w:rPr>
                <w:sz w:val="20"/>
                <w:szCs w:val="20"/>
              </w:rPr>
              <w:t>每天一次充放电循环，充放电</w:t>
            </w:r>
            <w:r>
              <w:rPr>
                <w:sz w:val="20"/>
                <w:szCs w:val="20"/>
                <w:spacing w:val="7"/>
              </w:rPr>
              <w:t xml:space="preserve"> </w:t>
            </w:r>
            <w:r>
              <w:rPr>
                <w:sz w:val="20"/>
                <w:szCs w:val="20"/>
                <w:spacing w:val="-2"/>
              </w:rPr>
              <w:t>效率85%，全年运行330天计</w:t>
            </w:r>
            <w:r>
              <w:rPr>
                <w:sz w:val="20"/>
                <w:szCs w:val="20"/>
                <w:spacing w:val="3"/>
              </w:rPr>
              <w:t xml:space="preserve">  </w:t>
            </w:r>
            <w:r>
              <w:rPr>
                <w:sz w:val="20"/>
                <w:szCs w:val="20"/>
              </w:rPr>
              <w:t>算，全年电力现货市场电价套</w:t>
            </w:r>
            <w:r>
              <w:rPr>
                <w:sz w:val="20"/>
                <w:szCs w:val="20"/>
                <w:spacing w:val="7"/>
              </w:rPr>
              <w:t xml:space="preserve"> </w:t>
            </w:r>
            <w:r>
              <w:rPr>
                <w:sz w:val="20"/>
                <w:szCs w:val="20"/>
                <w:spacing w:val="-3"/>
              </w:rPr>
              <w:t>利收入约2,000万。</w:t>
            </w:r>
          </w:p>
        </w:tc>
      </w:tr>
      <w:tr>
        <w:trPr>
          <w:trHeight w:val="1788" w:hRule="atLeast"/>
        </w:trPr>
        <w:tc>
          <w:tcPr>
            <w:shd w:val="clear" w:fill="F1F1F1"/>
            <w:tcW w:w="1141" w:type="dxa"/>
            <w:vAlign w:val="top"/>
            <w:tcBorders>
              <w:right w:val="single" w:color="A8A8A8" w:sz="2" w:space="0"/>
            </w:tcBorders>
          </w:tcPr>
          <w:p>
            <w:pPr>
              <w:spacing w:line="348" w:lineRule="auto"/>
              <w:rPr>
                <w:rFonts w:ascii="Arial"/>
                <w:sz w:val="21"/>
              </w:rPr>
            </w:pPr>
            <w:r/>
          </w:p>
          <w:p>
            <w:pPr>
              <w:spacing w:line="349" w:lineRule="auto"/>
              <w:rPr>
                <w:rFonts w:ascii="Arial"/>
                <w:sz w:val="21"/>
              </w:rPr>
            </w:pPr>
            <w:r/>
          </w:p>
          <w:p>
            <w:pPr>
              <w:pStyle w:val="TableText"/>
              <w:ind w:left="104"/>
              <w:spacing w:before="86" w:line="180" w:lineRule="auto"/>
              <w:rPr>
                <w:sz w:val="20"/>
                <w:szCs w:val="20"/>
              </w:rPr>
            </w:pPr>
            <w:r>
              <w:rPr>
                <w:sz w:val="20"/>
                <w:szCs w:val="20"/>
                <w:b/>
                <w:bCs/>
                <w:color w:val="00C0AE"/>
              </w:rPr>
              <w:t>容量补偿</w:t>
            </w:r>
          </w:p>
        </w:tc>
        <w:tc>
          <w:tcPr>
            <w:shd w:val="clear" w:fill="F1F1F1"/>
            <w:tcW w:w="2829" w:type="dxa"/>
            <w:vAlign w:val="top"/>
            <w:tcBorders>
              <w:left w:val="single" w:color="A8A8A8" w:sz="2" w:space="0"/>
              <w:right w:val="single" w:color="A8A8A8" w:sz="2" w:space="0"/>
            </w:tcBorders>
          </w:tcPr>
          <w:p>
            <w:pPr>
              <w:spacing w:line="445" w:lineRule="auto"/>
              <w:rPr>
                <w:rFonts w:ascii="Arial"/>
                <w:sz w:val="21"/>
              </w:rPr>
            </w:pPr>
            <w:r/>
          </w:p>
          <w:p>
            <w:pPr>
              <w:pStyle w:val="TableText"/>
              <w:ind w:left="105" w:right="109"/>
              <w:spacing w:before="86" w:line="179" w:lineRule="auto"/>
              <w:jc w:val="both"/>
              <w:rPr>
                <w:sz w:val="20"/>
                <w:szCs w:val="20"/>
              </w:rPr>
            </w:pPr>
            <w:r>
              <w:rPr>
                <w:sz w:val="20"/>
                <w:szCs w:val="20"/>
              </w:rPr>
              <w:t>容量市场是电力市场体系的重</w:t>
            </w:r>
            <w:r>
              <w:rPr>
                <w:sz w:val="20"/>
                <w:szCs w:val="20"/>
                <w:spacing w:val="6"/>
              </w:rPr>
              <w:t xml:space="preserve"> </w:t>
            </w:r>
            <w:r>
              <w:rPr>
                <w:sz w:val="20"/>
                <w:szCs w:val="20"/>
              </w:rPr>
              <w:t>要组成部分，旨在保障电力系</w:t>
            </w:r>
            <w:r>
              <w:rPr>
                <w:sz w:val="20"/>
                <w:szCs w:val="20"/>
                <w:spacing w:val="7"/>
              </w:rPr>
              <w:t xml:space="preserve"> </w:t>
            </w:r>
            <w:r>
              <w:rPr>
                <w:sz w:val="20"/>
                <w:szCs w:val="20"/>
                <w:spacing w:val="-3"/>
              </w:rPr>
              <w:t>统长期容量的充裕性。</w:t>
            </w:r>
          </w:p>
        </w:tc>
        <w:tc>
          <w:tcPr>
            <w:shd w:val="clear" w:fill="F1F1F1"/>
            <w:tcW w:w="2842" w:type="dxa"/>
            <w:vAlign w:val="top"/>
            <w:tcBorders>
              <w:left w:val="single" w:color="A8A8A8" w:sz="2" w:space="0"/>
              <w:right w:val="single" w:color="A8A8A8" w:sz="2" w:space="0"/>
            </w:tcBorders>
          </w:tcPr>
          <w:p>
            <w:pPr>
              <w:pStyle w:val="TableText"/>
              <w:ind w:left="110" w:right="117" w:hanging="2"/>
              <w:spacing w:before="148" w:line="180" w:lineRule="auto"/>
              <w:jc w:val="both"/>
              <w:rPr>
                <w:sz w:val="20"/>
                <w:szCs w:val="20"/>
              </w:rPr>
            </w:pPr>
            <w:r>
              <w:rPr>
                <w:sz w:val="20"/>
                <w:szCs w:val="20"/>
              </w:rPr>
              <w:t>使发电机组能够获得电能量市</w:t>
            </w:r>
            <w:r>
              <w:rPr>
                <w:sz w:val="20"/>
                <w:szCs w:val="20"/>
                <w:spacing w:val="10"/>
              </w:rPr>
              <w:t xml:space="preserve"> </w:t>
            </w:r>
            <w:r>
              <w:rPr>
                <w:sz w:val="20"/>
                <w:szCs w:val="20"/>
              </w:rPr>
              <w:t>场和辅助服务市场以外的稳定</w:t>
            </w:r>
            <w:r>
              <w:rPr>
                <w:sz w:val="20"/>
                <w:szCs w:val="20"/>
                <w:spacing w:val="7"/>
              </w:rPr>
              <w:t xml:space="preserve"> </w:t>
            </w:r>
            <w:r>
              <w:rPr>
                <w:sz w:val="20"/>
                <w:szCs w:val="20"/>
              </w:rPr>
              <w:t>收入。目前我国还没有全国范</w:t>
            </w:r>
            <w:r>
              <w:rPr>
                <w:sz w:val="20"/>
                <w:szCs w:val="20"/>
                <w:spacing w:val="7"/>
              </w:rPr>
              <w:t xml:space="preserve"> </w:t>
            </w:r>
            <w:r>
              <w:rPr>
                <w:sz w:val="20"/>
                <w:szCs w:val="20"/>
              </w:rPr>
              <w:t>围内的容量市场，山东、青海</w:t>
            </w:r>
            <w:r>
              <w:rPr>
                <w:sz w:val="20"/>
                <w:szCs w:val="20"/>
                <w:spacing w:val="7"/>
              </w:rPr>
              <w:t xml:space="preserve"> </w:t>
            </w:r>
            <w:r>
              <w:rPr>
                <w:sz w:val="20"/>
                <w:szCs w:val="20"/>
              </w:rPr>
              <w:t>等部分区域在试点储能电站的</w:t>
            </w:r>
            <w:r>
              <w:rPr>
                <w:sz w:val="20"/>
                <w:szCs w:val="20"/>
                <w:spacing w:val="7"/>
              </w:rPr>
              <w:t xml:space="preserve"> </w:t>
            </w:r>
            <w:r>
              <w:rPr>
                <w:sz w:val="20"/>
                <w:szCs w:val="20"/>
                <w:spacing w:val="-4"/>
              </w:rPr>
              <w:t>容量电价收入。</w:t>
            </w:r>
          </w:p>
        </w:tc>
        <w:tc>
          <w:tcPr>
            <w:shd w:val="clear" w:fill="F1F1F1"/>
            <w:tcW w:w="2838" w:type="dxa"/>
            <w:vAlign w:val="top"/>
            <w:tcBorders>
              <w:left w:val="single" w:color="A8A8A8" w:sz="2" w:space="0"/>
            </w:tcBorders>
          </w:tcPr>
          <w:p>
            <w:pPr>
              <w:spacing w:line="444" w:lineRule="auto"/>
              <w:rPr>
                <w:rFonts w:ascii="Arial"/>
                <w:sz w:val="21"/>
              </w:rPr>
            </w:pPr>
            <w:r/>
          </w:p>
          <w:p>
            <w:pPr>
              <w:pStyle w:val="TableText"/>
              <w:ind w:left="116" w:right="99"/>
              <w:spacing w:before="86" w:line="181" w:lineRule="auto"/>
              <w:jc w:val="both"/>
              <w:rPr>
                <w:sz w:val="20"/>
                <w:szCs w:val="20"/>
              </w:rPr>
            </w:pPr>
            <w:r>
              <w:rPr>
                <w:sz w:val="20"/>
                <w:szCs w:val="20"/>
              </w:rPr>
              <w:t>按照容量获得容量电价，保证</w:t>
            </w:r>
            <w:r>
              <w:rPr>
                <w:sz w:val="20"/>
                <w:szCs w:val="20"/>
                <w:spacing w:val="8"/>
              </w:rPr>
              <w:t xml:space="preserve"> </w:t>
            </w:r>
            <w:r>
              <w:rPr>
                <w:sz w:val="20"/>
                <w:szCs w:val="20"/>
              </w:rPr>
              <w:t>盈利并储备备用机组，收入为</w:t>
            </w:r>
            <w:r>
              <w:rPr>
                <w:sz w:val="20"/>
                <w:szCs w:val="20"/>
                <w:spacing w:val="7"/>
              </w:rPr>
              <w:t xml:space="preserve"> </w:t>
            </w:r>
            <w:r>
              <w:rPr>
                <w:sz w:val="20"/>
                <w:szCs w:val="20"/>
                <w:spacing w:val="-9"/>
              </w:rPr>
              <w:t>600-800万。</w:t>
            </w:r>
          </w:p>
        </w:tc>
      </w:tr>
      <w:tr>
        <w:trPr>
          <w:trHeight w:val="1110" w:hRule="atLeast"/>
        </w:trPr>
        <w:tc>
          <w:tcPr>
            <w:tcW w:w="1141" w:type="dxa"/>
            <w:vAlign w:val="top"/>
            <w:tcBorders>
              <w:right w:val="single" w:color="A8A8A8" w:sz="2" w:space="0"/>
            </w:tcBorders>
          </w:tcPr>
          <w:p>
            <w:pPr>
              <w:spacing w:line="365" w:lineRule="auto"/>
              <w:rPr>
                <w:rFonts w:ascii="Arial"/>
                <w:sz w:val="21"/>
              </w:rPr>
            </w:pPr>
            <w:r/>
          </w:p>
          <w:p>
            <w:pPr>
              <w:pStyle w:val="TableText"/>
              <w:ind w:left="104"/>
              <w:spacing w:before="86" w:line="181" w:lineRule="auto"/>
              <w:rPr>
                <w:sz w:val="20"/>
                <w:szCs w:val="20"/>
              </w:rPr>
            </w:pPr>
            <w:r>
              <w:rPr>
                <w:sz w:val="20"/>
                <w:szCs w:val="20"/>
                <w:b/>
                <w:bCs/>
                <w:color w:val="00C0AE"/>
              </w:rPr>
              <w:t>容量租赁</w:t>
            </w:r>
          </w:p>
        </w:tc>
        <w:tc>
          <w:tcPr>
            <w:tcW w:w="2829" w:type="dxa"/>
            <w:vAlign w:val="top"/>
            <w:tcBorders>
              <w:left w:val="single" w:color="A8A8A8" w:sz="2" w:space="0"/>
              <w:right w:val="single" w:color="A8A8A8" w:sz="2" w:space="0"/>
            </w:tcBorders>
          </w:tcPr>
          <w:p>
            <w:pPr>
              <w:pStyle w:val="TableText"/>
              <w:ind w:left="103" w:right="109" w:firstLine="6"/>
              <w:spacing w:before="200" w:line="179" w:lineRule="auto"/>
              <w:jc w:val="both"/>
              <w:rPr>
                <w:sz w:val="20"/>
                <w:szCs w:val="20"/>
              </w:rPr>
            </w:pPr>
            <w:r>
              <w:rPr>
                <w:sz w:val="20"/>
                <w:szCs w:val="20"/>
              </w:rPr>
              <w:t>为风电、光伏等新能源电站提</w:t>
            </w:r>
            <w:r>
              <w:rPr>
                <w:sz w:val="20"/>
                <w:szCs w:val="20"/>
                <w:spacing w:val="3"/>
              </w:rPr>
              <w:t xml:space="preserve"> </w:t>
            </w:r>
            <w:r>
              <w:rPr>
                <w:sz w:val="20"/>
                <w:szCs w:val="20"/>
              </w:rPr>
              <w:t>供一定容量的租赁服务，独立</w:t>
            </w:r>
            <w:r>
              <w:rPr>
                <w:sz w:val="20"/>
                <w:szCs w:val="20"/>
                <w:spacing w:val="9"/>
              </w:rPr>
              <w:t xml:space="preserve"> </w:t>
            </w:r>
            <w:r>
              <w:rPr>
                <w:sz w:val="20"/>
                <w:szCs w:val="20"/>
                <w:spacing w:val="-3"/>
              </w:rPr>
              <w:t>储能电站获得租金。</w:t>
            </w:r>
          </w:p>
        </w:tc>
        <w:tc>
          <w:tcPr>
            <w:tcW w:w="2842" w:type="dxa"/>
            <w:vAlign w:val="top"/>
            <w:tcBorders>
              <w:left w:val="single" w:color="A8A8A8" w:sz="2" w:space="0"/>
              <w:right w:val="single" w:color="A8A8A8" w:sz="2" w:space="0"/>
            </w:tcBorders>
          </w:tcPr>
          <w:p>
            <w:pPr>
              <w:pStyle w:val="TableText"/>
              <w:ind w:left="112"/>
              <w:spacing w:before="197" w:line="180" w:lineRule="auto"/>
              <w:jc w:val="both"/>
              <w:rPr>
                <w:sz w:val="20"/>
                <w:szCs w:val="20"/>
              </w:rPr>
            </w:pPr>
            <w:r>
              <w:rPr>
                <w:sz w:val="20"/>
                <w:szCs w:val="20"/>
                <w:spacing w:val="-6"/>
              </w:rPr>
              <w:t>容量租赁可视同新能源配储额，</w:t>
            </w:r>
            <w:r>
              <w:rPr>
                <w:sz w:val="20"/>
                <w:szCs w:val="20"/>
                <w:spacing w:val="7"/>
              </w:rPr>
              <w:t xml:space="preserve"> </w:t>
            </w:r>
            <w:r>
              <w:rPr>
                <w:sz w:val="20"/>
                <w:szCs w:val="20"/>
                <w:spacing w:val="-2"/>
              </w:rPr>
              <w:t>是独立储能电站建设方稳定的</w:t>
            </w:r>
            <w:r>
              <w:rPr>
                <w:sz w:val="20"/>
                <w:szCs w:val="20"/>
              </w:rPr>
              <w:t xml:space="preserve">   </w:t>
            </w:r>
            <w:r>
              <w:rPr>
                <w:sz w:val="20"/>
                <w:szCs w:val="20"/>
                <w:spacing w:val="-7"/>
              </w:rPr>
              <w:t>收入来源。</w:t>
            </w:r>
          </w:p>
        </w:tc>
        <w:tc>
          <w:tcPr>
            <w:tcW w:w="2838" w:type="dxa"/>
            <w:vAlign w:val="top"/>
            <w:tcBorders>
              <w:left w:val="single" w:color="A8A8A8" w:sz="2" w:space="0"/>
            </w:tcBorders>
          </w:tcPr>
          <w:p>
            <w:pPr>
              <w:spacing w:line="242" w:lineRule="auto"/>
              <w:rPr>
                <w:rFonts w:ascii="Arial"/>
                <w:sz w:val="21"/>
              </w:rPr>
            </w:pPr>
            <w:r/>
          </w:p>
          <w:p>
            <w:pPr>
              <w:pStyle w:val="TableText"/>
              <w:ind w:left="115" w:right="99"/>
              <w:spacing w:before="86" w:line="195" w:lineRule="auto"/>
              <w:rPr>
                <w:sz w:val="20"/>
                <w:szCs w:val="20"/>
              </w:rPr>
            </w:pPr>
            <w:r>
              <w:rPr>
                <w:sz w:val="20"/>
                <w:szCs w:val="20"/>
              </w:rPr>
              <w:t>租给新能源电站配储入网收入</w:t>
            </w:r>
            <w:r>
              <w:rPr>
                <w:sz w:val="20"/>
                <w:szCs w:val="20"/>
                <w:spacing w:val="8"/>
              </w:rPr>
              <w:t xml:space="preserve"> </w:t>
            </w:r>
            <w:r>
              <w:rPr>
                <w:sz w:val="20"/>
                <w:szCs w:val="20"/>
                <w:spacing w:val="-6"/>
              </w:rPr>
              <w:t>3,000-3,300万。</w:t>
            </w:r>
          </w:p>
        </w:tc>
      </w:tr>
      <w:tr>
        <w:trPr>
          <w:trHeight w:val="1403" w:hRule="atLeast"/>
        </w:trPr>
        <w:tc>
          <w:tcPr>
            <w:shd w:val="clear" w:fill="F1F1F1"/>
            <w:tcW w:w="1141" w:type="dxa"/>
            <w:vAlign w:val="top"/>
            <w:tcBorders>
              <w:right w:val="single" w:color="A8A8A8" w:sz="2" w:space="0"/>
            </w:tcBorders>
          </w:tcPr>
          <w:p>
            <w:pPr>
              <w:spacing w:line="256" w:lineRule="auto"/>
              <w:rPr>
                <w:rFonts w:ascii="Arial"/>
                <w:sz w:val="21"/>
              </w:rPr>
            </w:pPr>
            <w:r/>
          </w:p>
          <w:p>
            <w:pPr>
              <w:spacing w:line="256" w:lineRule="auto"/>
              <w:rPr>
                <w:rFonts w:ascii="Arial"/>
                <w:sz w:val="21"/>
              </w:rPr>
            </w:pPr>
            <w:r/>
          </w:p>
          <w:p>
            <w:pPr>
              <w:pStyle w:val="TableText"/>
              <w:ind w:left="103"/>
              <w:spacing w:before="85" w:line="179" w:lineRule="auto"/>
              <w:rPr>
                <w:sz w:val="20"/>
                <w:szCs w:val="20"/>
              </w:rPr>
            </w:pPr>
            <w:r>
              <w:rPr>
                <w:sz w:val="20"/>
                <w:szCs w:val="20"/>
                <w:b/>
                <w:bCs/>
                <w:color w:val="00C0AE"/>
              </w:rPr>
              <w:t>辅助服务</w:t>
            </w:r>
          </w:p>
        </w:tc>
        <w:tc>
          <w:tcPr>
            <w:shd w:val="clear" w:fill="F1F1F1"/>
            <w:tcW w:w="2829" w:type="dxa"/>
            <w:vAlign w:val="top"/>
            <w:tcBorders>
              <w:left w:val="single" w:color="A8A8A8" w:sz="2" w:space="0"/>
              <w:right w:val="single" w:color="A8A8A8" w:sz="2" w:space="0"/>
            </w:tcBorders>
          </w:tcPr>
          <w:p>
            <w:pPr>
              <w:spacing w:line="256" w:lineRule="auto"/>
              <w:rPr>
                <w:rFonts w:ascii="Arial"/>
                <w:sz w:val="21"/>
              </w:rPr>
            </w:pPr>
            <w:r/>
          </w:p>
          <w:p>
            <w:pPr>
              <w:spacing w:line="257" w:lineRule="auto"/>
              <w:rPr>
                <w:rFonts w:ascii="Arial"/>
                <w:sz w:val="21"/>
              </w:rPr>
            </w:pPr>
            <w:r/>
          </w:p>
          <w:p>
            <w:pPr>
              <w:pStyle w:val="TableText"/>
              <w:ind w:left="105"/>
              <w:spacing w:before="86" w:line="176" w:lineRule="auto"/>
              <w:rPr>
                <w:sz w:val="20"/>
                <w:szCs w:val="20"/>
              </w:rPr>
            </w:pPr>
            <w:r>
              <w:rPr>
                <w:sz w:val="20"/>
                <w:szCs w:val="20"/>
                <w:spacing w:val="-3"/>
              </w:rPr>
              <w:t>包括调峰、调频等。</w:t>
            </w:r>
          </w:p>
        </w:tc>
        <w:tc>
          <w:tcPr>
            <w:shd w:val="clear" w:fill="F1F1F1"/>
            <w:tcW w:w="2842" w:type="dxa"/>
            <w:vAlign w:val="top"/>
            <w:tcBorders>
              <w:left w:val="single" w:color="A8A8A8" w:sz="2" w:space="0"/>
              <w:right w:val="single" w:color="A8A8A8" w:sz="2" w:space="0"/>
            </w:tcBorders>
          </w:tcPr>
          <w:p>
            <w:pPr>
              <w:pStyle w:val="TableText"/>
              <w:ind w:left="111" w:right="117" w:hanging="1"/>
              <w:spacing w:before="216" w:line="180" w:lineRule="auto"/>
              <w:rPr>
                <w:sz w:val="20"/>
                <w:szCs w:val="20"/>
              </w:rPr>
            </w:pPr>
            <w:r>
              <w:rPr>
                <w:sz w:val="20"/>
                <w:szCs w:val="20"/>
              </w:rPr>
              <w:t>各省对于调峰和调频的补偿金</w:t>
            </w:r>
            <w:r>
              <w:rPr>
                <w:sz w:val="20"/>
                <w:szCs w:val="20"/>
                <w:spacing w:val="8"/>
              </w:rPr>
              <w:t xml:space="preserve"> </w:t>
            </w:r>
            <w:r>
              <w:rPr>
                <w:sz w:val="20"/>
                <w:szCs w:val="20"/>
              </w:rPr>
              <w:t>额不同，主要按调峰电量给予</w:t>
            </w:r>
          </w:p>
          <w:p>
            <w:pPr>
              <w:pStyle w:val="TableText"/>
              <w:ind w:left="106" w:right="508" w:firstLine="9"/>
              <w:spacing w:line="186" w:lineRule="auto"/>
              <w:rPr>
                <w:sz w:val="20"/>
                <w:szCs w:val="20"/>
              </w:rPr>
            </w:pPr>
            <w:r>
              <w:rPr>
                <w:sz w:val="20"/>
                <w:szCs w:val="20"/>
                <w:spacing w:val="-1"/>
              </w:rPr>
              <w:t>充电补偿，价格从0.15元</w:t>
            </w:r>
            <w:r>
              <w:rPr>
                <w:sz w:val="20"/>
                <w:szCs w:val="20"/>
                <w:spacing w:val="3"/>
              </w:rPr>
              <w:t xml:space="preserve"> </w:t>
            </w:r>
            <w:r>
              <w:rPr>
                <w:sz w:val="20"/>
                <w:szCs w:val="20"/>
                <w:spacing w:val="-7"/>
              </w:rPr>
              <w:t>/kWh到0.8元/kWh不等。</w:t>
            </w:r>
          </w:p>
        </w:tc>
        <w:tc>
          <w:tcPr>
            <w:shd w:val="clear" w:fill="F1F1F1"/>
            <w:tcW w:w="2838" w:type="dxa"/>
            <w:vAlign w:val="top"/>
            <w:tcBorders>
              <w:left w:val="single" w:color="A8A8A8" w:sz="2" w:space="0"/>
            </w:tcBorders>
          </w:tcPr>
          <w:p>
            <w:pPr>
              <w:spacing w:line="257" w:lineRule="auto"/>
              <w:rPr>
                <w:rFonts w:ascii="Arial"/>
                <w:sz w:val="21"/>
              </w:rPr>
            </w:pPr>
            <w:r/>
          </w:p>
          <w:p>
            <w:pPr>
              <w:pStyle w:val="TableText"/>
              <w:ind w:left="111" w:right="214" w:firstLine="4"/>
              <w:spacing w:before="86" w:line="184" w:lineRule="auto"/>
              <w:jc w:val="both"/>
              <w:rPr>
                <w:sz w:val="20"/>
                <w:szCs w:val="20"/>
              </w:rPr>
            </w:pPr>
            <w:r>
              <w:rPr>
                <w:sz w:val="20"/>
                <w:szCs w:val="20"/>
                <w:spacing w:val="-2"/>
              </w:rPr>
              <w:t>按照500小时调峰数，0.5元</w:t>
            </w:r>
            <w:r>
              <w:rPr>
                <w:sz w:val="20"/>
                <w:szCs w:val="20"/>
                <w:spacing w:val="3"/>
              </w:rPr>
              <w:t xml:space="preserve">  </w:t>
            </w:r>
            <w:r>
              <w:rPr>
                <w:sz w:val="20"/>
                <w:szCs w:val="20"/>
                <w:spacing w:val="-2"/>
              </w:rPr>
              <w:t>/kWh的价格测算，一年的调</w:t>
            </w:r>
            <w:r>
              <w:rPr>
                <w:sz w:val="20"/>
                <w:szCs w:val="20"/>
                <w:spacing w:val="4"/>
              </w:rPr>
              <w:t xml:space="preserve"> </w:t>
            </w:r>
            <w:r>
              <w:rPr>
                <w:sz w:val="20"/>
                <w:szCs w:val="20"/>
                <w:spacing w:val="-3"/>
              </w:rPr>
              <w:t>峰收入2,500万元左右。</w:t>
            </w:r>
          </w:p>
        </w:tc>
      </w:tr>
    </w:tbl>
    <w:p>
      <w:pPr>
        <w:ind w:left="349"/>
        <w:spacing w:before="258" w:line="17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9"/>
        </w:rPr>
        <w:t>资料来源：江苏省储能行业协会、储能与电力市场、索比光伏网、北极星电力网、毕马威分析</w:t>
      </w:r>
    </w:p>
    <w:p>
      <w:pPr>
        <w:ind w:left="347"/>
        <w:spacing w:line="197"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5"/>
        </w:rPr>
        <w:t>注：</w:t>
      </w:r>
      <w:r>
        <w:rPr>
          <w:rFonts w:ascii="Microsoft YaHei" w:hAnsi="Microsoft YaHei" w:eastAsia="Microsoft YaHei" w:cs="Microsoft YaHei"/>
          <w:sz w:val="15"/>
          <w:szCs w:val="15"/>
          <w:spacing w:val="-9"/>
        </w:rPr>
        <w:t xml:space="preserve"> </w:t>
      </w:r>
      <w:r>
        <w:rPr>
          <w:rFonts w:ascii="Microsoft YaHei" w:hAnsi="Microsoft YaHei" w:eastAsia="Microsoft YaHei" w:cs="Microsoft YaHei"/>
          <w:sz w:val="15"/>
          <w:szCs w:val="15"/>
          <w:spacing w:val="5"/>
        </w:rPr>
        <w:t>100</w:t>
      </w:r>
      <w:r>
        <w:rPr>
          <w:rFonts w:ascii="Microsoft YaHei" w:hAnsi="Microsoft YaHei" w:eastAsia="Microsoft YaHei" w:cs="Microsoft YaHei"/>
          <w:sz w:val="15"/>
          <w:szCs w:val="15"/>
        </w:rPr>
        <w:t>MW</w:t>
      </w:r>
      <w:r>
        <w:rPr>
          <w:rFonts w:ascii="Microsoft YaHei" w:hAnsi="Microsoft YaHei" w:eastAsia="Microsoft YaHei" w:cs="Microsoft YaHei"/>
          <w:sz w:val="15"/>
          <w:szCs w:val="15"/>
          <w:spacing w:val="5"/>
        </w:rPr>
        <w:t>/200</w:t>
      </w:r>
      <w:r>
        <w:rPr>
          <w:rFonts w:ascii="Microsoft YaHei" w:hAnsi="Microsoft YaHei" w:eastAsia="Microsoft YaHei" w:cs="Microsoft YaHei"/>
          <w:sz w:val="15"/>
          <w:szCs w:val="15"/>
        </w:rPr>
        <w:t>MWh</w:t>
      </w:r>
      <w:r>
        <w:rPr>
          <w:rFonts w:ascii="Microsoft YaHei" w:hAnsi="Microsoft YaHei" w:eastAsia="Microsoft YaHei" w:cs="Microsoft YaHei"/>
          <w:sz w:val="15"/>
          <w:szCs w:val="15"/>
          <w:spacing w:val="5"/>
        </w:rPr>
        <w:t>独立储能电站收益是山东电力工程咨询院根据模型侧算能够盈利需要的收入。</w:t>
      </w:r>
    </w:p>
    <w:p>
      <w:pPr>
        <w:pStyle w:val="BodyText"/>
        <w:spacing w:line="314" w:lineRule="auto"/>
        <w:rPr/>
      </w:pPr>
      <w:r/>
    </w:p>
    <w:p>
      <w:pPr>
        <w:pStyle w:val="BodyText"/>
        <w:spacing w:line="315" w:lineRule="auto"/>
        <w:rPr/>
      </w:pPr>
      <w:r>
        <w:pict>
          <v:shape id="_x0000_s992" style="position:absolute;margin-left:17.2011pt;margin-top:7.75186pt;mso-position-vertical-relative:text;mso-position-horizontal-relative:text;width:81.3pt;height:0.5pt;z-index:252908544;" filled="false" strokecolor="#000000" strokeweight="0.50pt" coordsize="1626,10" coordorigin="0,0" path="m0,5l1625,5e">
            <v:stroke joinstyle="miter"/>
          </v:shape>
        </w:pict>
      </w:r>
      <w:r/>
    </w:p>
    <w:p>
      <w:pPr>
        <w:ind w:left="343"/>
        <w:spacing w:before="57" w:line="192"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6"/>
          <w:position w:val="4"/>
        </w:rPr>
        <w:t>54</w:t>
      </w:r>
      <w:r>
        <w:rPr>
          <w:rFonts w:ascii="Microsoft YaHei" w:hAnsi="Microsoft YaHei" w:eastAsia="Microsoft YaHei" w:cs="Microsoft YaHei"/>
          <w:sz w:val="9"/>
          <w:szCs w:val="9"/>
          <w:spacing w:val="16"/>
          <w:position w:val="4"/>
        </w:rPr>
        <w:t xml:space="preserve"> </w:t>
      </w:r>
      <w:r>
        <w:rPr>
          <w:rFonts w:ascii="Microsoft YaHei" w:hAnsi="Microsoft YaHei" w:eastAsia="Microsoft YaHei" w:cs="Microsoft YaHei"/>
          <w:sz w:val="13"/>
          <w:szCs w:val="13"/>
          <w:spacing w:val="6"/>
        </w:rPr>
        <w:t>新型储能：赚钱的路更多了，也更难了，数字能源网，  2022年8月2日，</w:t>
      </w:r>
      <w:r>
        <w:rPr>
          <w:rFonts w:ascii="Microsoft YaHei" w:hAnsi="Microsoft YaHei" w:eastAsia="Microsoft YaHei" w:cs="Microsoft YaHei"/>
          <w:sz w:val="13"/>
          <w:szCs w:val="13"/>
          <w:spacing w:val="-8"/>
        </w:rPr>
        <w:t xml:space="preserve"> </w:t>
      </w:r>
      <w:hyperlink w:history="true" r:id="rId257">
        <w:r>
          <w:rPr>
            <w:rFonts w:ascii="Microsoft YaHei" w:hAnsi="Microsoft YaHei" w:eastAsia="Microsoft YaHei" w:cs="Microsoft YaHei"/>
            <w:sz w:val="13"/>
            <w:szCs w:val="13"/>
          </w:rPr>
          <w:t>http</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de</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escn</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com</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cn</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news</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show</w:t>
        </w:r>
        <w:r>
          <w:rPr>
            <w:rFonts w:ascii="Microsoft YaHei" w:hAnsi="Microsoft YaHei" w:eastAsia="Microsoft YaHei" w:cs="Microsoft YaHei"/>
            <w:sz w:val="13"/>
            <w:szCs w:val="13"/>
            <w:spacing w:val="5"/>
          </w:rPr>
          <w:t>-1445347.</w:t>
        </w:r>
        <w:r>
          <w:rPr>
            <w:rFonts w:ascii="Microsoft YaHei" w:hAnsi="Microsoft YaHei" w:eastAsia="Microsoft YaHei" w:cs="Microsoft YaHei"/>
            <w:sz w:val="13"/>
            <w:szCs w:val="13"/>
          </w:rPr>
          <w:t>html</w:t>
        </w:r>
      </w:hyperlink>
    </w:p>
    <w:p>
      <w:pPr>
        <w:ind w:left="343" w:right="3127"/>
        <w:spacing w:before="51" w:line="183"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9"/>
          <w:position w:val="4"/>
        </w:rPr>
        <w:t>55</w:t>
      </w:r>
      <w:r>
        <w:rPr>
          <w:rFonts w:ascii="Microsoft YaHei" w:hAnsi="Microsoft YaHei" w:eastAsia="Microsoft YaHei" w:cs="Microsoft YaHei"/>
          <w:sz w:val="9"/>
          <w:szCs w:val="9"/>
          <w:spacing w:val="17"/>
          <w:w w:val="102"/>
          <w:position w:val="4"/>
        </w:rPr>
        <w:t xml:space="preserve"> </w:t>
      </w:r>
      <w:r>
        <w:rPr>
          <w:rFonts w:ascii="Microsoft YaHei" w:hAnsi="Microsoft YaHei" w:eastAsia="Microsoft YaHei" w:cs="Microsoft YaHei"/>
          <w:sz w:val="13"/>
          <w:szCs w:val="13"/>
          <w:spacing w:val="9"/>
        </w:rPr>
        <w:t>黑启动是指电力系统大面积停电后，在无外界电源支持的情况下，由具备自启动能力的发电机组或抽水蓄能、新型储能等</w:t>
      </w:r>
      <w:r>
        <w:rPr>
          <w:rFonts w:ascii="Microsoft YaHei" w:hAnsi="Microsoft YaHei" w:eastAsia="Microsoft YaHei" w:cs="Microsoft YaHei"/>
          <w:sz w:val="13"/>
          <w:szCs w:val="13"/>
          <w:spacing w:val="8"/>
        </w:rPr>
        <w:t>所提</w:t>
      </w:r>
      <w:r>
        <w:rPr>
          <w:rFonts w:ascii="Microsoft YaHei" w:hAnsi="Microsoft YaHei" w:eastAsia="Microsoft YaHei" w:cs="Microsoft YaHei"/>
          <w:sz w:val="13"/>
          <w:szCs w:val="13"/>
        </w:rPr>
        <w:t xml:space="preserve"> </w:t>
      </w:r>
      <w:r>
        <w:rPr>
          <w:rFonts w:ascii="Microsoft YaHei" w:hAnsi="Microsoft YaHei" w:eastAsia="Microsoft YaHei" w:cs="Microsoft YaHei"/>
          <w:sz w:val="13"/>
          <w:szCs w:val="13"/>
          <w:spacing w:val="6"/>
        </w:rPr>
        <w:t>供的恢复系统供电的服务。</w:t>
      </w:r>
    </w:p>
    <w:p>
      <w:pPr>
        <w:pStyle w:val="BodyText"/>
        <w:spacing w:line="421" w:lineRule="auto"/>
        <w:rPr/>
      </w:pPr>
      <w:r/>
    </w:p>
    <w:p>
      <w:pPr>
        <w:ind w:left="844" w:right="1241" w:hanging="411"/>
        <w:spacing w:before="48"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961" w:header="0" w:footer="0" w:gutter="0"/>
        </w:sectPr>
        <w:rPr>
          <w:rFonts w:ascii="Microsoft YaHei" w:hAnsi="Microsoft YaHei" w:eastAsia="Microsoft YaHei" w:cs="Microsoft YaHei"/>
          <w:sz w:val="11"/>
          <w:szCs w:val="11"/>
        </w:rPr>
      </w:pPr>
    </w:p>
    <w:p>
      <w:pPr>
        <w:ind w:left="7674"/>
        <w:spacing w:before="314" w:line="193" w:lineRule="auto"/>
        <w:outlineLvl w:val="0"/>
        <w:rPr>
          <w:rFonts w:ascii="Microsoft YaHei" w:hAnsi="Microsoft YaHei" w:eastAsia="Microsoft YaHei" w:cs="Microsoft YaHei"/>
          <w:sz w:val="18"/>
          <w:szCs w:val="18"/>
        </w:rPr>
      </w:pPr>
      <w:r>
        <w:pict>
          <v:rect id="_x0000_s994" style="position:absolute;margin-left:611.99pt;margin-top:0pt;mso-position-vertical-relative:page;mso-position-horizontal-relative:page;width:0.25pt;height:859pt;z-index:252943360;" o:allowincell="f" fillcolor="#000000" filled="true" stroked="false"/>
        </w:pict>
      </w:r>
      <w:r>
        <w:rPr>
          <w:rFonts w:ascii="Microsoft YaHei" w:hAnsi="Microsoft YaHei" w:eastAsia="Microsoft YaHei" w:cs="Microsoft YaHei"/>
          <w:sz w:val="18"/>
          <w:szCs w:val="18"/>
          <w:color w:val="A8A8A8"/>
        </w:rPr>
        <w:t>新型储能助力能源转型</w:t>
      </w:r>
      <w:r>
        <w:rPr>
          <w:rFonts w:ascii="Microsoft YaHei" w:hAnsi="Microsoft YaHei" w:eastAsia="Microsoft YaHei" w:cs="Microsoft YaHei"/>
          <w:sz w:val="18"/>
          <w:szCs w:val="18"/>
          <w:color w:val="A8A8A8"/>
          <w:spacing w:val="20"/>
        </w:rPr>
        <w:t xml:space="preserve">  </w:t>
      </w:r>
      <w:r>
        <w:rPr>
          <w:sz w:val="18"/>
          <w:szCs w:val="18"/>
          <w:position w:val="-4"/>
        </w:rPr>
        <w:drawing>
          <wp:inline distT="0" distB="0" distL="0" distR="0">
            <wp:extent cx="6350" cy="130175"/>
            <wp:effectExtent l="0" t="0" r="0" b="0"/>
            <wp:docPr id="538" name="IM 538"/>
            <wp:cNvGraphicFramePr/>
            <a:graphic>
              <a:graphicData uri="http://schemas.openxmlformats.org/drawingml/2006/picture">
                <pic:pic>
                  <pic:nvPicPr>
                    <pic:cNvPr id="538" name="IM 538"/>
                    <pic:cNvPicPr/>
                  </pic:nvPicPr>
                  <pic:blipFill>
                    <a:blip r:embed="rId258"/>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spacing w:val="15"/>
          <w:w w:val="101"/>
        </w:rPr>
        <w:t xml:space="preserve">  </w:t>
      </w:r>
      <w:r>
        <w:rPr>
          <w:rFonts w:ascii="Microsoft YaHei" w:hAnsi="Microsoft YaHei" w:eastAsia="Microsoft YaHei" w:cs="Microsoft YaHei"/>
          <w:sz w:val="18"/>
          <w:szCs w:val="18"/>
          <w:b/>
          <w:bCs/>
          <w:color w:val="A8A8A8"/>
        </w:rPr>
        <w:t>50</w:t>
      </w: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ind w:left="7" w:right="2997" w:firstLine="6"/>
        <w:spacing w:before="90" w:line="217"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虽然独立储能电站收入渠道有多种</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，但是这些渠道并没有在全国推广</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3"/>
        </w:rPr>
        <w:t>，</w:t>
      </w:r>
      <w:r>
        <w:rPr>
          <w:rFonts w:ascii="Microsoft YaHei" w:hAnsi="Microsoft YaHei" w:eastAsia="Microsoft YaHei" w:cs="Microsoft YaHei"/>
          <w:sz w:val="21"/>
          <w:szCs w:val="21"/>
          <w:spacing w:val="2"/>
        </w:rPr>
        <w:t>只是部分省市</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在进行试点，不同省市独立储能收益模式略有不同（表  14）。由于各地市场规则不同</w:t>
      </w:r>
      <w:r>
        <w:rPr>
          <w:rFonts w:ascii="Microsoft YaHei" w:hAnsi="Microsoft YaHei" w:eastAsia="Microsoft YaHei" w:cs="Microsoft YaHei"/>
          <w:sz w:val="21"/>
          <w:szCs w:val="21"/>
          <w:spacing w:val="17"/>
          <w:w w:val="101"/>
        </w:rPr>
        <w:t xml:space="preserve"> </w:t>
      </w:r>
      <w:r>
        <w:rPr>
          <w:rFonts w:ascii="Microsoft YaHei" w:hAnsi="Microsoft YaHei" w:eastAsia="Microsoft YaHei" w:cs="Microsoft YaHei"/>
          <w:sz w:val="21"/>
          <w:szCs w:val="21"/>
          <w:spacing w:val="3"/>
        </w:rPr>
        <w:t>和储能本身的运行特点</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，多数情况下储能不能得到全部渠道的</w:t>
      </w:r>
      <w:r>
        <w:rPr>
          <w:rFonts w:ascii="Microsoft YaHei" w:hAnsi="Microsoft YaHei" w:eastAsia="Microsoft YaHei" w:cs="Microsoft YaHei"/>
          <w:sz w:val="21"/>
          <w:szCs w:val="21"/>
          <w:spacing w:val="2"/>
        </w:rPr>
        <w:t>收益</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，只能同时获得其</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中部分收益。在没有开展电力现货交易的区域</w:t>
      </w:r>
      <w:r>
        <w:rPr>
          <w:rFonts w:ascii="Microsoft YaHei" w:hAnsi="Microsoft YaHei" w:eastAsia="Microsoft YaHei" w:cs="Microsoft YaHei"/>
          <w:sz w:val="21"/>
          <w:szCs w:val="21"/>
          <w:spacing w:val="-24"/>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41"/>
        </w:rPr>
        <w:t xml:space="preserve"> </w:t>
      </w:r>
      <w:r>
        <w:rPr>
          <w:rFonts w:ascii="Microsoft YaHei" w:hAnsi="Microsoft YaHei" w:eastAsia="Microsoft YaHei" w:cs="Microsoft YaHei"/>
          <w:sz w:val="21"/>
          <w:szCs w:val="21"/>
          <w:spacing w:val="2"/>
        </w:rPr>
        <w:t>以调峰为主；</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在开展电力现货交易的</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区域，以“电力现货交易价差+容量租赁”为主。</w:t>
      </w:r>
    </w:p>
    <w:p>
      <w:pPr>
        <w:ind w:left="29"/>
        <w:spacing w:before="271" w:line="19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C0AE"/>
          <w:spacing w:val="-3"/>
        </w:rPr>
        <w:t>表 14 | 部分省份独立储能电站收益模式</w:t>
      </w:r>
    </w:p>
    <w:p>
      <w:pPr>
        <w:spacing w:line="122" w:lineRule="exact"/>
        <w:rPr/>
      </w:pPr>
      <w:r/>
    </w:p>
    <w:tbl>
      <w:tblPr>
        <w:tblStyle w:val="TableNormal"/>
        <w:tblW w:w="9617" w:type="dxa"/>
        <w:tblInd w:w="24" w:type="dxa"/>
        <w:tblLayout w:type="fixed"/>
        <w:tblBorders>
          <w:top w:val="single" w:color="A8A8A8" w:sz="2" w:space="0"/>
          <w:left w:val="single" w:color="A8A8A8" w:sz="2" w:space="0"/>
          <w:bottom w:val="single" w:color="A8A8A8" w:sz="2" w:space="0"/>
          <w:right w:val="single" w:color="A8A8A8" w:sz="2" w:space="0"/>
          <w:insideH w:val="single" w:color="A8A8A8" w:sz="2" w:space="0"/>
          <w:insideV w:val="single" w:color="A8A8A8" w:sz="2" w:space="0"/>
        </w:tblBorders>
      </w:tblPr>
      <w:tblGrid>
        <w:gridCol w:w="2544"/>
        <w:gridCol w:w="5069"/>
        <w:gridCol w:w="2004"/>
      </w:tblGrid>
      <w:tr>
        <w:trPr>
          <w:trHeight w:val="534" w:hRule="atLeast"/>
        </w:trPr>
        <w:tc>
          <w:tcPr>
            <w:shd w:val="clear" w:fill="00C0AE"/>
            <w:tcW w:w="2544" w:type="dxa"/>
            <w:vAlign w:val="top"/>
            <w:tcBorders>
              <w:left w:val="single" w:color="FFFFFF" w:sz="8" w:space="0"/>
              <w:right w:val="single" w:color="FFFFFF" w:sz="8" w:space="0"/>
              <w:top w:val="single" w:color="FFFFFF" w:sz="8" w:space="0"/>
              <w:bottom w:val="single" w:color="FFFFFF" w:sz="24" w:space="0"/>
            </w:tcBorders>
          </w:tcPr>
          <w:p>
            <w:pPr>
              <w:pStyle w:val="TableText"/>
              <w:ind w:left="631"/>
              <w:spacing w:before="154" w:line="180" w:lineRule="auto"/>
              <w:rPr>
                <w:sz w:val="21"/>
                <w:szCs w:val="21"/>
              </w:rPr>
            </w:pPr>
            <w:r>
              <w:rPr>
                <w:sz w:val="21"/>
                <w:szCs w:val="21"/>
                <w:b/>
                <w:bCs/>
                <w:color w:val="FFFFFF"/>
              </w:rPr>
              <w:t>独立储能电站</w:t>
            </w:r>
          </w:p>
        </w:tc>
        <w:tc>
          <w:tcPr>
            <w:shd w:val="clear" w:fill="00C0AE"/>
            <w:tcW w:w="5069" w:type="dxa"/>
            <w:vAlign w:val="top"/>
            <w:tcBorders>
              <w:left w:val="single" w:color="FFFFFF" w:sz="8" w:space="0"/>
              <w:right w:val="single" w:color="FFFFFF" w:sz="8" w:space="0"/>
              <w:top w:val="single" w:color="FFFFFF" w:sz="8" w:space="0"/>
              <w:bottom w:val="single" w:color="FFFFFF" w:sz="24" w:space="0"/>
            </w:tcBorders>
          </w:tcPr>
          <w:p>
            <w:pPr>
              <w:pStyle w:val="TableText"/>
              <w:ind w:left="2111"/>
              <w:spacing w:before="157" w:line="178" w:lineRule="auto"/>
              <w:rPr>
                <w:sz w:val="21"/>
                <w:szCs w:val="21"/>
              </w:rPr>
            </w:pPr>
            <w:r>
              <w:rPr>
                <w:sz w:val="21"/>
                <w:szCs w:val="21"/>
                <w:b/>
                <w:bCs/>
                <w:color w:val="FFFFFF"/>
                <w:spacing w:val="-2"/>
              </w:rPr>
              <w:t>收益模式</w:t>
            </w:r>
          </w:p>
        </w:tc>
        <w:tc>
          <w:tcPr>
            <w:shd w:val="clear" w:fill="00C0AE"/>
            <w:tcW w:w="2004" w:type="dxa"/>
            <w:vAlign w:val="top"/>
            <w:tcBorders>
              <w:left w:val="single" w:color="FFFFFF" w:sz="8" w:space="0"/>
              <w:right w:val="single" w:color="FFFFFF" w:sz="8" w:space="0"/>
              <w:top w:val="single" w:color="FFFFFF" w:sz="8" w:space="0"/>
              <w:bottom w:val="single" w:color="FFFFFF" w:sz="24" w:space="0"/>
            </w:tcBorders>
          </w:tcPr>
          <w:p>
            <w:pPr>
              <w:pStyle w:val="TableText"/>
              <w:ind w:left="574"/>
              <w:spacing w:before="155" w:line="181" w:lineRule="auto"/>
              <w:rPr>
                <w:sz w:val="21"/>
                <w:szCs w:val="21"/>
              </w:rPr>
            </w:pPr>
            <w:r>
              <w:rPr>
                <w:sz w:val="21"/>
                <w:szCs w:val="21"/>
                <w:b/>
                <w:bCs/>
                <w:color w:val="FFFFFF"/>
                <w:spacing w:val="-1"/>
              </w:rPr>
              <w:t>推广程度</w:t>
            </w:r>
          </w:p>
        </w:tc>
      </w:tr>
      <w:tr>
        <w:trPr>
          <w:trHeight w:val="389" w:hRule="atLeast"/>
        </w:trPr>
        <w:tc>
          <w:tcPr>
            <w:tcW w:w="2544" w:type="dxa"/>
            <w:vAlign w:val="top"/>
            <w:vMerge w:val="restart"/>
            <w:tcBorders>
              <w:left w:val="single" w:color="FFFFFF" w:sz="8" w:space="0"/>
              <w:top w:val="single" w:color="FFFFFF" w:sz="24" w:space="0"/>
              <w:bottom w:val="nil"/>
            </w:tcBorders>
          </w:tcPr>
          <w:p>
            <w:pPr>
              <w:pStyle w:val="TableText"/>
              <w:ind w:left="316"/>
              <w:spacing w:before="288" w:line="181" w:lineRule="auto"/>
              <w:rPr>
                <w:sz w:val="21"/>
                <w:szCs w:val="21"/>
              </w:rPr>
            </w:pPr>
            <w:r>
              <w:rPr>
                <w:sz w:val="21"/>
                <w:szCs w:val="21"/>
                <w:b/>
                <w:bCs/>
                <w:color w:val="00C0AE"/>
              </w:rPr>
              <w:t>无电力现货交易地区</w:t>
            </w:r>
          </w:p>
        </w:tc>
        <w:tc>
          <w:tcPr>
            <w:tcW w:w="5069" w:type="dxa"/>
            <w:vAlign w:val="top"/>
            <w:tcBorders>
              <w:top w:val="single" w:color="FFFFFF" w:sz="24" w:space="0"/>
            </w:tcBorders>
          </w:tcPr>
          <w:p>
            <w:pPr>
              <w:pStyle w:val="TableText"/>
              <w:ind w:left="105"/>
              <w:spacing w:before="67" w:line="176" w:lineRule="auto"/>
              <w:rPr>
                <w:sz w:val="21"/>
                <w:szCs w:val="21"/>
              </w:rPr>
            </w:pPr>
            <w:r>
              <w:rPr>
                <w:sz w:val="21"/>
                <w:szCs w:val="21"/>
                <w:spacing w:val="-1"/>
              </w:rPr>
              <w:t>调峰补偿</w:t>
            </w:r>
          </w:p>
        </w:tc>
        <w:tc>
          <w:tcPr>
            <w:tcW w:w="2004" w:type="dxa"/>
            <w:vAlign w:val="top"/>
            <w:tcBorders>
              <w:right w:val="single" w:color="FFFFFF" w:sz="8" w:space="0"/>
              <w:top w:val="single" w:color="FFFFFF" w:sz="24" w:space="0"/>
            </w:tcBorders>
          </w:tcPr>
          <w:p>
            <w:pPr>
              <w:pStyle w:val="TableText"/>
              <w:ind w:left="112"/>
              <w:spacing w:before="64" w:line="179" w:lineRule="auto"/>
              <w:rPr>
                <w:sz w:val="21"/>
                <w:szCs w:val="21"/>
              </w:rPr>
            </w:pPr>
            <w:r>
              <w:rPr>
                <w:sz w:val="21"/>
                <w:szCs w:val="21"/>
              </w:rPr>
              <w:t>全国普遍推广</w:t>
            </w:r>
          </w:p>
        </w:tc>
      </w:tr>
      <w:tr>
        <w:trPr>
          <w:trHeight w:val="444" w:hRule="atLeast"/>
        </w:trPr>
        <w:tc>
          <w:tcPr>
            <w:tcW w:w="2544" w:type="dxa"/>
            <w:vAlign w:val="top"/>
            <w:vMerge w:val="continue"/>
            <w:tcBorders>
              <w:left w:val="single" w:color="FFFFFF" w:sz="8" w:space="0"/>
              <w:top w:val="nil"/>
            </w:tcBorders>
          </w:tcPr>
          <w:p>
            <w:pPr>
              <w:rPr>
                <w:rFonts w:ascii="Arial"/>
                <w:sz w:val="21"/>
              </w:rPr>
            </w:pPr>
            <w:r/>
          </w:p>
        </w:tc>
        <w:tc>
          <w:tcPr>
            <w:tcW w:w="5069" w:type="dxa"/>
            <w:vAlign w:val="top"/>
          </w:tcPr>
          <w:p>
            <w:pPr>
              <w:pStyle w:val="TableText"/>
              <w:ind w:left="105"/>
              <w:spacing w:before="123" w:line="177" w:lineRule="auto"/>
              <w:rPr>
                <w:sz w:val="21"/>
                <w:szCs w:val="21"/>
              </w:rPr>
            </w:pPr>
            <w:r>
              <w:rPr>
                <w:sz w:val="21"/>
                <w:szCs w:val="21"/>
                <w:spacing w:val="-5"/>
              </w:rPr>
              <w:t>调峰补偿+容量租赁</w:t>
            </w:r>
          </w:p>
        </w:tc>
        <w:tc>
          <w:tcPr>
            <w:tcW w:w="2004" w:type="dxa"/>
            <w:vAlign w:val="top"/>
            <w:tcBorders>
              <w:right w:val="single" w:color="FFFFFF" w:sz="8" w:space="0"/>
            </w:tcBorders>
          </w:tcPr>
          <w:p>
            <w:pPr>
              <w:pStyle w:val="TableText"/>
              <w:ind w:left="115"/>
              <w:spacing w:before="124" w:line="176" w:lineRule="auto"/>
              <w:rPr>
                <w:sz w:val="21"/>
                <w:szCs w:val="21"/>
              </w:rPr>
            </w:pPr>
            <w:r>
              <w:rPr>
                <w:sz w:val="21"/>
                <w:szCs w:val="21"/>
                <w:spacing w:val="-1"/>
              </w:rPr>
              <w:t>湖南、宁夏等</w:t>
            </w:r>
          </w:p>
        </w:tc>
      </w:tr>
      <w:tr>
        <w:trPr>
          <w:trHeight w:val="444" w:hRule="atLeast"/>
        </w:trPr>
        <w:tc>
          <w:tcPr>
            <w:shd w:val="clear" w:fill="F1F1F1"/>
            <w:tcW w:w="2544" w:type="dxa"/>
            <w:vAlign w:val="top"/>
            <w:vMerge w:val="restart"/>
            <w:tcBorders>
              <w:left w:val="single" w:color="FFFFFF" w:sz="8" w:space="0"/>
              <w:bottom w:val="nil"/>
            </w:tcBorders>
          </w:tcPr>
          <w:p>
            <w:pPr>
              <w:spacing w:line="242" w:lineRule="auto"/>
              <w:rPr>
                <w:rFonts w:ascii="Arial"/>
                <w:sz w:val="21"/>
              </w:rPr>
            </w:pPr>
            <w:r/>
          </w:p>
          <w:p>
            <w:pPr>
              <w:spacing w:line="243" w:lineRule="auto"/>
              <w:rPr>
                <w:rFonts w:ascii="Arial"/>
                <w:sz w:val="21"/>
              </w:rPr>
            </w:pPr>
            <w:r/>
          </w:p>
          <w:p>
            <w:pPr>
              <w:pStyle w:val="TableText"/>
              <w:ind w:left="314"/>
              <w:spacing w:before="91" w:line="181" w:lineRule="auto"/>
              <w:rPr>
                <w:sz w:val="21"/>
                <w:szCs w:val="21"/>
              </w:rPr>
            </w:pPr>
            <w:r>
              <w:rPr>
                <w:sz w:val="21"/>
                <w:szCs w:val="21"/>
                <w:b/>
                <w:bCs/>
                <w:color w:val="00C0AE"/>
              </w:rPr>
              <w:t>含电力现货交易地区</w:t>
            </w:r>
          </w:p>
        </w:tc>
        <w:tc>
          <w:tcPr>
            <w:shd w:val="clear" w:fill="F1F1F1"/>
            <w:tcW w:w="5069" w:type="dxa"/>
            <w:vAlign w:val="top"/>
          </w:tcPr>
          <w:p>
            <w:pPr>
              <w:pStyle w:val="TableText"/>
              <w:ind w:left="123"/>
              <w:spacing w:before="128" w:line="177" w:lineRule="auto"/>
              <w:rPr>
                <w:sz w:val="21"/>
                <w:szCs w:val="21"/>
              </w:rPr>
            </w:pPr>
            <w:r>
              <w:rPr>
                <w:sz w:val="21"/>
                <w:szCs w:val="21"/>
                <w:spacing w:val="-6"/>
              </w:rPr>
              <w:t>电力现货交易+调频补偿</w:t>
            </w:r>
          </w:p>
        </w:tc>
        <w:tc>
          <w:tcPr>
            <w:shd w:val="clear" w:fill="F1F1F1"/>
            <w:tcW w:w="2004" w:type="dxa"/>
            <w:vAlign w:val="top"/>
            <w:tcBorders>
              <w:right w:val="single" w:color="FFFFFF" w:sz="8" w:space="0"/>
            </w:tcBorders>
          </w:tcPr>
          <w:p>
            <w:pPr>
              <w:pStyle w:val="TableText"/>
              <w:ind w:left="129"/>
              <w:spacing w:before="130" w:line="176" w:lineRule="auto"/>
              <w:rPr>
                <w:sz w:val="21"/>
                <w:szCs w:val="21"/>
              </w:rPr>
            </w:pPr>
            <w:r>
              <w:rPr>
                <w:sz w:val="21"/>
                <w:szCs w:val="21"/>
                <w:spacing w:val="-3"/>
              </w:rPr>
              <w:t>山西推进中</w:t>
            </w:r>
          </w:p>
        </w:tc>
      </w:tr>
      <w:tr>
        <w:trPr>
          <w:trHeight w:val="444" w:hRule="atLeast"/>
        </w:trPr>
        <w:tc>
          <w:tcPr>
            <w:tcW w:w="2544" w:type="dxa"/>
            <w:vAlign w:val="top"/>
            <w:vMerge w:val="continue"/>
            <w:tcBorders>
              <w:left w:val="single" w:color="FFFFFF" w:sz="8" w:space="0"/>
              <w:bottom w:val="nil"/>
              <w:top w:val="nil"/>
            </w:tcBorders>
          </w:tcPr>
          <w:p>
            <w:pPr>
              <w:rPr>
                <w:rFonts w:ascii="Arial"/>
                <w:sz w:val="21"/>
              </w:rPr>
            </w:pPr>
            <w:r/>
          </w:p>
        </w:tc>
        <w:tc>
          <w:tcPr>
            <w:shd w:val="clear" w:fill="F1F1F1"/>
            <w:tcW w:w="5069" w:type="dxa"/>
            <w:vAlign w:val="top"/>
          </w:tcPr>
          <w:p>
            <w:pPr>
              <w:pStyle w:val="TableText"/>
              <w:ind w:left="123"/>
              <w:spacing w:before="133" w:line="177" w:lineRule="auto"/>
              <w:rPr>
                <w:sz w:val="21"/>
                <w:szCs w:val="21"/>
              </w:rPr>
            </w:pPr>
            <w:r>
              <w:rPr>
                <w:sz w:val="21"/>
                <w:szCs w:val="21"/>
                <w:spacing w:val="-6"/>
              </w:rPr>
              <w:t>电力现货交易+容量租赁+容量补偿</w:t>
            </w:r>
          </w:p>
        </w:tc>
        <w:tc>
          <w:tcPr>
            <w:shd w:val="clear" w:fill="F1F1F1"/>
            <w:tcW w:w="2004" w:type="dxa"/>
            <w:vAlign w:val="top"/>
            <w:tcBorders>
              <w:right w:val="single" w:color="FFFFFF" w:sz="8" w:space="0"/>
            </w:tcBorders>
          </w:tcPr>
          <w:p>
            <w:pPr>
              <w:pStyle w:val="TableText"/>
              <w:ind w:left="129"/>
              <w:spacing w:before="134" w:line="176" w:lineRule="auto"/>
              <w:rPr>
                <w:sz w:val="21"/>
                <w:szCs w:val="21"/>
              </w:rPr>
            </w:pPr>
            <w:r>
              <w:rPr>
                <w:sz w:val="21"/>
                <w:szCs w:val="21"/>
                <w:spacing w:val="-3"/>
              </w:rPr>
              <w:t>山东推进中</w:t>
            </w:r>
          </w:p>
        </w:tc>
      </w:tr>
      <w:tr>
        <w:trPr>
          <w:trHeight w:val="458" w:hRule="atLeast"/>
        </w:trPr>
        <w:tc>
          <w:tcPr>
            <w:tcW w:w="2544" w:type="dxa"/>
            <w:vAlign w:val="top"/>
            <w:vMerge w:val="continue"/>
            <w:tcBorders>
              <w:left w:val="single" w:color="FFFFFF" w:sz="8" w:space="0"/>
              <w:bottom w:val="single" w:color="00C0AE" w:sz="12" w:space="0"/>
              <w:top w:val="nil"/>
            </w:tcBorders>
          </w:tcPr>
          <w:p>
            <w:pPr>
              <w:rPr>
                <w:rFonts w:ascii="Arial"/>
                <w:sz w:val="21"/>
              </w:rPr>
            </w:pPr>
            <w:r/>
          </w:p>
        </w:tc>
        <w:tc>
          <w:tcPr>
            <w:shd w:val="clear" w:fill="F1F1F1"/>
            <w:tcW w:w="5069" w:type="dxa"/>
            <w:vAlign w:val="top"/>
            <w:tcBorders>
              <w:bottom w:val="single" w:color="00C0AE" w:sz="12" w:space="0"/>
            </w:tcBorders>
          </w:tcPr>
          <w:p>
            <w:pPr>
              <w:pStyle w:val="TableText"/>
              <w:ind w:left="123"/>
              <w:spacing w:before="137" w:line="177" w:lineRule="auto"/>
              <w:rPr>
                <w:sz w:val="21"/>
                <w:szCs w:val="21"/>
              </w:rPr>
            </w:pPr>
            <w:r>
              <w:rPr>
                <w:sz w:val="21"/>
                <w:szCs w:val="21"/>
                <w:spacing w:val="-7"/>
              </w:rPr>
              <w:t>电力现货交易+容量租赁+辅助服务+容量市场</w:t>
            </w:r>
          </w:p>
        </w:tc>
        <w:tc>
          <w:tcPr>
            <w:shd w:val="clear" w:fill="F1F1F1"/>
            <w:tcW w:w="2004" w:type="dxa"/>
            <w:vAlign w:val="top"/>
            <w:tcBorders>
              <w:right w:val="single" w:color="FFFFFF" w:sz="8" w:space="0"/>
              <w:bottom w:val="single" w:color="00C0AE" w:sz="12" w:space="0"/>
            </w:tcBorders>
          </w:tcPr>
          <w:p>
            <w:pPr>
              <w:pStyle w:val="TableText"/>
              <w:ind w:left="112"/>
              <w:spacing w:before="139" w:line="176" w:lineRule="auto"/>
              <w:rPr>
                <w:sz w:val="21"/>
                <w:szCs w:val="21"/>
              </w:rPr>
            </w:pPr>
            <w:r>
              <w:rPr>
                <w:sz w:val="21"/>
                <w:szCs w:val="21"/>
                <w:spacing w:val="-1"/>
              </w:rPr>
              <w:t>待落地</w:t>
            </w:r>
          </w:p>
        </w:tc>
      </w:tr>
    </w:tbl>
    <w:p>
      <w:pPr>
        <w:ind w:left="10"/>
        <w:spacing w:before="206" w:line="187"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8"/>
        </w:rPr>
        <w:t>资料来源：储能与电力市场，北极星电力网，毕马威分析</w:t>
      </w:r>
    </w:p>
    <w:p>
      <w:pPr>
        <w:pStyle w:val="BodyText"/>
        <w:spacing w:line="424" w:lineRule="auto"/>
        <w:rPr/>
      </w:pPr>
      <w:r/>
    </w:p>
    <w:p>
      <w:pPr>
        <w:ind w:left="9" w:right="2996" w:firstLine="1"/>
        <w:spacing w:before="90" w:line="21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我国电力市场化改革正在逐步推进</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，2022年</w:t>
      </w:r>
      <w:r>
        <w:rPr>
          <w:rFonts w:ascii="Microsoft YaHei" w:hAnsi="Microsoft YaHei" w:eastAsia="Microsoft YaHei" w:cs="Microsoft YaHei"/>
          <w:sz w:val="21"/>
          <w:szCs w:val="21"/>
        </w:rPr>
        <w:t>11月，国家能源局发布了《电力现货市场 </w:t>
      </w:r>
      <w:r>
        <w:rPr>
          <w:rFonts w:ascii="Microsoft YaHei" w:hAnsi="Microsoft YaHei" w:eastAsia="Microsoft YaHei" w:cs="Microsoft YaHei"/>
          <w:sz w:val="21"/>
          <w:szCs w:val="21"/>
          <w:spacing w:val="2"/>
        </w:rPr>
        <w:t>基本规则（征求意见稿）</w:t>
      </w:r>
      <w:r>
        <w:rPr>
          <w:rFonts w:ascii="Microsoft YaHei" w:hAnsi="Microsoft YaHei" w:eastAsia="Microsoft YaHei" w:cs="Microsoft YaHei"/>
          <w:sz w:val="21"/>
          <w:szCs w:val="21"/>
          <w:spacing w:val="-36"/>
        </w:rPr>
        <w:t xml:space="preserve"> </w:t>
      </w:r>
      <w:r>
        <w:rPr>
          <w:rFonts w:ascii="Microsoft YaHei" w:hAnsi="Microsoft YaHei" w:eastAsia="Microsoft YaHei" w:cs="Microsoft YaHei"/>
          <w:sz w:val="21"/>
          <w:szCs w:val="21"/>
          <w:spacing w:val="2"/>
        </w:rPr>
        <w:t>》《电力现货市场监管办法（征求意见稿）</w:t>
      </w:r>
      <w:r>
        <w:rPr>
          <w:rFonts w:ascii="Microsoft YaHei" w:hAnsi="Microsoft YaHei" w:eastAsia="Microsoft YaHei" w:cs="Microsoft YaHei"/>
          <w:sz w:val="21"/>
          <w:szCs w:val="21"/>
          <w:spacing w:val="-41"/>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23"/>
        </w:rPr>
        <w:t xml:space="preserve"> </w:t>
      </w:r>
      <w:r>
        <w:rPr>
          <w:rFonts w:ascii="Microsoft YaHei" w:hAnsi="Microsoft YaHei" w:eastAsia="Microsoft YaHei" w:cs="Microsoft YaHei"/>
          <w:sz w:val="21"/>
          <w:szCs w:val="21"/>
          <w:spacing w:val="2"/>
        </w:rPr>
        <w:t>，推动储能等</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参与电力现货市场交易</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4"/>
        </w:rPr>
        <w:t>，独立储能电站有望在更</w:t>
      </w:r>
      <w:r>
        <w:rPr>
          <w:rFonts w:ascii="Microsoft YaHei" w:hAnsi="Microsoft YaHei" w:eastAsia="Microsoft YaHei" w:cs="Microsoft YaHei"/>
          <w:sz w:val="21"/>
          <w:szCs w:val="21"/>
          <w:spacing w:val="3"/>
        </w:rPr>
        <w:t>多的区域参与电力现货市场。辅助服</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务市场逐渐向独立储能开放</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4"/>
        </w:rPr>
        <w:t>，独立储能电站通过参与调峰、调</w:t>
      </w:r>
      <w:r>
        <w:rPr>
          <w:rFonts w:ascii="Microsoft YaHei" w:hAnsi="Microsoft YaHei" w:eastAsia="Microsoft YaHei" w:cs="Microsoft YaHei"/>
          <w:sz w:val="21"/>
          <w:szCs w:val="21"/>
          <w:spacing w:val="3"/>
        </w:rPr>
        <w:t>频等电力辅助服务及容</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量租赁来扩宽收益渠道。未来随着新能源发电占</w:t>
      </w:r>
      <w:r>
        <w:rPr>
          <w:rFonts w:ascii="Microsoft YaHei" w:hAnsi="Microsoft YaHei" w:eastAsia="Microsoft YaHei" w:cs="Microsoft YaHei"/>
          <w:sz w:val="21"/>
          <w:szCs w:val="21"/>
          <w:spacing w:val="3"/>
        </w:rPr>
        <w:t>比的提升</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，部分省份电力现货市场的</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峰谷价差有望继续拉大</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，从而进一步提升储能项目盈利空间</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，促进独</w:t>
      </w:r>
      <w:r>
        <w:rPr>
          <w:rFonts w:ascii="Microsoft YaHei" w:hAnsi="Microsoft YaHei" w:eastAsia="Microsoft YaHei" w:cs="Microsoft YaHei"/>
          <w:sz w:val="21"/>
          <w:szCs w:val="21"/>
          <w:spacing w:val="1"/>
        </w:rPr>
        <w:t>立储能的发展。</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据CNESA统计</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，2022年独立储能接近新增投运新型储能装机规模的50%，成为新型储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能发展的趋势。</w:t>
      </w:r>
    </w:p>
    <w:p>
      <w:pPr>
        <w:pStyle w:val="BodyText"/>
        <w:spacing w:line="416" w:lineRule="auto"/>
        <w:rPr/>
      </w:pPr>
      <w:r/>
    </w:p>
    <w:p>
      <w:pPr>
        <w:spacing w:before="1" w:line="4954" w:lineRule="exact"/>
        <w:rPr/>
      </w:pPr>
      <w:r>
        <w:rPr>
          <w:position w:val="-99"/>
        </w:rPr>
        <w:drawing>
          <wp:inline distT="0" distB="0" distL="0" distR="0">
            <wp:extent cx="6123432" cy="3145538"/>
            <wp:effectExtent l="0" t="0" r="0" b="0"/>
            <wp:docPr id="540" name="IM 540"/>
            <wp:cNvGraphicFramePr/>
            <a:graphic>
              <a:graphicData uri="http://schemas.openxmlformats.org/drawingml/2006/picture">
                <pic:pic>
                  <pic:nvPicPr>
                    <pic:cNvPr id="540" name="IM 540"/>
                    <pic:cNvPicPr/>
                  </pic:nvPicPr>
                  <pic:blipFill>
                    <a:blip r:embed="rId259"/>
                    <a:stretch>
                      <a:fillRect/>
                    </a:stretch>
                  </pic:blipFill>
                  <pic:spPr>
                    <a:xfrm rot="0">
                      <a:off x="0" y="0"/>
                      <a:ext cx="6123432" cy="3145538"/>
                    </a:xfrm>
                    <a:prstGeom prst="rect">
                      <a:avLst/>
                    </a:prstGeom>
                  </pic:spPr>
                </pic:pic>
              </a:graphicData>
            </a:graphic>
          </wp:inline>
        </w:drawing>
      </w:r>
    </w:p>
    <w:p>
      <w:pPr>
        <w:pStyle w:val="BodyText"/>
        <w:rPr/>
      </w:pPr>
      <w:r/>
    </w:p>
    <w:p>
      <w:pPr>
        <w:pStyle w:val="BodyText"/>
        <w:rPr/>
      </w:pPr>
      <w:r/>
    </w:p>
    <w:p>
      <w:pPr>
        <w:ind w:left="505" w:right="1241" w:hanging="411"/>
        <w:spacing w:before="47"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1300" w:header="0" w:footer="0" w:gutter="0"/>
        </w:sectPr>
        <w:rPr>
          <w:rFonts w:ascii="Microsoft YaHei" w:hAnsi="Microsoft YaHei" w:eastAsia="Microsoft YaHei" w:cs="Microsoft YaHei"/>
          <w:sz w:val="11"/>
          <w:szCs w:val="11"/>
        </w:rPr>
      </w:pPr>
    </w:p>
    <w:p>
      <w:pPr>
        <w:spacing w:before="314" w:line="193" w:lineRule="auto"/>
        <w:rPr>
          <w:rFonts w:ascii="Microsoft YaHei" w:hAnsi="Microsoft YaHei" w:eastAsia="Microsoft YaHei" w:cs="Microsoft YaHei"/>
          <w:sz w:val="18"/>
          <w:szCs w:val="18"/>
        </w:rPr>
      </w:pPr>
      <w:r>
        <w:pict>
          <v:rect id="_x0000_s996" style="position:absolute;margin-left:611.99pt;margin-top:0pt;mso-position-vertical-relative:page;mso-position-horizontal-relative:page;width:0.25pt;height:859pt;z-index:252981248;" o:allowincell="f" fillcolor="#000000" filled="true" stroked="false"/>
        </w:pict>
      </w:r>
      <w:r>
        <w:rPr>
          <w:rFonts w:ascii="Microsoft YaHei" w:hAnsi="Microsoft YaHei" w:eastAsia="Microsoft YaHei" w:cs="Microsoft YaHei"/>
          <w:sz w:val="18"/>
          <w:szCs w:val="18"/>
          <w:b/>
          <w:bCs/>
          <w:color w:val="A8A8A8"/>
          <w:spacing w:val="-1"/>
        </w:rPr>
        <w:t>51</w:t>
      </w:r>
      <w:r>
        <w:rPr>
          <w:rFonts w:ascii="Microsoft YaHei" w:hAnsi="Microsoft YaHei" w:eastAsia="Microsoft YaHei" w:cs="Microsoft YaHei"/>
          <w:sz w:val="18"/>
          <w:szCs w:val="18"/>
          <w:b/>
          <w:bCs/>
          <w:color w:val="A8A8A8"/>
          <w:spacing w:val="15"/>
        </w:rPr>
        <w:t xml:space="preserve">  </w:t>
      </w:r>
      <w:r>
        <w:rPr>
          <w:sz w:val="18"/>
          <w:szCs w:val="18"/>
          <w:position w:val="-4"/>
        </w:rPr>
        <w:drawing>
          <wp:inline distT="0" distB="0" distL="0" distR="0">
            <wp:extent cx="6350" cy="130175"/>
            <wp:effectExtent l="0" t="0" r="0" b="0"/>
            <wp:docPr id="542" name="IM 542"/>
            <wp:cNvGraphicFramePr/>
            <a:graphic>
              <a:graphicData uri="http://schemas.openxmlformats.org/drawingml/2006/picture">
                <pic:pic>
                  <pic:nvPicPr>
                    <pic:cNvPr id="542" name="IM 542"/>
                    <pic:cNvPicPr/>
                  </pic:nvPicPr>
                  <pic:blipFill>
                    <a:blip r:embed="rId260"/>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A8A8A8"/>
          <w:spacing w:val="26"/>
        </w:rPr>
        <w:t xml:space="preserve">  </w:t>
      </w:r>
      <w:r>
        <w:rPr>
          <w:rFonts w:ascii="Microsoft YaHei" w:hAnsi="Microsoft YaHei" w:eastAsia="Microsoft YaHei" w:cs="Microsoft YaHei"/>
          <w:sz w:val="18"/>
          <w:szCs w:val="18"/>
          <w:color w:val="A8A8A8"/>
          <w:spacing w:val="-1"/>
        </w:rPr>
        <w:t>新型储能助力能源转型</w:t>
      </w:r>
    </w:p>
    <w:p>
      <w:pPr>
        <w:pStyle w:val="BodyText"/>
        <w:spacing w:line="314" w:lineRule="auto"/>
        <w:rPr/>
      </w:pPr>
      <w:r/>
    </w:p>
    <w:p>
      <w:pPr>
        <w:pStyle w:val="BodyText"/>
        <w:spacing w:line="315" w:lineRule="auto"/>
        <w:rPr/>
      </w:pPr>
      <w:r/>
    </w:p>
    <w:p>
      <w:pPr>
        <w:pStyle w:val="BodyText"/>
        <w:spacing w:line="315" w:lineRule="auto"/>
        <w:rPr/>
      </w:pPr>
      <w:r/>
    </w:p>
    <w:p>
      <w:pPr>
        <w:ind w:left="370"/>
        <w:spacing w:before="155" w:line="179" w:lineRule="auto"/>
        <w:outlineLvl w:val="0"/>
        <w:rPr>
          <w:rFonts w:ascii="Microsoft YaHei" w:hAnsi="Microsoft YaHei" w:eastAsia="Microsoft YaHei" w:cs="Microsoft YaHei"/>
          <w:sz w:val="36"/>
          <w:szCs w:val="36"/>
        </w:rPr>
      </w:pPr>
      <w:r>
        <w:rPr>
          <w:rFonts w:ascii="Microsoft YaHei" w:hAnsi="Microsoft YaHei" w:eastAsia="Microsoft YaHei" w:cs="Microsoft YaHei"/>
          <w:sz w:val="36"/>
          <w:szCs w:val="36"/>
          <w:b/>
          <w:bCs/>
          <w:color w:val="00338D"/>
          <w:spacing w:val="-1"/>
        </w:rPr>
        <w:t>独立储能电站案例</w:t>
      </w:r>
    </w:p>
    <w:p>
      <w:pPr>
        <w:ind w:firstLine="337"/>
        <w:spacing w:before="163" w:line="509" w:lineRule="exact"/>
        <w:rPr/>
      </w:pPr>
      <w:r>
        <w:rPr>
          <w:position w:val="-10"/>
        </w:rPr>
        <w:pict>
          <v:shape id="_x0000_s998" style="mso-position-vertical-relative:line;mso-position-horizontal-relative:char;width:397pt;height:25.45pt;" fillcolor="#00C0AE" filled="true" stroked="false" type="#_x0000_t202">
            <v:fill on="true"/>
            <v:stroke on="false"/>
            <v:path/>
            <v:imagedata o:title=""/>
            <o:lock v:ext="edit" aspectratio="false"/>
            <v:textbox inset="0mm,0mm,0mm,0mm">
              <w:txbxContent>
                <w:p>
                  <w:pPr>
                    <w:ind w:left="93"/>
                    <w:spacing w:before="104" w:line="184" w:lineRule="auto"/>
                    <w:rPr>
                      <w:rFonts w:ascii="Microsoft YaHei" w:hAnsi="Microsoft YaHei" w:eastAsia="Microsoft YaHei" w:cs="Microsoft YaHei"/>
                      <w:sz w:val="27"/>
                      <w:szCs w:val="27"/>
                    </w:rPr>
                  </w:pPr>
                  <w:r>
                    <w:rPr>
                      <w:rFonts w:ascii="Microsoft YaHei" w:hAnsi="Microsoft YaHei" w:eastAsia="Microsoft YaHei" w:cs="Microsoft YaHei"/>
                      <w:sz w:val="27"/>
                      <w:szCs w:val="27"/>
                      <w:b/>
                      <w:bCs/>
                      <w:color w:val="FFFFFF"/>
                      <w:spacing w:val="6"/>
                    </w:rPr>
                    <w:t>案例1：山东独立储能电站</w:t>
                  </w:r>
                </w:p>
              </w:txbxContent>
            </v:textbox>
          </v:shape>
        </w:pict>
      </w:r>
    </w:p>
    <w:p>
      <w:pPr>
        <w:ind w:left="346"/>
        <w:spacing w:before="279" w:line="17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C0AE"/>
          <w:spacing w:val="-7"/>
        </w:rPr>
        <w:t>项目简介：</w:t>
      </w:r>
    </w:p>
    <w:p>
      <w:pPr>
        <w:ind w:left="362"/>
        <w:spacing w:before="62" w:line="18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山东是较早探索独立储能电站参与电力市场现货交易的区域，独立</w:t>
      </w:r>
      <w:r>
        <w:rPr>
          <w:rFonts w:ascii="Microsoft YaHei" w:hAnsi="Microsoft YaHei" w:eastAsia="Microsoft YaHei" w:cs="Microsoft YaHei"/>
          <w:sz w:val="21"/>
          <w:szCs w:val="21"/>
          <w:spacing w:val="-1"/>
        </w:rPr>
        <w:t>储能电站收益渠道</w:t>
      </w:r>
    </w:p>
    <w:p>
      <w:pPr>
        <w:ind w:left="357" w:right="3847" w:hanging="11"/>
        <w:spacing w:before="58" w:line="213"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相对较多，以100MW/200MWh锂电</w:t>
      </w:r>
      <w:r>
        <w:rPr>
          <w:rFonts w:ascii="Microsoft YaHei" w:hAnsi="Microsoft YaHei" w:eastAsia="Microsoft YaHei" w:cs="Microsoft YaHei"/>
          <w:sz w:val="21"/>
          <w:szCs w:val="21"/>
          <w:spacing w:val="-5"/>
        </w:rPr>
        <w:t>池储能电站（目前储能电站装机量普遍为</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1"/>
        </w:rPr>
        <w:t>100MW/200MWh）为例进行分析。</w:t>
      </w:r>
    </w:p>
    <w:p>
      <w:pPr>
        <w:ind w:left="346"/>
        <w:spacing w:before="219" w:line="17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C0AE"/>
          <w:spacing w:val="-7"/>
        </w:rPr>
        <w:t>项目成本：</w:t>
      </w:r>
    </w:p>
    <w:p>
      <w:pPr>
        <w:ind w:left="343" w:right="3003" w:firstLine="4"/>
        <w:spacing w:before="63" w:line="21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7"/>
        </w:rPr>
        <w:t>锂电池储能电站的装机容量100MW/200MWh，配备</w:t>
      </w:r>
      <w:r>
        <w:rPr>
          <w:rFonts w:ascii="Microsoft YaHei" w:hAnsi="Microsoft YaHei" w:eastAsia="Microsoft YaHei" w:cs="Microsoft YaHei"/>
          <w:sz w:val="21"/>
          <w:szCs w:val="21"/>
          <w:spacing w:val="-8"/>
        </w:rPr>
        <w:t>5MW/10MWh储能系统。总投资约</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4.5亿元，考虑贷款、运维费用、折旧等，年均支出约为5,</w:t>
      </w:r>
      <w:r>
        <w:rPr>
          <w:rFonts w:ascii="Microsoft YaHei" w:hAnsi="Microsoft YaHei" w:eastAsia="Microsoft YaHei" w:cs="Microsoft YaHei"/>
          <w:sz w:val="21"/>
          <w:szCs w:val="21"/>
          <w:spacing w:val="-2"/>
        </w:rPr>
        <w:t>000万元。</w:t>
      </w:r>
    </w:p>
    <w:p>
      <w:pPr>
        <w:ind w:left="346"/>
        <w:spacing w:before="206" w:line="17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C0AE"/>
          <w:spacing w:val="-7"/>
        </w:rPr>
        <w:t>项目收益：</w:t>
      </w:r>
    </w:p>
    <w:p>
      <w:pPr>
        <w:ind w:left="345"/>
        <w:spacing w:before="67" w:line="17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储能电站收益来自三方面：一是参与电力现货市场收益。假设平均充电价格为0.1元</w:t>
      </w:r>
    </w:p>
    <w:p>
      <w:pPr>
        <w:ind w:left="345" w:right="3051" w:hanging="4"/>
        <w:spacing w:before="63" w:line="21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/kWh，平均放电价格为0.6元/kWh，每年充放300次，系统效率按90%计算，</w:t>
      </w:r>
      <w:r>
        <w:rPr>
          <w:rFonts w:ascii="Microsoft YaHei" w:hAnsi="Microsoft YaHei" w:eastAsia="Microsoft YaHei" w:cs="Microsoft YaHei"/>
          <w:sz w:val="21"/>
          <w:szCs w:val="21"/>
          <w:spacing w:val="-3"/>
        </w:rPr>
        <w:t>每年可</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获取收益约2,000万元</w:t>
      </w:r>
      <w:r>
        <w:rPr>
          <w:rFonts w:ascii="Microsoft YaHei" w:hAnsi="Microsoft YaHei" w:eastAsia="Microsoft YaHei" w:cs="Microsoft YaHei"/>
          <w:sz w:val="21"/>
          <w:szCs w:val="21"/>
          <w:spacing w:val="-1"/>
        </w:rPr>
        <w:t xml:space="preserve"> </w:t>
      </w:r>
      <w:r>
        <w:rPr>
          <w:rFonts w:ascii="Microsoft YaHei" w:hAnsi="Microsoft YaHei" w:eastAsia="Microsoft YaHei" w:cs="Microsoft YaHei"/>
          <w:sz w:val="10"/>
          <w:szCs w:val="10"/>
          <w:spacing w:val="-2"/>
          <w:position w:val="4"/>
        </w:rPr>
        <w:t>56</w:t>
      </w:r>
      <w:r>
        <w:rPr>
          <w:rFonts w:ascii="Microsoft YaHei" w:hAnsi="Microsoft YaHei" w:eastAsia="Microsoft YaHei" w:cs="Microsoft YaHei"/>
          <w:sz w:val="21"/>
          <w:szCs w:val="21"/>
          <w:spacing w:val="-2"/>
        </w:rPr>
        <w:t>。二是容量租赁收益。按照300元/kW/年计算，假设能够全部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对外租赁，每年租赁费用收益为3,000万元。三是容量补偿费</w:t>
      </w:r>
      <w:r>
        <w:rPr>
          <w:rFonts w:ascii="Microsoft YaHei" w:hAnsi="Microsoft YaHei" w:eastAsia="Microsoft YaHei" w:cs="Microsoft YaHei"/>
          <w:sz w:val="21"/>
          <w:szCs w:val="21"/>
          <w:spacing w:val="-1"/>
        </w:rPr>
        <w:t>用。按照容量获得容量电</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价，保证盈利并储备备用机组，收入约600万元。</w:t>
      </w:r>
    </w:p>
    <w:p>
      <w:pPr>
        <w:ind w:left="345" w:right="3003" w:firstLine="1"/>
        <w:spacing w:before="219" w:line="21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据山东电力工程咨询院测算，假设以上三种收益都能获得且不变，电站全年累计获得</w:t>
      </w:r>
      <w:r>
        <w:rPr>
          <w:rFonts w:ascii="Microsoft YaHei" w:hAnsi="Microsoft YaHei" w:eastAsia="Microsoft YaHei" w:cs="Microsoft YaHei"/>
          <w:sz w:val="21"/>
          <w:szCs w:val="21"/>
          <w:spacing w:val="2"/>
        </w:rPr>
        <w:t xml:space="preserve">   </w:t>
      </w:r>
      <w:r>
        <w:rPr>
          <w:rFonts w:ascii="Microsoft YaHei" w:hAnsi="Microsoft YaHei" w:eastAsia="Microsoft YaHei" w:cs="Microsoft YaHei"/>
          <w:sz w:val="21"/>
          <w:szCs w:val="21"/>
          <w:spacing w:val="-1"/>
        </w:rPr>
        <w:t>收益约为5,600万元，在融资成本4.65%的情况下，项目有望实现8%的收益率</w:t>
      </w:r>
      <w:r>
        <w:rPr>
          <w:rFonts w:ascii="Microsoft YaHei" w:hAnsi="Microsoft YaHei" w:eastAsia="Microsoft YaHei" w:cs="Microsoft YaHei"/>
          <w:sz w:val="21"/>
          <w:szCs w:val="21"/>
          <w:spacing w:val="-6"/>
        </w:rPr>
        <w:t xml:space="preserve"> </w:t>
      </w:r>
      <w:r>
        <w:rPr>
          <w:rFonts w:ascii="Microsoft YaHei" w:hAnsi="Microsoft YaHei" w:eastAsia="Microsoft YaHei" w:cs="Microsoft YaHei"/>
          <w:sz w:val="21"/>
          <w:szCs w:val="21"/>
          <w:spacing w:val="-1"/>
        </w:rPr>
        <w:t>。但是</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储能电站实际收益情况有所不同</w:t>
      </w:r>
      <w:r>
        <w:rPr>
          <w:rFonts w:ascii="Microsoft YaHei" w:hAnsi="Microsoft YaHei" w:eastAsia="Microsoft YaHei" w:cs="Microsoft YaHei"/>
          <w:sz w:val="13"/>
          <w:szCs w:val="13"/>
          <w:spacing w:val="-1"/>
          <w:position w:val="6"/>
        </w:rPr>
        <w:t>57</w:t>
      </w:r>
      <w:r>
        <w:rPr>
          <w:rFonts w:ascii="Microsoft YaHei" w:hAnsi="Microsoft YaHei" w:eastAsia="Microsoft YaHei" w:cs="Microsoft YaHei"/>
          <w:sz w:val="21"/>
          <w:szCs w:val="21"/>
          <w:spacing w:val="-1"/>
        </w:rPr>
        <w:t>。2022年6月，山东发布《关于进一步做好</w:t>
      </w:r>
      <w:r>
        <w:rPr>
          <w:rFonts w:ascii="Microsoft YaHei" w:hAnsi="Microsoft YaHei" w:eastAsia="Microsoft YaHei" w:cs="Microsoft YaHei"/>
          <w:sz w:val="21"/>
          <w:szCs w:val="21"/>
          <w:spacing w:val="-2"/>
        </w:rPr>
        <w:t>2022年下</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半年山东省电力现货市场结算试运行工作有关事项的通知》</w:t>
      </w:r>
      <w:r>
        <w:rPr>
          <w:rFonts w:ascii="Microsoft YaHei" w:hAnsi="Microsoft YaHei" w:eastAsia="Microsoft YaHei" w:cs="Microsoft YaHei"/>
          <w:sz w:val="21"/>
          <w:szCs w:val="21"/>
          <w:spacing w:val="-17"/>
        </w:rPr>
        <w:t xml:space="preserve"> </w:t>
      </w:r>
      <w:r>
        <w:rPr>
          <w:rFonts w:ascii="Microsoft YaHei" w:hAnsi="Microsoft YaHei" w:eastAsia="Microsoft YaHei" w:cs="Microsoft YaHei"/>
          <w:sz w:val="21"/>
          <w:szCs w:val="21"/>
          <w:spacing w:val="-1"/>
        </w:rPr>
        <w:t>，对储能的可用容量计算</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方式进行了调整，储能电站能够获得的容量补偿减少。此外，本项政策有效期只有五</w:t>
      </w:r>
      <w:r>
        <w:rPr>
          <w:rFonts w:ascii="Microsoft YaHei" w:hAnsi="Microsoft YaHei" w:eastAsia="Microsoft YaHei" w:cs="Microsoft YaHei"/>
          <w:sz w:val="21"/>
          <w:szCs w:val="21"/>
          <w:spacing w:val="2"/>
        </w:rPr>
        <w:t xml:space="preserve">   </w:t>
      </w:r>
      <w:r>
        <w:rPr>
          <w:rFonts w:ascii="Microsoft YaHei" w:hAnsi="Microsoft YaHei" w:eastAsia="Microsoft YaHei" w:cs="Microsoft YaHei"/>
          <w:sz w:val="21"/>
          <w:szCs w:val="21"/>
          <w:spacing w:val="-1"/>
        </w:rPr>
        <w:t>年，对于寿命通常为10年的储能电站，其运行中后期能否获取补偿是未知数。</w:t>
      </w:r>
    </w:p>
    <w:p>
      <w:pPr>
        <w:pStyle w:val="BodyText"/>
        <w:spacing w:line="286" w:lineRule="auto"/>
        <w:rPr/>
      </w:pPr>
      <w:r/>
    </w:p>
    <w:p>
      <w:pPr>
        <w:pStyle w:val="BodyText"/>
        <w:spacing w:line="286" w:lineRule="auto"/>
        <w:rPr/>
      </w:pPr>
      <w:r>
        <w:pict>
          <v:shape id="_x0000_s1000" style="position:absolute;margin-left:17.1281pt;margin-top:6.24167pt;mso-position-vertical-relative:text;mso-position-horizontal-relative:text;width:81.3pt;height:0.5pt;z-index:252982272;" filled="false" strokecolor="#000000" strokeweight="0.50pt" coordsize="1626,10" coordorigin="0,0" path="m0,5l1625,5e">
            <v:stroke joinstyle="miter"/>
          </v:shape>
        </w:pict>
      </w:r>
      <w:r/>
    </w:p>
    <w:p>
      <w:pPr>
        <w:ind w:left="341"/>
        <w:spacing w:before="56" w:line="192"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6"/>
          <w:position w:val="4"/>
        </w:rPr>
        <w:t>56</w:t>
      </w:r>
      <w:r>
        <w:rPr>
          <w:rFonts w:ascii="Microsoft YaHei" w:hAnsi="Microsoft YaHei" w:eastAsia="Microsoft YaHei" w:cs="Microsoft YaHei"/>
          <w:sz w:val="9"/>
          <w:szCs w:val="9"/>
          <w:spacing w:val="16"/>
          <w:position w:val="4"/>
        </w:rPr>
        <w:t xml:space="preserve"> </w:t>
      </w:r>
      <w:r>
        <w:rPr>
          <w:rFonts w:ascii="Microsoft YaHei" w:hAnsi="Microsoft YaHei" w:eastAsia="Microsoft YaHei" w:cs="Microsoft YaHei"/>
          <w:sz w:val="13"/>
          <w:szCs w:val="13"/>
          <w:spacing w:val="6"/>
        </w:rPr>
        <w:t>新型储能：赚钱的路更多了，也更难了，数字能源网，  2022年8月2日，</w:t>
      </w:r>
      <w:r>
        <w:rPr>
          <w:rFonts w:ascii="Microsoft YaHei" w:hAnsi="Microsoft YaHei" w:eastAsia="Microsoft YaHei" w:cs="Microsoft YaHei"/>
          <w:sz w:val="13"/>
          <w:szCs w:val="13"/>
          <w:spacing w:val="-8"/>
        </w:rPr>
        <w:t xml:space="preserve"> </w:t>
      </w:r>
      <w:hyperlink w:history="true" r:id="rId257">
        <w:r>
          <w:rPr>
            <w:rFonts w:ascii="Microsoft YaHei" w:hAnsi="Microsoft YaHei" w:eastAsia="Microsoft YaHei" w:cs="Microsoft YaHei"/>
            <w:sz w:val="13"/>
            <w:szCs w:val="13"/>
          </w:rPr>
          <w:t>http</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de</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escn</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com</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cn</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news</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show</w:t>
        </w:r>
        <w:r>
          <w:rPr>
            <w:rFonts w:ascii="Microsoft YaHei" w:hAnsi="Microsoft YaHei" w:eastAsia="Microsoft YaHei" w:cs="Microsoft YaHei"/>
            <w:sz w:val="13"/>
            <w:szCs w:val="13"/>
            <w:spacing w:val="5"/>
          </w:rPr>
          <w:t>-1445347.</w:t>
        </w:r>
        <w:r>
          <w:rPr>
            <w:rFonts w:ascii="Microsoft YaHei" w:hAnsi="Microsoft YaHei" w:eastAsia="Microsoft YaHei" w:cs="Microsoft YaHei"/>
            <w:sz w:val="13"/>
            <w:szCs w:val="13"/>
          </w:rPr>
          <w:t>html</w:t>
        </w:r>
      </w:hyperlink>
    </w:p>
    <w:p>
      <w:pPr>
        <w:ind w:left="341"/>
        <w:spacing w:before="52" w:line="192"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5"/>
          <w:position w:val="4"/>
        </w:rPr>
        <w:t>57 </w:t>
      </w:r>
      <w:r>
        <w:rPr>
          <w:rFonts w:ascii="Microsoft YaHei" w:hAnsi="Microsoft YaHei" w:eastAsia="Microsoft YaHei" w:cs="Microsoft YaHei"/>
          <w:sz w:val="13"/>
          <w:szCs w:val="13"/>
          <w:spacing w:val="5"/>
        </w:rPr>
        <w:t>独立储能的4种盈利模式及收益率分析，索比光伏网，  2022年10月25日，</w:t>
      </w:r>
      <w:r>
        <w:rPr>
          <w:rFonts w:ascii="Microsoft YaHei" w:hAnsi="Microsoft YaHei" w:eastAsia="Microsoft YaHei" w:cs="Microsoft YaHei"/>
          <w:sz w:val="13"/>
          <w:szCs w:val="13"/>
          <w:spacing w:val="-8"/>
        </w:rPr>
        <w:t xml:space="preserve"> </w:t>
      </w:r>
      <w:hyperlink w:history="true" r:id="rId261">
        <w:r>
          <w:rPr>
            <w:rFonts w:ascii="Microsoft YaHei" w:hAnsi="Microsoft YaHei" w:eastAsia="Microsoft YaHei" w:cs="Microsoft YaHei"/>
            <w:sz w:val="13"/>
            <w:szCs w:val="13"/>
          </w:rPr>
          <w:t>https</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news</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solarbe</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com</w:t>
        </w:r>
        <w:r>
          <w:rPr>
            <w:rFonts w:ascii="Microsoft YaHei" w:hAnsi="Microsoft YaHei" w:eastAsia="Microsoft YaHei" w:cs="Microsoft YaHei"/>
            <w:sz w:val="13"/>
            <w:szCs w:val="13"/>
            <w:spacing w:val="4"/>
          </w:rPr>
          <w:t>/202210/25/360696.</w:t>
        </w:r>
        <w:r>
          <w:rPr>
            <w:rFonts w:ascii="Microsoft YaHei" w:hAnsi="Microsoft YaHei" w:eastAsia="Microsoft YaHei" w:cs="Microsoft YaHei"/>
            <w:sz w:val="13"/>
            <w:szCs w:val="13"/>
          </w:rPr>
          <w:t>html</w:t>
        </w:r>
      </w:hyperlink>
    </w:p>
    <w:p>
      <w:pPr>
        <w:ind w:firstLine="337"/>
        <w:spacing w:before="222" w:line="4876" w:lineRule="exact"/>
        <w:rPr/>
      </w:pPr>
      <w:r>
        <w:rPr>
          <w:position w:val="-97"/>
        </w:rPr>
        <w:drawing>
          <wp:inline distT="0" distB="0" distL="0" distR="0">
            <wp:extent cx="6123432" cy="3096564"/>
            <wp:effectExtent l="0" t="0" r="0" b="0"/>
            <wp:docPr id="544" name="IM 544"/>
            <wp:cNvGraphicFramePr/>
            <a:graphic>
              <a:graphicData uri="http://schemas.openxmlformats.org/drawingml/2006/picture">
                <pic:pic>
                  <pic:nvPicPr>
                    <pic:cNvPr id="544" name="IM 544"/>
                    <pic:cNvPicPr/>
                  </pic:nvPicPr>
                  <pic:blipFill>
                    <a:blip r:embed="rId262"/>
                    <a:stretch>
                      <a:fillRect/>
                    </a:stretch>
                  </pic:blipFill>
                  <pic:spPr>
                    <a:xfrm rot="0">
                      <a:off x="0" y="0"/>
                      <a:ext cx="6123432" cy="3096564"/>
                    </a:xfrm>
                    <a:prstGeom prst="rect">
                      <a:avLst/>
                    </a:prstGeom>
                  </pic:spPr>
                </pic:pic>
              </a:graphicData>
            </a:graphic>
          </wp:inline>
        </w:drawing>
      </w:r>
    </w:p>
    <w:p>
      <w:pPr>
        <w:ind w:left="842" w:right="1241" w:hanging="411"/>
        <w:spacing w:before="252"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963" w:header="0" w:footer="0" w:gutter="0"/>
        </w:sectPr>
        <w:rPr>
          <w:rFonts w:ascii="Microsoft YaHei" w:hAnsi="Microsoft YaHei" w:eastAsia="Microsoft YaHei" w:cs="Microsoft YaHei"/>
          <w:sz w:val="11"/>
          <w:szCs w:val="11"/>
        </w:rPr>
      </w:pPr>
    </w:p>
    <w:p>
      <w:pPr>
        <w:ind w:left="7674"/>
        <w:spacing w:before="314" w:line="193" w:lineRule="auto"/>
        <w:rPr>
          <w:rFonts w:ascii="Microsoft YaHei" w:hAnsi="Microsoft YaHei" w:eastAsia="Microsoft YaHei" w:cs="Microsoft YaHei"/>
          <w:sz w:val="18"/>
          <w:szCs w:val="18"/>
        </w:rPr>
      </w:pPr>
      <w:r>
        <w:pict>
          <v:rect id="_x0000_s1002" style="position:absolute;margin-left:611.99pt;margin-top:0pt;mso-position-vertical-relative:page;mso-position-horizontal-relative:page;width:0.25pt;height:859pt;z-index:253020160;" o:allowincell="f" fillcolor="#000000" filled="true" stroked="false"/>
        </w:pict>
      </w:r>
      <w:r>
        <w:rPr>
          <w:rFonts w:ascii="Microsoft YaHei" w:hAnsi="Microsoft YaHei" w:eastAsia="Microsoft YaHei" w:cs="Microsoft YaHei"/>
          <w:sz w:val="18"/>
          <w:szCs w:val="18"/>
          <w:color w:val="A8A8A8"/>
        </w:rPr>
        <w:t>新型储能助力能源转型</w:t>
      </w:r>
      <w:r>
        <w:rPr>
          <w:rFonts w:ascii="Microsoft YaHei" w:hAnsi="Microsoft YaHei" w:eastAsia="Microsoft YaHei" w:cs="Microsoft YaHei"/>
          <w:sz w:val="18"/>
          <w:szCs w:val="18"/>
          <w:color w:val="A8A8A8"/>
          <w:spacing w:val="20"/>
        </w:rPr>
        <w:t xml:space="preserve">  </w:t>
      </w:r>
      <w:r>
        <w:rPr>
          <w:sz w:val="18"/>
          <w:szCs w:val="18"/>
          <w:position w:val="-4"/>
        </w:rPr>
        <w:drawing>
          <wp:inline distT="0" distB="0" distL="0" distR="0">
            <wp:extent cx="6350" cy="130175"/>
            <wp:effectExtent l="0" t="0" r="0" b="0"/>
            <wp:docPr id="546" name="IM 546"/>
            <wp:cNvGraphicFramePr/>
            <a:graphic>
              <a:graphicData uri="http://schemas.openxmlformats.org/drawingml/2006/picture">
                <pic:pic>
                  <pic:nvPicPr>
                    <pic:cNvPr id="546" name="IM 546"/>
                    <pic:cNvPicPr/>
                  </pic:nvPicPr>
                  <pic:blipFill>
                    <a:blip r:embed="rId263"/>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spacing w:val="15"/>
          <w:w w:val="101"/>
        </w:rPr>
        <w:t xml:space="preserve">  </w:t>
      </w:r>
      <w:r>
        <w:rPr>
          <w:rFonts w:ascii="Microsoft YaHei" w:hAnsi="Microsoft YaHei" w:eastAsia="Microsoft YaHei" w:cs="Microsoft YaHei"/>
          <w:sz w:val="18"/>
          <w:szCs w:val="18"/>
          <w:b/>
          <w:bCs/>
          <w:color w:val="A8A8A8"/>
        </w:rPr>
        <w:t>52</w:t>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ind w:left="93"/>
        <w:spacing w:before="116" w:line="184" w:lineRule="auto"/>
        <w:outlineLvl w:val="0"/>
        <w:rPr>
          <w:rFonts w:ascii="Microsoft YaHei" w:hAnsi="Microsoft YaHei" w:eastAsia="Microsoft YaHei" w:cs="Microsoft YaHei"/>
          <w:sz w:val="27"/>
          <w:szCs w:val="27"/>
        </w:rPr>
      </w:pPr>
      <w:r>
        <mc:AlternateContent xmlns:mc="http://schemas.openxmlformats.org/markup-compatibility/2006">
          <mc:Choice Requires="wps">
            <w:drawing>
              <wp:anchor distT="0" distB="0" distL="0" distR="0" simplePos="0" relativeHeight="253019136" behindDoc="1" locked="0" layoutInCell="1" allowOverlap="1">
                <wp:simplePos x="0" y="0"/>
                <wp:positionH relativeFrom="column">
                  <wp:posOffset>0</wp:posOffset>
                </wp:positionH>
                <wp:positionV relativeFrom="paragraph">
                  <wp:posOffset>5907</wp:posOffset>
                </wp:positionV>
                <wp:extent cx="5041900" cy="323215"/>
                <wp:effectExtent l="0" t="0" r="0" b="0"/>
                <wp:wrapNone/>
                <wp:docPr id="548" name="Rect 548"/>
                <wp:cNvGraphicFramePr/>
                <a:graphic>
                  <a:graphicData uri="http://schemas.microsoft.com/office/word/2010/wordprocessingShape">
                    <wps:wsp>
                      <wps:cNvPr id="548" name="Rect 548"/>
                      <wps:cNvSpPr/>
                      <wps:spPr>
                        <a:xfrm>
                          <a:off x="0" y="5907"/>
                          <a:ext cx="5041900" cy="323215"/>
                        </a:xfrm>
                        <a:prstGeom prst="rect">
                          <a:avLst/>
                        </a:prstGeom>
                        <a:solidFill>
                          <a:srgbClr val="00C0AE"/>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004" style="position:absolute;margin-left:0pt;margin-top:0.465129pt;mso-position-vertical-relative:text;mso-position-horizontal-relative:text;width:397pt;height:25.45pt;z-index:-250297344;" fillcolor="#00C0AE" filled="true" stroked="false"/>
            </w:pict>
          </mc:Fallback>
        </mc:AlternateContent>
      </w:r>
      <w:r>
        <w:rPr>
          <w:rFonts w:ascii="Microsoft YaHei" w:hAnsi="Microsoft YaHei" w:eastAsia="Microsoft YaHei" w:cs="Microsoft YaHei"/>
          <w:sz w:val="27"/>
          <w:szCs w:val="27"/>
          <w:b/>
          <w:bCs/>
          <w:color w:val="FFFFFF"/>
          <w:spacing w:val="6"/>
        </w:rPr>
        <w:t>案例2：青海省闵行独立储能电站</w:t>
      </w:r>
    </w:p>
    <w:p>
      <w:pPr>
        <w:ind w:left="8"/>
        <w:spacing w:before="303" w:line="17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C0AE"/>
          <w:spacing w:val="-7"/>
        </w:rPr>
        <w:t>项目简介：</w:t>
      </w:r>
    </w:p>
    <w:p>
      <w:pPr>
        <w:ind w:left="10" w:right="3036" w:firstLine="11"/>
        <w:spacing w:before="63" w:line="21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闵行独立储能电站位于青海省，是国内首座第三方投资建设的独立</w:t>
      </w:r>
      <w:r>
        <w:rPr>
          <w:rFonts w:ascii="Microsoft YaHei" w:hAnsi="Microsoft YaHei" w:eastAsia="Microsoft YaHei" w:cs="Microsoft YaHei"/>
          <w:sz w:val="21"/>
          <w:szCs w:val="21"/>
          <w:spacing w:val="-2"/>
        </w:rPr>
        <w:t>储能电站</w:t>
      </w:r>
      <w:r>
        <w:rPr>
          <w:rFonts w:ascii="Microsoft YaHei" w:hAnsi="Microsoft YaHei" w:eastAsia="Microsoft YaHei" w:cs="Microsoft YaHei"/>
          <w:sz w:val="10"/>
          <w:szCs w:val="10"/>
          <w:spacing w:val="-2"/>
          <w:position w:val="4"/>
        </w:rPr>
        <w:t>58</w:t>
      </w:r>
      <w:r>
        <w:rPr>
          <w:rFonts w:ascii="Microsoft YaHei" w:hAnsi="Microsoft YaHei" w:eastAsia="Microsoft YaHei" w:cs="Microsoft YaHei"/>
          <w:sz w:val="21"/>
          <w:szCs w:val="21"/>
          <w:spacing w:val="-2"/>
        </w:rPr>
        <w:t>，项目</w:t>
      </w:r>
      <w:r>
        <w:rPr>
          <w:rFonts w:ascii="Microsoft YaHei" w:hAnsi="Microsoft YaHei" w:eastAsia="Microsoft YaHei" w:cs="Microsoft YaHei"/>
          <w:sz w:val="21"/>
          <w:szCs w:val="21"/>
          <w:spacing w:val="-17"/>
        </w:rPr>
        <w:t xml:space="preserve"> </w:t>
      </w:r>
      <w:r>
        <w:rPr>
          <w:rFonts w:ascii="Microsoft YaHei" w:hAnsi="Microsoft YaHei" w:eastAsia="Microsoft YaHei" w:cs="Microsoft YaHei"/>
          <w:sz w:val="21"/>
          <w:szCs w:val="21"/>
          <w:spacing w:val="-2"/>
        </w:rPr>
        <w:t>一</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5"/>
        </w:rPr>
        <w:t>期装机容量32MW/64MWh</w:t>
      </w:r>
      <w:r>
        <w:rPr>
          <w:rFonts w:ascii="Microsoft YaHei" w:hAnsi="Microsoft YaHei" w:eastAsia="Microsoft YaHei" w:cs="Microsoft YaHei"/>
          <w:sz w:val="21"/>
          <w:szCs w:val="21"/>
          <w:spacing w:val="-33"/>
        </w:rPr>
        <w:t xml:space="preserve"> </w:t>
      </w:r>
      <w:r>
        <w:rPr>
          <w:rFonts w:ascii="Microsoft YaHei" w:hAnsi="Microsoft YaHei" w:eastAsia="Microsoft YaHei" w:cs="Microsoft YaHei"/>
          <w:sz w:val="21"/>
          <w:szCs w:val="21"/>
          <w:spacing w:val="-5"/>
        </w:rPr>
        <w:t>，2020年11</w:t>
      </w:r>
      <w:r>
        <w:rPr>
          <w:rFonts w:ascii="Microsoft YaHei" w:hAnsi="Microsoft YaHei" w:eastAsia="Microsoft YaHei" w:cs="Microsoft YaHei"/>
          <w:sz w:val="21"/>
          <w:szCs w:val="21"/>
          <w:spacing w:val="-6"/>
        </w:rPr>
        <w:t>月投运 。电站由上海电气国轩新能源科技有限</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公司提供磷酸铁锂电池储能系统，上海电气新能源公司做EPC总包。储能电站接入至</w:t>
      </w:r>
      <w:r>
        <w:rPr>
          <w:rFonts w:ascii="Microsoft YaHei" w:hAnsi="Microsoft YaHei" w:eastAsia="Microsoft YaHei" w:cs="Microsoft YaHei"/>
          <w:sz w:val="21"/>
          <w:szCs w:val="21"/>
          <w:spacing w:val="4"/>
        </w:rPr>
        <w:t xml:space="preserve">   </w:t>
      </w:r>
      <w:r>
        <w:rPr>
          <w:rFonts w:ascii="Microsoft YaHei" w:hAnsi="Microsoft YaHei" w:eastAsia="Microsoft YaHei" w:cs="Microsoft YaHei"/>
          <w:sz w:val="21"/>
          <w:szCs w:val="21"/>
          <w:spacing w:val="-1"/>
        </w:rPr>
        <w:t>青海当地电网，能够有效解决周边地区新能源场站弃光、弃风问题。</w:t>
      </w:r>
    </w:p>
    <w:p>
      <w:pPr>
        <w:ind w:left="8"/>
        <w:spacing w:before="211" w:line="17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C0AE"/>
          <w:spacing w:val="-7"/>
        </w:rPr>
        <w:t>项目成本：</w:t>
      </w:r>
    </w:p>
    <w:p>
      <w:pPr>
        <w:ind w:left="9" w:right="3137" w:hanging="1"/>
        <w:spacing w:before="62" w:line="21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项目没有披露成本，参考储能电站装机容量100MW/200MWh成本为4.5亿元</w:t>
      </w:r>
      <w:r>
        <w:rPr>
          <w:rFonts w:ascii="Microsoft YaHei" w:hAnsi="Microsoft YaHei" w:eastAsia="Microsoft YaHei" w:cs="Microsoft YaHei"/>
          <w:sz w:val="21"/>
          <w:szCs w:val="21"/>
          <w:spacing w:val="-5"/>
        </w:rPr>
        <w:t>，年支出</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约5,000万元，该项目总成本至少上亿元，年支出超千万元。</w:t>
      </w:r>
    </w:p>
    <w:p>
      <w:pPr>
        <w:ind w:left="8"/>
        <w:spacing w:before="202" w:line="17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C0AE"/>
          <w:spacing w:val="-7"/>
        </w:rPr>
        <w:t>项目收益：</w:t>
      </w:r>
    </w:p>
    <w:p>
      <w:pPr>
        <w:ind w:left="13" w:right="3156" w:hanging="5"/>
        <w:spacing w:before="65" w:line="215"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rPr>
        <w:t>项目收益来自两部分：一是作为调峰资源提供商，收取电网侧调峰收入。一年的调峰</w:t>
      </w:r>
      <w:r>
        <w:rPr>
          <w:rFonts w:ascii="Microsoft YaHei" w:hAnsi="Microsoft YaHei" w:eastAsia="Microsoft YaHei" w:cs="Microsoft YaHei"/>
          <w:sz w:val="21"/>
          <w:szCs w:val="21"/>
          <w:spacing w:val="7"/>
        </w:rPr>
        <w:t xml:space="preserve"> </w:t>
      </w:r>
      <w:r>
        <w:rPr>
          <w:rFonts w:ascii="Microsoft YaHei" w:hAnsi="Microsoft YaHei" w:eastAsia="Microsoft YaHei" w:cs="Microsoft YaHei"/>
          <w:sz w:val="21"/>
          <w:szCs w:val="21"/>
        </w:rPr>
        <w:t>收入约279万元。二是和新能源场站业主分享对电站</w:t>
      </w:r>
      <w:r>
        <w:rPr>
          <w:rFonts w:ascii="Microsoft YaHei" w:hAnsi="Microsoft YaHei" w:eastAsia="Microsoft YaHei" w:cs="Microsoft YaHei"/>
          <w:sz w:val="21"/>
          <w:szCs w:val="21"/>
          <w:spacing w:val="-1"/>
        </w:rPr>
        <w:t>的补贴收入，一年的补贴收入共</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681万元，储能电站分享其中一部分（表15</w:t>
      </w:r>
      <w:r>
        <w:rPr>
          <w:rFonts w:ascii="Microsoft YaHei" w:hAnsi="Microsoft YaHei" w:eastAsia="Microsoft YaHei" w:cs="Microsoft YaHei"/>
          <w:sz w:val="21"/>
          <w:szCs w:val="21"/>
          <w:spacing w:val="-3"/>
        </w:rPr>
        <w:t>）。</w:t>
      </w:r>
    </w:p>
    <w:p>
      <w:pPr>
        <w:ind w:left="7"/>
        <w:spacing w:before="297" w:line="19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C0AE"/>
          <w:spacing w:val="-5"/>
        </w:rPr>
        <w:t>表 15 | 2021年7月-2022年8月闵行储能电站收益情况</w:t>
      </w:r>
    </w:p>
    <w:p>
      <w:pPr>
        <w:spacing w:line="103" w:lineRule="exact"/>
        <w:rPr/>
      </w:pPr>
      <w:r/>
    </w:p>
    <w:tbl>
      <w:tblPr>
        <w:tblStyle w:val="TableNormal"/>
        <w:tblW w:w="9640" w:type="dxa"/>
        <w:tblInd w:w="1"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267"/>
        <w:gridCol w:w="1115"/>
        <w:gridCol w:w="2508"/>
        <w:gridCol w:w="1267"/>
        <w:gridCol w:w="2438"/>
        <w:gridCol w:w="1045"/>
      </w:tblGrid>
      <w:tr>
        <w:trPr>
          <w:trHeight w:val="445" w:hRule="atLeast"/>
        </w:trPr>
        <w:tc>
          <w:tcPr>
            <w:shd w:val="clear" w:fill="A8A8A8"/>
            <w:tcW w:w="2382" w:type="dxa"/>
            <w:vAlign w:val="top"/>
            <w:gridSpan w:val="2"/>
            <w:tcBorders>
              <w:right w:val="single" w:color="FFFFFF" w:sz="8" w:space="0"/>
            </w:tcBorders>
          </w:tcPr>
          <w:p>
            <w:pPr>
              <w:pStyle w:val="TableText"/>
              <w:ind w:left="514"/>
              <w:spacing w:before="113" w:line="176" w:lineRule="auto"/>
              <w:rPr>
                <w:sz w:val="21"/>
                <w:szCs w:val="21"/>
              </w:rPr>
            </w:pPr>
            <w:r>
              <w:rPr>
                <w:sz w:val="21"/>
                <w:szCs w:val="21"/>
                <w:b/>
                <w:bCs/>
                <w:color w:val="FFFFFF"/>
                <w:spacing w:val="7"/>
              </w:rPr>
              <w:t>电量（</w:t>
            </w:r>
            <w:r>
              <w:rPr>
                <w:rFonts w:ascii="Arial" w:hAnsi="Arial" w:eastAsia="Arial" w:cs="Arial"/>
                <w:sz w:val="21"/>
                <w:szCs w:val="21"/>
                <w:b/>
                <w:bCs/>
                <w:color w:val="FFFFFF"/>
              </w:rPr>
              <w:t>MWh</w:t>
            </w:r>
            <w:r>
              <w:rPr>
                <w:sz w:val="21"/>
                <w:szCs w:val="21"/>
                <w:b/>
                <w:bCs/>
                <w:color w:val="FFFFFF"/>
                <w:spacing w:val="7"/>
              </w:rPr>
              <w:t>）</w:t>
            </w:r>
          </w:p>
        </w:tc>
        <w:tc>
          <w:tcPr>
            <w:shd w:val="clear" w:fill="A8A8A8"/>
            <w:tcW w:w="3775" w:type="dxa"/>
            <w:vAlign w:val="top"/>
            <w:gridSpan w:val="2"/>
            <w:tcBorders>
              <w:left w:val="single" w:color="FFFFFF" w:sz="8" w:space="0"/>
              <w:right w:val="single" w:color="FFFFFF" w:sz="8" w:space="0"/>
            </w:tcBorders>
          </w:tcPr>
          <w:p>
            <w:pPr>
              <w:pStyle w:val="TableText"/>
              <w:ind w:left="1070"/>
              <w:spacing w:before="113" w:line="176" w:lineRule="auto"/>
              <w:rPr>
                <w:sz w:val="21"/>
                <w:szCs w:val="21"/>
              </w:rPr>
            </w:pPr>
            <w:r>
              <w:rPr>
                <w:sz w:val="21"/>
                <w:szCs w:val="21"/>
                <w:b/>
                <w:bCs/>
                <w:color w:val="FFFFFF"/>
                <w:spacing w:val="10"/>
              </w:rPr>
              <w:t>单价（元</w:t>
            </w:r>
            <w:r>
              <w:rPr>
                <w:rFonts w:ascii="Arial" w:hAnsi="Arial" w:eastAsia="Arial" w:cs="Arial"/>
                <w:sz w:val="21"/>
                <w:szCs w:val="21"/>
                <w:b/>
                <w:bCs/>
                <w:color w:val="FFFFFF"/>
                <w:spacing w:val="10"/>
              </w:rPr>
              <w:t>/</w:t>
            </w:r>
            <w:r>
              <w:rPr>
                <w:rFonts w:ascii="Arial" w:hAnsi="Arial" w:eastAsia="Arial" w:cs="Arial"/>
                <w:sz w:val="21"/>
                <w:szCs w:val="21"/>
                <w:b/>
                <w:bCs/>
                <w:color w:val="FFFFFF"/>
              </w:rPr>
              <w:t>kWh</w:t>
            </w:r>
            <w:r>
              <w:rPr>
                <w:sz w:val="21"/>
                <w:szCs w:val="21"/>
                <w:b/>
                <w:bCs/>
                <w:color w:val="FFFFFF"/>
                <w:spacing w:val="10"/>
              </w:rPr>
              <w:t>）</w:t>
            </w:r>
          </w:p>
        </w:tc>
        <w:tc>
          <w:tcPr>
            <w:shd w:val="clear" w:fill="A8A8A8"/>
            <w:tcW w:w="3483" w:type="dxa"/>
            <w:vAlign w:val="top"/>
            <w:gridSpan w:val="2"/>
            <w:tcBorders>
              <w:left w:val="single" w:color="FFFFFF" w:sz="8" w:space="0"/>
            </w:tcBorders>
          </w:tcPr>
          <w:p>
            <w:pPr>
              <w:pStyle w:val="TableText"/>
              <w:ind w:left="1096"/>
              <w:spacing w:before="113" w:line="176" w:lineRule="auto"/>
              <w:rPr>
                <w:sz w:val="21"/>
                <w:szCs w:val="21"/>
              </w:rPr>
            </w:pPr>
            <w:r>
              <w:rPr>
                <w:sz w:val="21"/>
                <w:szCs w:val="21"/>
                <w:b/>
                <w:bCs/>
                <w:color w:val="FFFFFF"/>
                <w:spacing w:val="-4"/>
              </w:rPr>
              <w:t>收益（万元）</w:t>
            </w:r>
          </w:p>
        </w:tc>
      </w:tr>
      <w:tr>
        <w:trPr>
          <w:trHeight w:val="835" w:hRule="atLeast"/>
        </w:trPr>
        <w:tc>
          <w:tcPr>
            <w:tcW w:w="1267" w:type="dxa"/>
            <w:vAlign w:val="top"/>
            <w:tcBorders>
              <w:right w:val="single" w:color="A8A8A8" w:sz="2" w:space="0"/>
            </w:tcBorders>
          </w:tcPr>
          <w:p>
            <w:pPr>
              <w:pStyle w:val="TableText"/>
              <w:ind w:left="442" w:right="421" w:hanging="14"/>
              <w:spacing w:before="178" w:line="181" w:lineRule="auto"/>
              <w:rPr>
                <w:sz w:val="21"/>
                <w:szCs w:val="21"/>
              </w:rPr>
            </w:pPr>
            <w:r>
              <w:rPr>
                <w:sz w:val="21"/>
                <w:szCs w:val="21"/>
                <w:b/>
                <w:bCs/>
                <w:color w:val="00C0AE"/>
                <w:spacing w:val="-3"/>
              </w:rPr>
              <w:t>充电</w:t>
            </w:r>
            <w:r>
              <w:rPr>
                <w:sz w:val="21"/>
                <w:szCs w:val="21"/>
                <w:b/>
                <w:bCs/>
                <w:color w:val="00C0AE"/>
              </w:rPr>
              <w:t xml:space="preserve"> </w:t>
            </w:r>
            <w:r>
              <w:rPr>
                <w:sz w:val="21"/>
                <w:szCs w:val="21"/>
                <w:b/>
                <w:bCs/>
                <w:color w:val="00C0AE"/>
                <w:spacing w:val="-5"/>
                <w:w w:val="97"/>
              </w:rPr>
              <w:t>电量</w:t>
            </w:r>
          </w:p>
        </w:tc>
        <w:tc>
          <w:tcPr>
            <w:tcW w:w="1115" w:type="dxa"/>
            <w:vAlign w:val="top"/>
            <w:tcBorders>
              <w:left w:val="single" w:color="A8A8A8" w:sz="2" w:space="0"/>
              <w:right w:val="single" w:color="A8A8A8" w:sz="2" w:space="0"/>
            </w:tcBorders>
          </w:tcPr>
          <w:p>
            <w:pPr>
              <w:spacing w:line="282" w:lineRule="auto"/>
              <w:rPr>
                <w:rFonts w:ascii="Arial"/>
                <w:sz w:val="21"/>
              </w:rPr>
            </w:pPr>
            <w:r/>
          </w:p>
          <w:p>
            <w:pPr>
              <w:ind w:left="288"/>
              <w:spacing w:before="60" w:line="193" w:lineRule="auto"/>
              <w:rPr>
                <w:rFonts w:ascii="Arial" w:hAnsi="Arial" w:eastAsia="Arial" w:cs="Arial"/>
                <w:sz w:val="21"/>
                <w:szCs w:val="21"/>
              </w:rPr>
            </w:pPr>
            <w:r>
              <w:rPr>
                <w:rFonts w:ascii="Arial" w:hAnsi="Arial" w:eastAsia="Arial" w:cs="Arial"/>
                <w:sz w:val="21"/>
                <w:szCs w:val="21"/>
                <w:spacing w:val="-5"/>
              </w:rPr>
              <w:t>16065</w:t>
            </w:r>
          </w:p>
        </w:tc>
        <w:tc>
          <w:tcPr>
            <w:tcW w:w="2508" w:type="dxa"/>
            <w:vAlign w:val="top"/>
            <w:tcBorders>
              <w:left w:val="single" w:color="A8A8A8" w:sz="2" w:space="0"/>
              <w:right w:val="single" w:color="A8A8A8" w:sz="2" w:space="0"/>
            </w:tcBorders>
          </w:tcPr>
          <w:p>
            <w:pPr>
              <w:pStyle w:val="TableText"/>
              <w:ind w:left="518"/>
              <w:spacing w:before="312" w:line="177" w:lineRule="auto"/>
              <w:rPr>
                <w:sz w:val="21"/>
                <w:szCs w:val="21"/>
              </w:rPr>
            </w:pPr>
            <w:r>
              <w:rPr>
                <w:sz w:val="21"/>
                <w:szCs w:val="21"/>
                <w:spacing w:val="-1"/>
              </w:rPr>
              <w:t>应收电网结算价</w:t>
            </w:r>
          </w:p>
        </w:tc>
        <w:tc>
          <w:tcPr>
            <w:tcW w:w="1267" w:type="dxa"/>
            <w:vAlign w:val="top"/>
            <w:tcBorders>
              <w:left w:val="single" w:color="A8A8A8" w:sz="2" w:space="0"/>
              <w:right w:val="single" w:color="A8A8A8" w:sz="2" w:space="0"/>
            </w:tcBorders>
          </w:tcPr>
          <w:p>
            <w:pPr>
              <w:spacing w:line="282" w:lineRule="auto"/>
              <w:rPr>
                <w:rFonts w:ascii="Arial"/>
                <w:sz w:val="21"/>
              </w:rPr>
            </w:pPr>
            <w:r/>
          </w:p>
          <w:p>
            <w:pPr>
              <w:ind w:left="322"/>
              <w:spacing w:before="60" w:line="193" w:lineRule="auto"/>
              <w:rPr>
                <w:rFonts w:ascii="Arial" w:hAnsi="Arial" w:eastAsia="Arial" w:cs="Arial"/>
                <w:sz w:val="21"/>
                <w:szCs w:val="21"/>
              </w:rPr>
            </w:pPr>
            <w:r>
              <w:rPr>
                <w:rFonts w:ascii="Arial" w:hAnsi="Arial" w:eastAsia="Arial" w:cs="Arial"/>
                <w:sz w:val="21"/>
                <w:szCs w:val="21"/>
                <w:spacing w:val="-3"/>
              </w:rPr>
              <w:t>0.2034</w:t>
            </w:r>
          </w:p>
        </w:tc>
        <w:tc>
          <w:tcPr>
            <w:tcW w:w="2438" w:type="dxa"/>
            <w:vAlign w:val="top"/>
            <w:tcBorders>
              <w:left w:val="single" w:color="A8A8A8" w:sz="2" w:space="0"/>
              <w:right w:val="single" w:color="A8A8A8" w:sz="2" w:space="0"/>
            </w:tcBorders>
          </w:tcPr>
          <w:p>
            <w:pPr>
              <w:pStyle w:val="TableText"/>
              <w:ind w:left="379"/>
              <w:spacing w:before="312" w:line="177" w:lineRule="auto"/>
              <w:rPr>
                <w:sz w:val="21"/>
                <w:szCs w:val="21"/>
              </w:rPr>
            </w:pPr>
            <w:r>
              <w:rPr>
                <w:sz w:val="21"/>
                <w:szCs w:val="21"/>
              </w:rPr>
              <w:t>应收电网结算收入</w:t>
            </w:r>
          </w:p>
        </w:tc>
        <w:tc>
          <w:tcPr>
            <w:tcW w:w="1045" w:type="dxa"/>
            <w:vAlign w:val="top"/>
            <w:tcBorders>
              <w:left w:val="single" w:color="A8A8A8" w:sz="2" w:space="0"/>
            </w:tcBorders>
          </w:tcPr>
          <w:p>
            <w:pPr>
              <w:spacing w:line="282" w:lineRule="auto"/>
              <w:rPr>
                <w:rFonts w:ascii="Arial"/>
                <w:sz w:val="21"/>
              </w:rPr>
            </w:pPr>
            <w:r/>
          </w:p>
          <w:p>
            <w:pPr>
              <w:ind w:left="356"/>
              <w:spacing w:before="60" w:line="193" w:lineRule="auto"/>
              <w:rPr>
                <w:rFonts w:ascii="Arial" w:hAnsi="Arial" w:eastAsia="Arial" w:cs="Arial"/>
                <w:sz w:val="21"/>
                <w:szCs w:val="21"/>
              </w:rPr>
            </w:pPr>
            <w:r>
              <w:rPr>
                <w:rFonts w:ascii="Arial" w:hAnsi="Arial" w:eastAsia="Arial" w:cs="Arial"/>
                <w:sz w:val="21"/>
                <w:szCs w:val="21"/>
                <w:spacing w:val="-4"/>
              </w:rPr>
              <w:t>279</w:t>
            </w:r>
          </w:p>
        </w:tc>
      </w:tr>
      <w:tr>
        <w:trPr>
          <w:trHeight w:val="835" w:hRule="atLeast"/>
        </w:trPr>
        <w:tc>
          <w:tcPr>
            <w:shd w:val="clear" w:fill="F1F1F1"/>
            <w:tcW w:w="1267" w:type="dxa"/>
            <w:vAlign w:val="top"/>
            <w:tcBorders>
              <w:right w:val="single" w:color="A8A8A8" w:sz="2" w:space="0"/>
            </w:tcBorders>
          </w:tcPr>
          <w:p>
            <w:pPr>
              <w:pStyle w:val="TableText"/>
              <w:ind w:left="442" w:right="421" w:hanging="21"/>
              <w:spacing w:before="179" w:line="181" w:lineRule="auto"/>
              <w:rPr>
                <w:sz w:val="21"/>
                <w:szCs w:val="21"/>
              </w:rPr>
            </w:pPr>
            <w:r>
              <w:rPr>
                <w:sz w:val="21"/>
                <w:szCs w:val="21"/>
                <w:b/>
                <w:bCs/>
                <w:color w:val="00C0AE"/>
              </w:rPr>
              <w:t>放电 </w:t>
            </w:r>
            <w:r>
              <w:rPr>
                <w:sz w:val="21"/>
                <w:szCs w:val="21"/>
                <w:b/>
                <w:bCs/>
                <w:color w:val="00C0AE"/>
                <w:spacing w:val="-5"/>
                <w:w w:val="97"/>
              </w:rPr>
              <w:t>电量</w:t>
            </w:r>
          </w:p>
        </w:tc>
        <w:tc>
          <w:tcPr>
            <w:shd w:val="clear" w:fill="F1F1F1"/>
            <w:tcW w:w="1115" w:type="dxa"/>
            <w:vAlign w:val="top"/>
            <w:tcBorders>
              <w:left w:val="single" w:color="A8A8A8" w:sz="2" w:space="0"/>
              <w:right w:val="single" w:color="A8A8A8" w:sz="2" w:space="0"/>
            </w:tcBorders>
          </w:tcPr>
          <w:p>
            <w:pPr>
              <w:spacing w:line="283" w:lineRule="auto"/>
              <w:rPr>
                <w:rFonts w:ascii="Arial"/>
                <w:sz w:val="21"/>
              </w:rPr>
            </w:pPr>
            <w:r/>
          </w:p>
          <w:p>
            <w:pPr>
              <w:ind w:left="288"/>
              <w:spacing w:before="60" w:line="193" w:lineRule="auto"/>
              <w:rPr>
                <w:rFonts w:ascii="Arial" w:hAnsi="Arial" w:eastAsia="Arial" w:cs="Arial"/>
                <w:sz w:val="21"/>
                <w:szCs w:val="21"/>
              </w:rPr>
            </w:pPr>
            <w:r>
              <w:rPr>
                <w:rFonts w:ascii="Arial" w:hAnsi="Arial" w:eastAsia="Arial" w:cs="Arial"/>
                <w:sz w:val="21"/>
                <w:szCs w:val="21"/>
                <w:spacing w:val="-5"/>
              </w:rPr>
              <w:t>13667</w:t>
            </w:r>
          </w:p>
        </w:tc>
        <w:tc>
          <w:tcPr>
            <w:shd w:val="clear" w:fill="F1F1F1"/>
            <w:tcW w:w="2508" w:type="dxa"/>
            <w:vAlign w:val="top"/>
            <w:tcBorders>
              <w:left w:val="single" w:color="A8A8A8" w:sz="2" w:space="0"/>
              <w:right w:val="single" w:color="A8A8A8" w:sz="2" w:space="0"/>
            </w:tcBorders>
          </w:tcPr>
          <w:p>
            <w:pPr>
              <w:pStyle w:val="TableText"/>
              <w:ind w:left="412"/>
              <w:spacing w:before="313" w:line="177" w:lineRule="auto"/>
              <w:rPr>
                <w:sz w:val="21"/>
                <w:szCs w:val="21"/>
              </w:rPr>
            </w:pPr>
            <w:r>
              <w:rPr>
                <w:sz w:val="21"/>
                <w:szCs w:val="21"/>
              </w:rPr>
              <w:t>应收补贴结算单价</w:t>
            </w:r>
          </w:p>
        </w:tc>
        <w:tc>
          <w:tcPr>
            <w:shd w:val="clear" w:fill="F1F1F1"/>
            <w:tcW w:w="1267" w:type="dxa"/>
            <w:vAlign w:val="top"/>
            <w:tcBorders>
              <w:left w:val="single" w:color="A8A8A8" w:sz="2" w:space="0"/>
              <w:right w:val="single" w:color="A8A8A8" w:sz="2" w:space="0"/>
            </w:tcBorders>
          </w:tcPr>
          <w:p>
            <w:pPr>
              <w:spacing w:line="283" w:lineRule="auto"/>
              <w:rPr>
                <w:rFonts w:ascii="Arial"/>
                <w:sz w:val="21"/>
              </w:rPr>
            </w:pPr>
            <w:r/>
          </w:p>
          <w:p>
            <w:pPr>
              <w:ind w:left="322"/>
              <w:spacing w:before="60" w:line="193" w:lineRule="auto"/>
              <w:rPr>
                <w:rFonts w:ascii="Arial" w:hAnsi="Arial" w:eastAsia="Arial" w:cs="Arial"/>
                <w:sz w:val="21"/>
                <w:szCs w:val="21"/>
              </w:rPr>
            </w:pPr>
            <w:r>
              <w:rPr>
                <w:rFonts w:ascii="Arial" w:hAnsi="Arial" w:eastAsia="Arial" w:cs="Arial"/>
                <w:sz w:val="21"/>
                <w:szCs w:val="21"/>
                <w:spacing w:val="-3"/>
              </w:rPr>
              <w:t>0.4990</w:t>
            </w:r>
          </w:p>
        </w:tc>
        <w:tc>
          <w:tcPr>
            <w:shd w:val="clear" w:fill="F1F1F1"/>
            <w:tcW w:w="2438" w:type="dxa"/>
            <w:vAlign w:val="top"/>
            <w:tcBorders>
              <w:left w:val="single" w:color="A8A8A8" w:sz="2" w:space="0"/>
              <w:right w:val="single" w:color="A8A8A8" w:sz="2" w:space="0"/>
            </w:tcBorders>
          </w:tcPr>
          <w:p>
            <w:pPr>
              <w:pStyle w:val="TableText"/>
              <w:ind w:left="590"/>
              <w:spacing w:before="312" w:line="178" w:lineRule="auto"/>
              <w:rPr>
                <w:sz w:val="21"/>
                <w:szCs w:val="21"/>
              </w:rPr>
            </w:pPr>
            <w:r>
              <w:rPr>
                <w:sz w:val="21"/>
                <w:szCs w:val="21"/>
                <w:spacing w:val="-1"/>
              </w:rPr>
              <w:t>应收补贴收入</w:t>
            </w:r>
          </w:p>
        </w:tc>
        <w:tc>
          <w:tcPr>
            <w:shd w:val="clear" w:fill="F1F1F1"/>
            <w:tcW w:w="1045" w:type="dxa"/>
            <w:vAlign w:val="top"/>
            <w:tcBorders>
              <w:left w:val="single" w:color="A8A8A8" w:sz="2" w:space="0"/>
            </w:tcBorders>
          </w:tcPr>
          <w:p>
            <w:pPr>
              <w:spacing w:line="283" w:lineRule="auto"/>
              <w:rPr>
                <w:rFonts w:ascii="Arial"/>
                <w:sz w:val="21"/>
              </w:rPr>
            </w:pPr>
            <w:r/>
          </w:p>
          <w:p>
            <w:pPr>
              <w:ind w:left="355"/>
              <w:spacing w:before="60" w:line="193" w:lineRule="auto"/>
              <w:rPr>
                <w:rFonts w:ascii="Arial" w:hAnsi="Arial" w:eastAsia="Arial" w:cs="Arial"/>
                <w:sz w:val="21"/>
                <w:szCs w:val="21"/>
              </w:rPr>
            </w:pPr>
            <w:r>
              <w:rPr>
                <w:rFonts w:ascii="Arial" w:hAnsi="Arial" w:eastAsia="Arial" w:cs="Arial"/>
                <w:sz w:val="21"/>
                <w:szCs w:val="21"/>
                <w:spacing w:val="-4"/>
              </w:rPr>
              <w:t>681</w:t>
            </w:r>
          </w:p>
        </w:tc>
      </w:tr>
      <w:tr>
        <w:trPr>
          <w:trHeight w:val="837" w:hRule="atLeast"/>
        </w:trPr>
        <w:tc>
          <w:tcPr>
            <w:tcW w:w="1267" w:type="dxa"/>
            <w:vAlign w:val="top"/>
            <w:tcBorders>
              <w:bottom w:val="single" w:color="A8A8A8" w:sz="2" w:space="0"/>
              <w:right w:val="single" w:color="A8A8A8" w:sz="2" w:space="0"/>
            </w:tcBorders>
          </w:tcPr>
          <w:p>
            <w:pPr>
              <w:pStyle w:val="TableText"/>
              <w:ind w:left="423" w:right="311" w:hanging="101"/>
              <w:spacing w:before="179" w:line="180" w:lineRule="auto"/>
              <w:rPr>
                <w:sz w:val="21"/>
                <w:szCs w:val="21"/>
              </w:rPr>
            </w:pPr>
            <w:r>
              <w:rPr>
                <w:sz w:val="21"/>
                <w:szCs w:val="21"/>
                <w:b/>
                <w:bCs/>
                <w:color w:val="00C0AE"/>
              </w:rPr>
              <w:t>充放电 </w:t>
            </w:r>
            <w:r>
              <w:rPr>
                <w:sz w:val="21"/>
                <w:szCs w:val="21"/>
                <w:b/>
                <w:bCs/>
                <w:color w:val="00C0AE"/>
                <w:spacing w:val="-1"/>
              </w:rPr>
              <w:t>效率</w:t>
            </w:r>
          </w:p>
        </w:tc>
        <w:tc>
          <w:tcPr>
            <w:tcW w:w="1115" w:type="dxa"/>
            <w:vAlign w:val="top"/>
            <w:tcBorders>
              <w:left w:val="single" w:color="A8A8A8" w:sz="2" w:space="0"/>
              <w:bottom w:val="single" w:color="A8A8A8" w:sz="2" w:space="0"/>
              <w:right w:val="single" w:color="A8A8A8" w:sz="2" w:space="0"/>
            </w:tcBorders>
          </w:tcPr>
          <w:p>
            <w:pPr>
              <w:spacing w:line="284" w:lineRule="auto"/>
              <w:rPr>
                <w:rFonts w:ascii="Arial"/>
                <w:sz w:val="21"/>
              </w:rPr>
            </w:pPr>
            <w:r/>
          </w:p>
          <w:p>
            <w:pPr>
              <w:ind w:left="340"/>
              <w:spacing w:before="61" w:line="190" w:lineRule="auto"/>
              <w:rPr>
                <w:rFonts w:ascii="Arial" w:hAnsi="Arial" w:eastAsia="Arial" w:cs="Arial"/>
                <w:sz w:val="21"/>
                <w:szCs w:val="21"/>
              </w:rPr>
            </w:pPr>
            <w:r>
              <w:rPr>
                <w:rFonts w:ascii="Arial" w:hAnsi="Arial" w:eastAsia="Arial" w:cs="Arial"/>
                <w:sz w:val="21"/>
                <w:szCs w:val="21"/>
                <w:spacing w:val="4"/>
              </w:rPr>
              <w:t>85%</w:t>
            </w:r>
          </w:p>
        </w:tc>
        <w:tc>
          <w:tcPr>
            <w:tcW w:w="2508" w:type="dxa"/>
            <w:vAlign w:val="top"/>
            <w:tcBorders>
              <w:left w:val="single" w:color="A8A8A8" w:sz="2" w:space="0"/>
              <w:bottom w:val="single" w:color="A8A8A8" w:sz="2" w:space="0"/>
              <w:right w:val="single" w:color="A8A8A8" w:sz="2" w:space="0"/>
            </w:tcBorders>
          </w:tcPr>
          <w:p>
            <w:pPr>
              <w:pStyle w:val="TableText"/>
              <w:ind w:left="621"/>
              <w:spacing w:before="315" w:line="176" w:lineRule="auto"/>
              <w:rPr>
                <w:sz w:val="21"/>
                <w:szCs w:val="21"/>
              </w:rPr>
            </w:pPr>
            <w:r>
              <w:rPr>
                <w:sz w:val="21"/>
                <w:szCs w:val="21"/>
              </w:rPr>
              <w:t>放电平均单价</w:t>
            </w:r>
          </w:p>
        </w:tc>
        <w:tc>
          <w:tcPr>
            <w:tcW w:w="1267" w:type="dxa"/>
            <w:vAlign w:val="top"/>
            <w:tcBorders>
              <w:left w:val="single" w:color="A8A8A8" w:sz="2" w:space="0"/>
              <w:bottom w:val="single" w:color="A8A8A8" w:sz="2" w:space="0"/>
              <w:right w:val="single" w:color="A8A8A8" w:sz="2" w:space="0"/>
            </w:tcBorders>
          </w:tcPr>
          <w:p>
            <w:pPr>
              <w:spacing w:line="284" w:lineRule="auto"/>
              <w:rPr>
                <w:rFonts w:ascii="Arial"/>
                <w:sz w:val="21"/>
              </w:rPr>
            </w:pPr>
            <w:r/>
          </w:p>
          <w:p>
            <w:pPr>
              <w:ind w:left="322"/>
              <w:spacing w:before="61" w:line="193" w:lineRule="auto"/>
              <w:rPr>
                <w:rFonts w:ascii="Arial" w:hAnsi="Arial" w:eastAsia="Arial" w:cs="Arial"/>
                <w:sz w:val="21"/>
                <w:szCs w:val="21"/>
              </w:rPr>
            </w:pPr>
            <w:r>
              <w:rPr>
                <w:rFonts w:ascii="Arial" w:hAnsi="Arial" w:eastAsia="Arial" w:cs="Arial"/>
                <w:sz w:val="21"/>
                <w:szCs w:val="21"/>
                <w:spacing w:val="-3"/>
              </w:rPr>
              <w:t>0.7024</w:t>
            </w:r>
          </w:p>
        </w:tc>
        <w:tc>
          <w:tcPr>
            <w:tcW w:w="2438" w:type="dxa"/>
            <w:vAlign w:val="top"/>
            <w:tcBorders>
              <w:left w:val="single" w:color="A8A8A8" w:sz="2" w:space="0"/>
              <w:bottom w:val="single" w:color="A8A8A8" w:sz="2" w:space="0"/>
              <w:right w:val="single" w:color="A8A8A8" w:sz="2" w:space="0"/>
            </w:tcBorders>
          </w:tcPr>
          <w:p>
            <w:pPr>
              <w:pStyle w:val="TableText"/>
              <w:ind w:left="481"/>
              <w:spacing w:before="315" w:line="176" w:lineRule="auto"/>
              <w:rPr>
                <w:sz w:val="21"/>
                <w:szCs w:val="21"/>
              </w:rPr>
            </w:pPr>
            <w:r>
              <w:rPr>
                <w:sz w:val="21"/>
                <w:szCs w:val="21"/>
              </w:rPr>
              <w:t>储能电站总收入</w:t>
            </w:r>
          </w:p>
        </w:tc>
        <w:tc>
          <w:tcPr>
            <w:tcW w:w="1045" w:type="dxa"/>
            <w:vAlign w:val="top"/>
            <w:tcBorders>
              <w:left w:val="single" w:color="A8A8A8" w:sz="2" w:space="0"/>
              <w:bottom w:val="single" w:color="A8A8A8" w:sz="2" w:space="0"/>
            </w:tcBorders>
          </w:tcPr>
          <w:p>
            <w:pPr>
              <w:spacing w:line="284" w:lineRule="auto"/>
              <w:rPr>
                <w:rFonts w:ascii="Arial"/>
                <w:sz w:val="21"/>
              </w:rPr>
            </w:pPr>
            <w:r/>
          </w:p>
          <w:p>
            <w:pPr>
              <w:ind w:left="355"/>
              <w:spacing w:before="61" w:line="193" w:lineRule="auto"/>
              <w:rPr>
                <w:rFonts w:ascii="Arial" w:hAnsi="Arial" w:eastAsia="Arial" w:cs="Arial"/>
                <w:sz w:val="21"/>
                <w:szCs w:val="21"/>
              </w:rPr>
            </w:pPr>
            <w:r>
              <w:rPr>
                <w:rFonts w:ascii="Arial" w:hAnsi="Arial" w:eastAsia="Arial" w:cs="Arial"/>
                <w:sz w:val="21"/>
                <w:szCs w:val="21"/>
                <w:spacing w:val="-4"/>
              </w:rPr>
              <w:t>960</w:t>
            </w:r>
          </w:p>
        </w:tc>
      </w:tr>
    </w:tbl>
    <w:p>
      <w:pPr>
        <w:ind w:left="10"/>
        <w:spacing w:before="203" w:line="17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8"/>
        </w:rPr>
        <w:t>资料来源：储能与电力市场，毕马威分析</w:t>
      </w:r>
    </w:p>
    <w:p>
      <w:pPr>
        <w:ind w:left="8"/>
        <w:spacing w:before="1" w:line="182"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7"/>
        </w:rPr>
        <w:t>注：681万元的补贴收入是储能电站和新能源场站业主共享。</w:t>
      </w:r>
    </w:p>
    <w:p>
      <w:pPr>
        <w:pStyle w:val="BodyText"/>
        <w:spacing w:line="329" w:lineRule="auto"/>
        <w:rPr/>
      </w:pPr>
      <w:r/>
    </w:p>
    <w:p>
      <w:pPr>
        <w:ind w:left="9" w:right="2996" w:firstLine="1"/>
        <w:spacing w:before="91" w:line="21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从闵行储能电站的收入和支出看</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目前闵行储能电站的收入不足以</w:t>
      </w:r>
      <w:r>
        <w:rPr>
          <w:rFonts w:ascii="Microsoft YaHei" w:hAnsi="Microsoft YaHei" w:eastAsia="Microsoft YaHei" w:cs="Microsoft YaHei"/>
          <w:sz w:val="21"/>
          <w:szCs w:val="21"/>
          <w:spacing w:val="2"/>
        </w:rPr>
        <w:t>支撑每年的运行费</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用，没有实现盈利。2022年10月，</w:t>
      </w:r>
      <w:r>
        <w:rPr>
          <w:rFonts w:ascii="Microsoft YaHei" w:hAnsi="Microsoft YaHei" w:eastAsia="Microsoft YaHei" w:cs="Microsoft YaHei"/>
          <w:sz w:val="21"/>
          <w:szCs w:val="21"/>
          <w:spacing w:val="-41"/>
        </w:rPr>
        <w:t xml:space="preserve"> </w:t>
      </w:r>
      <w:r>
        <w:rPr>
          <w:rFonts w:ascii="Microsoft YaHei" w:hAnsi="Microsoft YaHei" w:eastAsia="Microsoft YaHei" w:cs="Microsoft YaHei"/>
          <w:sz w:val="21"/>
          <w:szCs w:val="21"/>
          <w:spacing w:val="1"/>
        </w:rPr>
        <w:t>甘肃省出台文件鼓励储能电站以独立身</w:t>
      </w:r>
      <w:r>
        <w:rPr>
          <w:rFonts w:ascii="Microsoft YaHei" w:hAnsi="Microsoft YaHei" w:eastAsia="Microsoft YaHei" w:cs="Microsoft YaHei"/>
          <w:sz w:val="21"/>
          <w:szCs w:val="21"/>
        </w:rPr>
        <w:t>份参与调峰 </w:t>
      </w:r>
      <w:r>
        <w:rPr>
          <w:rFonts w:ascii="Microsoft YaHei" w:hAnsi="Microsoft YaHei" w:eastAsia="Microsoft YaHei" w:cs="Microsoft YaHei"/>
          <w:sz w:val="21"/>
          <w:szCs w:val="21"/>
          <w:spacing w:val="3"/>
        </w:rPr>
        <w:t>容量市场交易</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，为储能创造了新的收入渠道。</w:t>
      </w:r>
      <w:r>
        <w:rPr>
          <w:rFonts w:ascii="Microsoft YaHei" w:hAnsi="Microsoft YaHei" w:eastAsia="Microsoft YaHei" w:cs="Microsoft YaHei"/>
          <w:sz w:val="21"/>
          <w:szCs w:val="21"/>
          <w:spacing w:val="-38"/>
        </w:rPr>
        <w:t xml:space="preserve"> </w:t>
      </w:r>
      <w:r>
        <w:rPr>
          <w:rFonts w:ascii="Microsoft YaHei" w:hAnsi="Microsoft YaHei" w:eastAsia="Microsoft YaHei" w:cs="Microsoft YaHei"/>
          <w:sz w:val="21"/>
          <w:szCs w:val="21"/>
          <w:spacing w:val="3"/>
        </w:rPr>
        <w:t>青海省也在积极探索进一步丰富独</w:t>
      </w:r>
      <w:r>
        <w:rPr>
          <w:rFonts w:ascii="Microsoft YaHei" w:hAnsi="Microsoft YaHei" w:eastAsia="Microsoft YaHei" w:cs="Microsoft YaHei"/>
          <w:sz w:val="21"/>
          <w:szCs w:val="21"/>
          <w:spacing w:val="2"/>
        </w:rPr>
        <w:t>立储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能电站的应用场景</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，随着独立储能电站参与电力现货市场交易的概率增</w:t>
      </w:r>
      <w:r>
        <w:rPr>
          <w:rFonts w:ascii="Microsoft YaHei" w:hAnsi="Microsoft YaHei" w:eastAsia="Microsoft YaHei" w:cs="Microsoft YaHei"/>
          <w:sz w:val="21"/>
          <w:szCs w:val="21"/>
          <w:spacing w:val="2"/>
        </w:rPr>
        <w:t>大</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，以及参与</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电力辅助服务市场的广度和深度增加，收益渠道有望进一步拓展</w:t>
      </w:r>
      <w:r>
        <w:rPr>
          <w:rFonts w:ascii="Microsoft YaHei" w:hAnsi="Microsoft YaHei" w:eastAsia="Microsoft YaHei" w:cs="Microsoft YaHei"/>
          <w:sz w:val="21"/>
          <w:szCs w:val="21"/>
          <w:spacing w:val="-1"/>
        </w:rPr>
        <w:t>，经济性有望提升。</w:t>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ict>
          <v:shape id="_x0000_s1006" style="position:absolute;margin-left:0.25pt;margin-top:4.35757pt;mso-position-vertical-relative:text;mso-position-horizontal-relative:text;width:81.3pt;height:0.5pt;z-index:253021184;" filled="false" strokecolor="#000000" strokeweight="0.50pt" coordsize="1626,10" coordorigin="0,0" path="m0,5l1625,5e">
            <v:stroke joinstyle="miter"/>
          </v:shape>
        </w:pict>
      </w:r>
      <w:r/>
    </w:p>
    <w:p>
      <w:pPr>
        <w:ind w:left="7" w:right="3895" w:hanging="3"/>
        <w:spacing w:before="56" w:line="186"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5"/>
          <w:position w:val="4"/>
        </w:rPr>
        <w:t>58</w:t>
      </w:r>
      <w:r>
        <w:rPr>
          <w:rFonts w:ascii="Microsoft YaHei" w:hAnsi="Microsoft YaHei" w:eastAsia="Microsoft YaHei" w:cs="Microsoft YaHei"/>
          <w:sz w:val="9"/>
          <w:szCs w:val="9"/>
          <w:spacing w:val="34"/>
          <w:w w:val="102"/>
          <w:position w:val="4"/>
        </w:rPr>
        <w:t xml:space="preserve"> </w:t>
      </w:r>
      <w:r>
        <w:rPr>
          <w:rFonts w:ascii="Microsoft YaHei" w:hAnsi="Microsoft YaHei" w:eastAsia="Microsoft YaHei" w:cs="Microsoft YaHei"/>
          <w:sz w:val="13"/>
          <w:szCs w:val="13"/>
          <w:spacing w:val="5"/>
        </w:rPr>
        <w:t>国内首个商业化运行独立储能电站投运，国际电力网，  2020年11月5日，</w:t>
      </w:r>
      <w:r>
        <w:rPr>
          <w:rFonts w:ascii="Microsoft YaHei" w:hAnsi="Microsoft YaHei" w:eastAsia="Microsoft YaHei" w:cs="Microsoft YaHei"/>
          <w:sz w:val="13"/>
          <w:szCs w:val="13"/>
          <w:spacing w:val="-8"/>
        </w:rPr>
        <w:t xml:space="preserve"> </w:t>
      </w:r>
      <w:hyperlink w:history="true" r:id="rId264">
        <w:r>
          <w:rPr>
            <w:rFonts w:ascii="Microsoft YaHei" w:hAnsi="Microsoft YaHei" w:eastAsia="Microsoft YaHei" w:cs="Microsoft YaHei"/>
            <w:sz w:val="13"/>
            <w:szCs w:val="13"/>
          </w:rPr>
          <w:t>https</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power</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in</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en</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com</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html</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power</w:t>
        </w:r>
        <w:r>
          <w:rPr>
            <w:rFonts w:ascii="Microsoft YaHei" w:hAnsi="Microsoft YaHei" w:eastAsia="Microsoft YaHei" w:cs="Microsoft YaHei"/>
            <w:sz w:val="13"/>
            <w:szCs w:val="13"/>
            <w:spacing w:val="5"/>
          </w:rPr>
          <w:t>-</w:t>
        </w:r>
      </w:hyperlink>
      <w:r>
        <w:rPr>
          <w:rFonts w:ascii="Microsoft YaHei" w:hAnsi="Microsoft YaHei" w:eastAsia="Microsoft YaHei" w:cs="Microsoft YaHei"/>
          <w:sz w:val="13"/>
          <w:szCs w:val="13"/>
        </w:rPr>
        <w:t xml:space="preserve"> </w:t>
      </w:r>
      <w:r>
        <w:rPr>
          <w:rFonts w:ascii="Microsoft YaHei" w:hAnsi="Microsoft YaHei" w:eastAsia="Microsoft YaHei" w:cs="Microsoft YaHei"/>
          <w:sz w:val="13"/>
          <w:szCs w:val="13"/>
          <w:spacing w:val="4"/>
        </w:rPr>
        <w:t>2378425.</w:t>
      </w:r>
      <w:r>
        <w:rPr>
          <w:rFonts w:ascii="Microsoft YaHei" w:hAnsi="Microsoft YaHei" w:eastAsia="Microsoft YaHei" w:cs="Microsoft YaHei"/>
          <w:sz w:val="13"/>
          <w:szCs w:val="13"/>
        </w:rPr>
        <w:t>shtml</w:t>
      </w:r>
    </w:p>
    <w:p>
      <w:pPr>
        <w:ind w:left="505" w:right="1241" w:hanging="411"/>
        <w:spacing w:before="188"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1300" w:header="0" w:footer="0" w:gutter="0"/>
        </w:sectPr>
        <w:rPr>
          <w:rFonts w:ascii="Microsoft YaHei" w:hAnsi="Microsoft YaHei" w:eastAsia="Microsoft YaHei" w:cs="Microsoft YaHei"/>
          <w:sz w:val="11"/>
          <w:szCs w:val="11"/>
        </w:rPr>
      </w:pPr>
    </w:p>
    <w:p>
      <w:pPr>
        <w:spacing w:before="314" w:line="193" w:lineRule="auto"/>
        <w:rPr>
          <w:rFonts w:ascii="Microsoft YaHei" w:hAnsi="Microsoft YaHei" w:eastAsia="Microsoft YaHei" w:cs="Microsoft YaHei"/>
          <w:sz w:val="18"/>
          <w:szCs w:val="18"/>
        </w:rPr>
      </w:pPr>
      <w:r>
        <w:pict>
          <v:rect id="_x0000_s1008" style="position:absolute;margin-left:611.99pt;margin-top:0pt;mso-position-vertical-relative:page;mso-position-horizontal-relative:page;width:0.25pt;height:859pt;z-index:253058048;" o:allowincell="f" fillcolor="#000000" filled="true" stroked="false"/>
        </w:pict>
      </w:r>
      <w:r>
        <w:rPr>
          <w:rFonts w:ascii="Microsoft YaHei" w:hAnsi="Microsoft YaHei" w:eastAsia="Microsoft YaHei" w:cs="Microsoft YaHei"/>
          <w:sz w:val="18"/>
          <w:szCs w:val="18"/>
          <w:b/>
          <w:bCs/>
          <w:color w:val="A8A8A8"/>
          <w:spacing w:val="-1"/>
        </w:rPr>
        <w:t>53</w:t>
      </w:r>
      <w:r>
        <w:rPr>
          <w:rFonts w:ascii="Microsoft YaHei" w:hAnsi="Microsoft YaHei" w:eastAsia="Microsoft YaHei" w:cs="Microsoft YaHei"/>
          <w:sz w:val="18"/>
          <w:szCs w:val="18"/>
          <w:b/>
          <w:bCs/>
          <w:color w:val="A8A8A8"/>
          <w:spacing w:val="15"/>
        </w:rPr>
        <w:t xml:space="preserve">  </w:t>
      </w:r>
      <w:r>
        <w:rPr>
          <w:sz w:val="18"/>
          <w:szCs w:val="18"/>
          <w:position w:val="-4"/>
        </w:rPr>
        <w:drawing>
          <wp:inline distT="0" distB="0" distL="0" distR="0">
            <wp:extent cx="6350" cy="130175"/>
            <wp:effectExtent l="0" t="0" r="0" b="0"/>
            <wp:docPr id="550" name="IM 550"/>
            <wp:cNvGraphicFramePr/>
            <a:graphic>
              <a:graphicData uri="http://schemas.openxmlformats.org/drawingml/2006/picture">
                <pic:pic>
                  <pic:nvPicPr>
                    <pic:cNvPr id="550" name="IM 550"/>
                    <pic:cNvPicPr/>
                  </pic:nvPicPr>
                  <pic:blipFill>
                    <a:blip r:embed="rId265"/>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A8A8A8"/>
          <w:spacing w:val="26"/>
        </w:rPr>
        <w:t xml:space="preserve">  </w:t>
      </w:r>
      <w:r>
        <w:rPr>
          <w:rFonts w:ascii="Microsoft YaHei" w:hAnsi="Microsoft YaHei" w:eastAsia="Microsoft YaHei" w:cs="Microsoft YaHei"/>
          <w:sz w:val="18"/>
          <w:szCs w:val="18"/>
          <w:color w:val="A8A8A8"/>
          <w:spacing w:val="-1"/>
        </w:rPr>
        <w:t>新型储能助力能源转型</w:t>
      </w:r>
    </w:p>
    <w:p>
      <w:pPr>
        <w:ind w:left="380"/>
        <w:spacing w:before="528" w:line="179" w:lineRule="auto"/>
        <w:outlineLvl w:val="0"/>
        <w:rPr>
          <w:rFonts w:ascii="Microsoft YaHei" w:hAnsi="Microsoft YaHei" w:eastAsia="Microsoft YaHei" w:cs="Microsoft YaHei"/>
          <w:sz w:val="72"/>
          <w:szCs w:val="72"/>
        </w:rPr>
      </w:pPr>
      <w:r>
        <w:rPr>
          <w:rFonts w:ascii="Microsoft YaHei" w:hAnsi="Microsoft YaHei" w:eastAsia="Microsoft YaHei" w:cs="Microsoft YaHei"/>
          <w:sz w:val="72"/>
          <w:szCs w:val="72"/>
          <w:b/>
          <w:bCs/>
          <w:color w:val="00338D"/>
          <w:spacing w:val="-5"/>
        </w:rPr>
        <w:t>用户侧</w:t>
      </w:r>
    </w:p>
    <w:p>
      <w:pPr>
        <w:ind w:left="346" w:right="2998"/>
        <w:spacing w:before="203" w:line="21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用电端储能的主体为电力用户</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4"/>
        </w:rPr>
        <w:t>，主要包括工商业</w:t>
      </w:r>
      <w:r>
        <w:rPr>
          <w:rFonts w:ascii="Microsoft YaHei" w:hAnsi="Microsoft YaHei" w:eastAsia="Microsoft YaHei" w:cs="Microsoft YaHei"/>
          <w:sz w:val="21"/>
          <w:szCs w:val="21"/>
          <w:spacing w:val="3"/>
        </w:rPr>
        <w:t>用户及家庭用户。发展用户端储能有</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助于节约电力成本并保障用电稳定性。</w:t>
      </w:r>
    </w:p>
    <w:p>
      <w:pPr>
        <w:ind w:left="372"/>
        <w:spacing w:before="204" w:line="179" w:lineRule="auto"/>
        <w:rPr>
          <w:rFonts w:ascii="Microsoft YaHei" w:hAnsi="Microsoft YaHei" w:eastAsia="Microsoft YaHei" w:cs="Microsoft YaHei"/>
          <w:sz w:val="36"/>
          <w:szCs w:val="36"/>
        </w:rPr>
      </w:pPr>
      <w:r>
        <w:rPr>
          <w:rFonts w:ascii="Microsoft YaHei" w:hAnsi="Microsoft YaHei" w:eastAsia="Microsoft YaHei" w:cs="Microsoft YaHei"/>
          <w:sz w:val="36"/>
          <w:szCs w:val="36"/>
          <w:b/>
          <w:bCs/>
          <w:color w:val="00338D"/>
          <w:spacing w:val="-2"/>
        </w:rPr>
        <w:t>户用储能</w:t>
      </w:r>
    </w:p>
    <w:p>
      <w:pPr>
        <w:ind w:left="345" w:right="2996" w:firstLine="2"/>
        <w:spacing w:before="146" w:line="218"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户用储能（户储）是指用于家庭用户的储能系统。户用储能系统通常与户用光伏系统</w:t>
      </w:r>
      <w:r>
        <w:rPr>
          <w:rFonts w:ascii="Microsoft YaHei" w:hAnsi="Microsoft YaHei" w:eastAsia="Microsoft YaHei" w:cs="Microsoft YaHei"/>
          <w:sz w:val="21"/>
          <w:szCs w:val="21"/>
          <w:spacing w:val="18"/>
        </w:rPr>
        <w:t xml:space="preserve"> </w:t>
      </w:r>
      <w:r>
        <w:rPr>
          <w:rFonts w:ascii="Microsoft YaHei" w:hAnsi="Microsoft YaHei" w:eastAsia="Microsoft YaHei" w:cs="Microsoft YaHei"/>
          <w:sz w:val="21"/>
          <w:szCs w:val="21"/>
          <w:spacing w:val="4"/>
        </w:rPr>
        <w:t>组合安装</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4"/>
        </w:rPr>
        <w:t>，为家庭用户提供电能。其工作原理主要为在</w:t>
      </w:r>
      <w:r>
        <w:rPr>
          <w:rFonts w:ascii="Microsoft YaHei" w:hAnsi="Microsoft YaHei" w:eastAsia="Microsoft YaHei" w:cs="Microsoft YaHei"/>
          <w:sz w:val="21"/>
          <w:szCs w:val="21"/>
          <w:spacing w:val="3"/>
        </w:rPr>
        <w:t>白天将光伏发电优先供本地负</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载使用</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，多余的能量存储到蓄电池</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，在电能仍有富余的情况下可选择性并</w:t>
      </w:r>
      <w:r>
        <w:rPr>
          <w:rFonts w:ascii="Microsoft YaHei" w:hAnsi="Microsoft YaHei" w:eastAsia="Microsoft YaHei" w:cs="Microsoft YaHei"/>
          <w:sz w:val="21"/>
          <w:szCs w:val="21"/>
          <w:spacing w:val="2"/>
        </w:rPr>
        <w:t>入电网；在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5"/>
        </w:rPr>
        <w:t>夜间光伏系统不运作时通过蓄电池放电供本</w:t>
      </w:r>
      <w:r>
        <w:rPr>
          <w:rFonts w:ascii="Microsoft YaHei" w:hAnsi="Microsoft YaHei" w:eastAsia="Microsoft YaHei" w:cs="Microsoft YaHei"/>
          <w:sz w:val="21"/>
          <w:szCs w:val="21"/>
          <w:spacing w:val="4"/>
        </w:rPr>
        <w:t>地负载使用。户用储能系统可以提高户用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光伏自发自用程度</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，减少用户的电费支出</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，并在极端天气等情况下保障用户用电的稳</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定性。对于高电价、高峰谷价差或电网老旧地区的用</w:t>
      </w:r>
      <w:r>
        <w:rPr>
          <w:rFonts w:ascii="Microsoft YaHei" w:hAnsi="Microsoft YaHei" w:eastAsia="Microsoft YaHei" w:cs="Microsoft YaHei"/>
          <w:sz w:val="21"/>
          <w:szCs w:val="21"/>
          <w:spacing w:val="3"/>
        </w:rPr>
        <w:t>户</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，购置户储系统具备较好的经</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济性，家庭用户有购置户储系统的动力。</w:t>
      </w:r>
    </w:p>
    <w:p>
      <w:pPr>
        <w:ind w:left="347" w:right="2998" w:firstLine="5"/>
        <w:spacing w:before="258" w:line="218"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家庭储能系统的核心是可充电的储能蓄电池</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，通常以锂离子或铅酸电池为</w:t>
      </w:r>
      <w:r>
        <w:rPr>
          <w:rFonts w:ascii="Microsoft YaHei" w:hAnsi="Microsoft YaHei" w:eastAsia="Microsoft YaHei" w:cs="Microsoft YaHei"/>
          <w:sz w:val="21"/>
          <w:szCs w:val="21"/>
          <w:spacing w:val="1"/>
        </w:rPr>
        <w:t>基础</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spacing w:val="-38"/>
        </w:rPr>
        <w:t xml:space="preserve"> </w:t>
      </w:r>
      <w:r>
        <w:rPr>
          <w:rFonts w:ascii="Microsoft YaHei" w:hAnsi="Microsoft YaHei" w:eastAsia="Microsoft YaHei" w:cs="Microsoft YaHei"/>
          <w:sz w:val="21"/>
          <w:szCs w:val="21"/>
          <w:spacing w:val="1"/>
        </w:rPr>
        <w:t>由计</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算机控制</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，在其他智能硬件及软件的协调下实现充电和放电循环。</w:t>
      </w:r>
      <w:r>
        <w:rPr>
          <w:rFonts w:ascii="Microsoft YaHei" w:hAnsi="Microsoft YaHei" w:eastAsia="Microsoft YaHei" w:cs="Microsoft YaHei"/>
          <w:sz w:val="21"/>
          <w:szCs w:val="21"/>
          <w:spacing w:val="-39"/>
        </w:rPr>
        <w:t xml:space="preserve"> </w:t>
      </w:r>
      <w:r>
        <w:rPr>
          <w:rFonts w:ascii="Microsoft YaHei" w:hAnsi="Microsoft YaHei" w:eastAsia="Microsoft YaHei" w:cs="Microsoft YaHei"/>
          <w:sz w:val="21"/>
          <w:szCs w:val="21"/>
          <w:spacing w:val="3"/>
        </w:rPr>
        <w:t>家庭储能系</w:t>
      </w:r>
      <w:r>
        <w:rPr>
          <w:rFonts w:ascii="Microsoft YaHei" w:hAnsi="Microsoft YaHei" w:eastAsia="Microsoft YaHei" w:cs="Microsoft YaHei"/>
          <w:sz w:val="21"/>
          <w:szCs w:val="21"/>
          <w:spacing w:val="2"/>
        </w:rPr>
        <w:t>统通常</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可与分布式光伏发电相结合形成家庭光储系统。</w:t>
      </w:r>
    </w:p>
    <w:p>
      <w:pPr>
        <w:ind w:left="347" w:right="2998"/>
        <w:spacing w:before="264" w:line="21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根据光伏和储能系统的耦合方式的不同</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，分为直流耦合系统和交流耦</w:t>
      </w:r>
      <w:r>
        <w:rPr>
          <w:rFonts w:ascii="Microsoft YaHei" w:hAnsi="Microsoft YaHei" w:eastAsia="Microsoft YaHei" w:cs="Microsoft YaHei"/>
          <w:sz w:val="21"/>
          <w:szCs w:val="21"/>
          <w:spacing w:val="2"/>
        </w:rPr>
        <w:t>合系统</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2"/>
        </w:rPr>
        <w:t>，分别适</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合与新装光伏系统的增量市场和已装光伏系</w:t>
      </w:r>
      <w:r>
        <w:rPr>
          <w:rFonts w:ascii="Microsoft YaHei" w:hAnsi="Microsoft YaHei" w:eastAsia="Microsoft YaHei" w:cs="Microsoft YaHei"/>
          <w:sz w:val="21"/>
          <w:szCs w:val="21"/>
          <w:spacing w:val="3"/>
        </w:rPr>
        <w:t>统的存量市场。根据系统是否并入电网</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家庭储能系统又可以分为并网系统和离网系</w:t>
      </w:r>
      <w:r>
        <w:rPr>
          <w:rFonts w:ascii="Microsoft YaHei" w:hAnsi="Microsoft YaHei" w:eastAsia="Microsoft YaHei" w:cs="Microsoft YaHei"/>
          <w:sz w:val="21"/>
          <w:szCs w:val="21"/>
          <w:spacing w:val="3"/>
        </w:rPr>
        <w:t>统</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，核心差异在于是否接入电网。不同的</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系统特点不同，适用的家庭类型也各有不同（表 16）。</w:t>
      </w:r>
    </w:p>
    <w:p>
      <w:pPr>
        <w:ind w:left="344"/>
        <w:spacing w:before="153" w:line="19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C0AE"/>
          <w:spacing w:val="-4"/>
        </w:rPr>
        <w:t>表 16 | 户储系统分类及特点</w:t>
      </w:r>
    </w:p>
    <w:p>
      <w:pPr>
        <w:spacing w:line="39" w:lineRule="auto"/>
        <w:rPr>
          <w:rFonts w:ascii="Arial"/>
          <w:sz w:val="2"/>
        </w:rPr>
      </w:pPr>
      <w:r>
        <w:rPr>
          <w:rFonts w:ascii="Arial"/>
          <w:sz w:val="2"/>
        </w:rPr>
      </w:r>
    </w:p>
    <w:tbl>
      <w:tblPr>
        <w:tblStyle w:val="TableNormal"/>
        <w:tblW w:w="9653" w:type="dxa"/>
        <w:tblInd w:w="339"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134"/>
        <w:gridCol w:w="1614"/>
        <w:gridCol w:w="1290"/>
        <w:gridCol w:w="2891"/>
        <w:gridCol w:w="2724"/>
      </w:tblGrid>
      <w:tr>
        <w:trPr>
          <w:trHeight w:val="386" w:hRule="atLeast"/>
        </w:trPr>
        <w:tc>
          <w:tcPr>
            <w:shd w:val="clear" w:fill="00C0AE"/>
            <w:tcW w:w="1134" w:type="dxa"/>
            <w:vAlign w:val="top"/>
            <w:tcBorders>
              <w:right w:val="single" w:color="FFFFFF" w:sz="8" w:space="0"/>
            </w:tcBorders>
          </w:tcPr>
          <w:p>
            <w:pPr>
              <w:pStyle w:val="TableText"/>
              <w:ind w:left="208"/>
              <w:spacing w:before="96" w:line="181" w:lineRule="auto"/>
              <w:rPr>
                <w:sz w:val="18"/>
                <w:szCs w:val="18"/>
              </w:rPr>
            </w:pPr>
            <w:r>
              <w:rPr>
                <w:sz w:val="18"/>
                <w:szCs w:val="18"/>
                <w:b/>
                <w:bCs/>
                <w:color w:val="FFFFFF"/>
              </w:rPr>
              <w:t>系统名称</w:t>
            </w:r>
          </w:p>
        </w:tc>
        <w:tc>
          <w:tcPr>
            <w:shd w:val="clear" w:fill="00C0AE"/>
            <w:tcW w:w="1614" w:type="dxa"/>
            <w:vAlign w:val="top"/>
            <w:tcBorders>
              <w:left w:val="single" w:color="FFFFFF" w:sz="8" w:space="0"/>
              <w:right w:val="single" w:color="FFFFFF" w:sz="8" w:space="0"/>
            </w:tcBorders>
          </w:tcPr>
          <w:p>
            <w:pPr>
              <w:pStyle w:val="TableText"/>
              <w:ind w:left="481"/>
              <w:spacing w:before="96" w:line="182" w:lineRule="auto"/>
              <w:rPr>
                <w:sz w:val="18"/>
                <w:szCs w:val="18"/>
              </w:rPr>
            </w:pPr>
            <w:r>
              <w:rPr>
                <w:sz w:val="18"/>
                <w:szCs w:val="18"/>
                <w:b/>
                <w:bCs/>
                <w:color w:val="FFFFFF"/>
              </w:rPr>
              <w:t>系统构成</w:t>
            </w:r>
          </w:p>
        </w:tc>
        <w:tc>
          <w:tcPr>
            <w:shd w:val="clear" w:fill="00C0AE"/>
            <w:tcW w:w="1290" w:type="dxa"/>
            <w:vAlign w:val="top"/>
            <w:tcBorders>
              <w:left w:val="single" w:color="FFFFFF" w:sz="8" w:space="0"/>
              <w:right w:val="single" w:color="FFFFFF" w:sz="8" w:space="0"/>
            </w:tcBorders>
          </w:tcPr>
          <w:p>
            <w:pPr>
              <w:pStyle w:val="TableText"/>
              <w:ind w:left="272"/>
              <w:spacing w:before="95" w:line="181" w:lineRule="auto"/>
              <w:rPr>
                <w:sz w:val="18"/>
                <w:szCs w:val="18"/>
              </w:rPr>
            </w:pPr>
            <w:r>
              <w:rPr>
                <w:sz w:val="18"/>
                <w:szCs w:val="18"/>
                <w:b/>
                <w:bCs/>
                <w:color w:val="FFFFFF"/>
                <w:spacing w:val="1"/>
              </w:rPr>
              <w:t>适用家庭</w:t>
            </w:r>
          </w:p>
        </w:tc>
        <w:tc>
          <w:tcPr>
            <w:shd w:val="clear" w:fill="00C0AE"/>
            <w:tcW w:w="2891" w:type="dxa"/>
            <w:vAlign w:val="top"/>
            <w:tcBorders>
              <w:left w:val="single" w:color="FFFFFF" w:sz="8" w:space="0"/>
              <w:right w:val="single" w:color="FFFFFF" w:sz="8" w:space="0"/>
            </w:tcBorders>
          </w:tcPr>
          <w:p>
            <w:pPr>
              <w:pStyle w:val="TableText"/>
              <w:ind w:left="1078"/>
              <w:spacing w:before="97" w:line="179" w:lineRule="auto"/>
              <w:rPr>
                <w:sz w:val="18"/>
                <w:szCs w:val="18"/>
              </w:rPr>
            </w:pPr>
            <w:r>
              <w:rPr>
                <w:sz w:val="18"/>
                <w:szCs w:val="18"/>
                <w:b/>
                <w:bCs/>
                <w:color w:val="FFFFFF"/>
              </w:rPr>
              <w:t>工作原理</w:t>
            </w:r>
          </w:p>
        </w:tc>
        <w:tc>
          <w:tcPr>
            <w:shd w:val="clear" w:fill="00C0AE"/>
            <w:tcW w:w="2724" w:type="dxa"/>
            <w:vAlign w:val="top"/>
            <w:tcBorders>
              <w:left w:val="single" w:color="FFFFFF" w:sz="8" w:space="0"/>
            </w:tcBorders>
          </w:tcPr>
          <w:p>
            <w:pPr>
              <w:pStyle w:val="TableText"/>
              <w:ind w:left="995"/>
              <w:spacing w:before="95" w:line="181" w:lineRule="auto"/>
              <w:rPr>
                <w:sz w:val="18"/>
                <w:szCs w:val="18"/>
              </w:rPr>
            </w:pPr>
            <w:r>
              <w:rPr>
                <w:sz w:val="18"/>
                <w:szCs w:val="18"/>
                <w:b/>
                <w:bCs/>
                <w:color w:val="FFFFFF"/>
              </w:rPr>
              <w:t>系统特点</w:t>
            </w:r>
          </w:p>
        </w:tc>
      </w:tr>
      <w:tr>
        <w:trPr>
          <w:trHeight w:val="2389" w:hRule="atLeast"/>
        </w:trPr>
        <w:tc>
          <w:tcPr>
            <w:tcW w:w="1134" w:type="dxa"/>
            <w:vAlign w:val="top"/>
            <w:tcBorders>
              <w:right w:val="single" w:color="BFBFBF" w:sz="2" w:space="0"/>
            </w:tcBorders>
          </w:tcPr>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pStyle w:val="TableText"/>
              <w:ind w:left="67" w:right="61" w:hanging="2"/>
              <w:spacing w:before="77" w:line="171" w:lineRule="auto"/>
              <w:rPr>
                <w:sz w:val="18"/>
                <w:szCs w:val="18"/>
              </w:rPr>
            </w:pPr>
            <w:r>
              <w:rPr>
                <w:sz w:val="18"/>
                <w:szCs w:val="18"/>
                <w:color w:val="00C0AE"/>
              </w:rPr>
              <w:t>直流耦合型   </w:t>
            </w:r>
            <w:r>
              <w:rPr>
                <w:sz w:val="18"/>
                <w:szCs w:val="18"/>
                <w:color w:val="00C0AE"/>
                <w:spacing w:val="-6"/>
              </w:rPr>
              <w:t>家庭光伏+储</w:t>
            </w:r>
            <w:r>
              <w:rPr>
                <w:sz w:val="18"/>
                <w:szCs w:val="18"/>
                <w:color w:val="00C0AE"/>
                <w:spacing w:val="3"/>
              </w:rPr>
              <w:t xml:space="preserve"> </w:t>
            </w:r>
            <w:r>
              <w:rPr>
                <w:sz w:val="18"/>
                <w:szCs w:val="18"/>
                <w:color w:val="00C0AE"/>
                <w:spacing w:val="-1"/>
              </w:rPr>
              <w:t>能系统</w:t>
            </w:r>
          </w:p>
        </w:tc>
        <w:tc>
          <w:tcPr>
            <w:tcW w:w="1614" w:type="dxa"/>
            <w:vAlign w:val="top"/>
            <w:tcBorders>
              <w:left w:val="single" w:color="BFBFBF" w:sz="2" w:space="0"/>
              <w:right w:val="single" w:color="BFBFBF" w:sz="2" w:space="0"/>
            </w:tcBorders>
          </w:tcPr>
          <w:p>
            <w:pPr>
              <w:spacing w:line="295" w:lineRule="auto"/>
              <w:rPr>
                <w:rFonts w:ascii="Arial"/>
                <w:sz w:val="21"/>
              </w:rPr>
            </w:pPr>
            <w:r/>
          </w:p>
          <w:p>
            <w:pPr>
              <w:spacing w:line="296" w:lineRule="auto"/>
              <w:rPr>
                <w:rFonts w:ascii="Arial"/>
                <w:sz w:val="21"/>
              </w:rPr>
            </w:pPr>
            <w:r/>
          </w:p>
          <w:p>
            <w:pPr>
              <w:pStyle w:val="TableText"/>
              <w:ind w:left="60" w:right="95"/>
              <w:spacing w:before="78" w:line="170" w:lineRule="auto"/>
              <w:jc w:val="both"/>
              <w:rPr>
                <w:sz w:val="18"/>
                <w:szCs w:val="18"/>
              </w:rPr>
            </w:pPr>
            <w:r>
              <w:rPr>
                <w:sz w:val="18"/>
                <w:szCs w:val="18"/>
                <w:spacing w:val="1"/>
              </w:rPr>
              <w:t>包含电池系统和混</w:t>
            </w:r>
            <w:r>
              <w:rPr>
                <w:sz w:val="18"/>
                <w:szCs w:val="18"/>
                <w:spacing w:val="3"/>
              </w:rPr>
              <w:t xml:space="preserve"> </w:t>
            </w:r>
            <w:r>
              <w:rPr>
                <w:sz w:val="18"/>
                <w:szCs w:val="18"/>
                <w:spacing w:val="1"/>
              </w:rPr>
              <w:t>合逆变器，混合逆</w:t>
            </w:r>
            <w:r>
              <w:rPr>
                <w:sz w:val="18"/>
                <w:szCs w:val="18"/>
                <w:spacing w:val="2"/>
              </w:rPr>
              <w:t xml:space="preserve"> </w:t>
            </w:r>
            <w:r>
              <w:rPr>
                <w:sz w:val="18"/>
                <w:szCs w:val="18"/>
                <w:spacing w:val="1"/>
              </w:rPr>
              <w:t>变器兼具了光伏并</w:t>
            </w:r>
            <w:r>
              <w:rPr>
                <w:sz w:val="18"/>
                <w:szCs w:val="18"/>
                <w:spacing w:val="2"/>
              </w:rPr>
              <w:t xml:space="preserve"> </w:t>
            </w:r>
            <w:r>
              <w:rPr>
                <w:sz w:val="18"/>
                <w:szCs w:val="18"/>
                <w:spacing w:val="1"/>
              </w:rPr>
              <w:t>网逆变器和储能变</w:t>
            </w:r>
            <w:r>
              <w:rPr>
                <w:sz w:val="18"/>
                <w:szCs w:val="18"/>
                <w:spacing w:val="2"/>
              </w:rPr>
              <w:t xml:space="preserve"> </w:t>
            </w:r>
            <w:r>
              <w:rPr>
                <w:sz w:val="18"/>
                <w:szCs w:val="18"/>
              </w:rPr>
              <w:t>流器的功能</w:t>
            </w:r>
          </w:p>
        </w:tc>
        <w:tc>
          <w:tcPr>
            <w:tcW w:w="1290" w:type="dxa"/>
            <w:vAlign w:val="top"/>
            <w:tcBorders>
              <w:left w:val="single" w:color="BFBFBF" w:sz="2" w:space="0"/>
              <w:right w:val="single" w:color="BFBFBF" w:sz="2" w:space="0"/>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60" w:right="136" w:firstLine="2"/>
              <w:spacing w:before="78" w:line="171" w:lineRule="auto"/>
              <w:jc w:val="both"/>
              <w:rPr>
                <w:sz w:val="18"/>
                <w:szCs w:val="18"/>
              </w:rPr>
            </w:pPr>
            <w:r>
              <w:rPr>
                <w:sz w:val="18"/>
                <w:szCs w:val="18"/>
                <w:spacing w:val="1"/>
              </w:rPr>
              <w:t>增量市场，家</w:t>
            </w:r>
            <w:r>
              <w:rPr>
                <w:sz w:val="18"/>
                <w:szCs w:val="18"/>
              </w:rPr>
              <w:t xml:space="preserve"> </w:t>
            </w:r>
            <w:r>
              <w:rPr>
                <w:sz w:val="18"/>
                <w:szCs w:val="18"/>
                <w:spacing w:val="1"/>
              </w:rPr>
              <w:t>庭需新安装光 </w:t>
            </w:r>
            <w:r>
              <w:rPr>
                <w:sz w:val="18"/>
                <w:szCs w:val="18"/>
                <w:spacing w:val="-5"/>
              </w:rPr>
              <w:t>伏+储能系统</w:t>
            </w:r>
          </w:p>
        </w:tc>
        <w:tc>
          <w:tcPr>
            <w:tcW w:w="2891" w:type="dxa"/>
            <w:vAlign w:val="top"/>
            <w:tcBorders>
              <w:left w:val="single" w:color="BFBFBF" w:sz="2" w:space="0"/>
              <w:right w:val="single" w:color="BFBFBF" w:sz="2" w:space="0"/>
            </w:tcBorders>
          </w:tcPr>
          <w:p>
            <w:pPr>
              <w:pStyle w:val="TableText"/>
              <w:ind w:left="61" w:right="115" w:firstLine="19"/>
              <w:spacing w:before="133" w:line="168" w:lineRule="auto"/>
              <w:jc w:val="both"/>
              <w:rPr>
                <w:sz w:val="18"/>
                <w:szCs w:val="18"/>
              </w:rPr>
            </w:pPr>
            <w:r>
              <w:rPr>
                <w:sz w:val="18"/>
                <w:szCs w:val="18"/>
                <w:spacing w:val="-1"/>
              </w:rPr>
              <w:t>白天光伏发电首先供给负载，其次</w:t>
            </w:r>
            <w:r>
              <w:rPr>
                <w:sz w:val="18"/>
                <w:szCs w:val="18"/>
                <w:spacing w:val="3"/>
              </w:rPr>
              <w:t xml:space="preserve"> </w:t>
            </w:r>
            <w:r>
              <w:rPr>
                <w:sz w:val="18"/>
                <w:szCs w:val="18"/>
              </w:rPr>
              <w:t>给电池充电，最后多余的电量可以</w:t>
            </w:r>
            <w:r>
              <w:rPr>
                <w:sz w:val="18"/>
                <w:szCs w:val="18"/>
                <w:spacing w:val="8"/>
              </w:rPr>
              <w:t xml:space="preserve"> </w:t>
            </w:r>
            <w:r>
              <w:rPr>
                <w:sz w:val="18"/>
                <w:szCs w:val="18"/>
                <w:spacing w:val="-7"/>
              </w:rPr>
              <w:t>并网；</w:t>
            </w:r>
          </w:p>
          <w:p>
            <w:pPr>
              <w:pStyle w:val="TableText"/>
              <w:ind w:left="74" w:right="115" w:hanging="6"/>
              <w:spacing w:before="1" w:line="167" w:lineRule="auto"/>
              <w:rPr>
                <w:sz w:val="18"/>
                <w:szCs w:val="18"/>
              </w:rPr>
            </w:pPr>
            <w:r>
              <w:rPr>
                <w:sz w:val="18"/>
                <w:szCs w:val="18"/>
              </w:rPr>
              <w:t>晚上电池放电供给负载，不足部分</w:t>
            </w:r>
            <w:r>
              <w:rPr>
                <w:sz w:val="18"/>
                <w:szCs w:val="18"/>
                <w:spacing w:val="1"/>
              </w:rPr>
              <w:t xml:space="preserve"> </w:t>
            </w:r>
            <w:r>
              <w:rPr>
                <w:sz w:val="18"/>
                <w:szCs w:val="18"/>
                <w:spacing w:val="-6"/>
              </w:rPr>
              <w:t>由电网补充；</w:t>
            </w:r>
          </w:p>
          <w:p>
            <w:pPr>
              <w:pStyle w:val="TableText"/>
              <w:ind w:left="58" w:right="115" w:firstLine="19"/>
              <w:spacing w:before="4" w:line="169" w:lineRule="auto"/>
              <w:jc w:val="both"/>
              <w:rPr>
                <w:sz w:val="18"/>
                <w:szCs w:val="18"/>
              </w:rPr>
            </w:pPr>
            <w:r>
              <w:rPr>
                <w:sz w:val="18"/>
                <w:szCs w:val="18"/>
                <w:spacing w:val="-1"/>
              </w:rPr>
              <w:t>电网停电时，光伏发电和锂电池仅</w:t>
            </w:r>
            <w:r>
              <w:rPr>
                <w:sz w:val="18"/>
                <w:szCs w:val="18"/>
                <w:spacing w:val="7"/>
              </w:rPr>
              <w:t xml:space="preserve"> </w:t>
            </w:r>
            <w:r>
              <w:rPr>
                <w:sz w:val="18"/>
                <w:szCs w:val="18"/>
                <w:spacing w:val="-1"/>
              </w:rPr>
              <w:t>供电给离网负载，</w:t>
            </w:r>
            <w:r>
              <w:rPr>
                <w:sz w:val="18"/>
                <w:szCs w:val="18"/>
                <w:spacing w:val="-27"/>
              </w:rPr>
              <w:t xml:space="preserve"> </w:t>
            </w:r>
            <w:r>
              <w:rPr>
                <w:sz w:val="18"/>
                <w:szCs w:val="18"/>
                <w:spacing w:val="-1"/>
              </w:rPr>
              <w:t>并网端负载无法</w:t>
            </w:r>
            <w:r>
              <w:rPr>
                <w:sz w:val="18"/>
                <w:szCs w:val="18"/>
              </w:rPr>
              <w:t xml:space="preserve"> </w:t>
            </w:r>
            <w:r>
              <w:rPr>
                <w:sz w:val="18"/>
                <w:szCs w:val="18"/>
              </w:rPr>
              <w:t>使用。另外，该系统也支持用户自</w:t>
            </w:r>
            <w:r>
              <w:rPr>
                <w:sz w:val="18"/>
                <w:szCs w:val="18"/>
                <w:spacing w:val="11"/>
              </w:rPr>
              <w:t xml:space="preserve"> </w:t>
            </w:r>
            <w:r>
              <w:rPr>
                <w:sz w:val="18"/>
                <w:szCs w:val="18"/>
              </w:rPr>
              <w:t>行设置充电及放电时间来满足用户</w:t>
            </w:r>
            <w:r>
              <w:rPr>
                <w:sz w:val="18"/>
                <w:szCs w:val="18"/>
                <w:spacing w:val="11"/>
              </w:rPr>
              <w:t xml:space="preserve"> </w:t>
            </w:r>
            <w:r>
              <w:rPr>
                <w:sz w:val="18"/>
                <w:szCs w:val="18"/>
                <w:spacing w:val="-4"/>
              </w:rPr>
              <w:t>用电需求。</w:t>
            </w:r>
          </w:p>
        </w:tc>
        <w:tc>
          <w:tcPr>
            <w:tcW w:w="2724" w:type="dxa"/>
            <w:vAlign w:val="top"/>
            <w:tcBorders>
              <w:left w:val="single" w:color="BFBFBF" w:sz="2" w:space="0"/>
            </w:tcBorders>
          </w:tcPr>
          <w:p>
            <w:pPr>
              <w:spacing w:line="349" w:lineRule="auto"/>
              <w:rPr>
                <w:rFonts w:ascii="Arial"/>
                <w:sz w:val="21"/>
              </w:rPr>
            </w:pPr>
            <w:r/>
          </w:p>
          <w:p>
            <w:pPr>
              <w:spacing w:line="350" w:lineRule="auto"/>
              <w:rPr>
                <w:rFonts w:ascii="Arial"/>
                <w:sz w:val="21"/>
              </w:rPr>
            </w:pPr>
            <w:r/>
          </w:p>
          <w:p>
            <w:pPr>
              <w:pStyle w:val="TableText"/>
              <w:ind w:left="61" w:right="127" w:firstLine="6"/>
              <w:spacing w:before="77" w:line="168" w:lineRule="auto"/>
              <w:rPr>
                <w:sz w:val="18"/>
                <w:szCs w:val="18"/>
              </w:rPr>
            </w:pPr>
            <w:r>
              <w:rPr>
                <w:sz w:val="18"/>
                <w:szCs w:val="18"/>
              </w:rPr>
              <w:t>系统高度集成，可以大幅减少系</w:t>
            </w:r>
            <w:r>
              <w:rPr>
                <w:sz w:val="18"/>
                <w:szCs w:val="18"/>
                <w:spacing w:val="4"/>
              </w:rPr>
              <w:t xml:space="preserve"> </w:t>
            </w:r>
            <w:r>
              <w:rPr>
                <w:sz w:val="18"/>
                <w:szCs w:val="18"/>
                <w:spacing w:val="1"/>
              </w:rPr>
              <w:t>统安装时间及成本。</w:t>
            </w:r>
          </w:p>
          <w:p>
            <w:pPr>
              <w:pStyle w:val="TableText"/>
              <w:ind w:left="77" w:right="127" w:hanging="12"/>
              <w:spacing w:line="173" w:lineRule="auto"/>
              <w:rPr>
                <w:sz w:val="18"/>
                <w:szCs w:val="18"/>
              </w:rPr>
            </w:pPr>
            <w:r>
              <w:rPr>
                <w:sz w:val="18"/>
                <w:szCs w:val="18"/>
              </w:rPr>
              <w:t>可实现智能控制，满足用户的用</w:t>
            </w:r>
            <w:r>
              <w:rPr>
                <w:sz w:val="18"/>
                <w:szCs w:val="18"/>
                <w:spacing w:val="7"/>
              </w:rPr>
              <w:t xml:space="preserve"> </w:t>
            </w:r>
            <w:r>
              <w:rPr>
                <w:sz w:val="18"/>
                <w:szCs w:val="18"/>
                <w:spacing w:val="-9"/>
              </w:rPr>
              <w:t>电需求。</w:t>
            </w:r>
          </w:p>
        </w:tc>
      </w:tr>
      <w:tr>
        <w:trPr>
          <w:trHeight w:val="1975" w:hRule="atLeast"/>
        </w:trPr>
        <w:tc>
          <w:tcPr>
            <w:shd w:val="clear" w:fill="F1F1F1"/>
            <w:tcW w:w="1134" w:type="dxa"/>
            <w:vAlign w:val="top"/>
            <w:tcBorders>
              <w:right w:val="single" w:color="BFBFBF" w:sz="2" w:space="0"/>
            </w:tcBorders>
          </w:tcPr>
          <w:p>
            <w:pPr>
              <w:spacing w:line="305" w:lineRule="auto"/>
              <w:rPr>
                <w:rFonts w:ascii="Arial"/>
                <w:sz w:val="21"/>
              </w:rPr>
            </w:pPr>
            <w:r/>
          </w:p>
          <w:p>
            <w:pPr>
              <w:spacing w:line="306" w:lineRule="auto"/>
              <w:rPr>
                <w:rFonts w:ascii="Arial"/>
                <w:sz w:val="21"/>
              </w:rPr>
            </w:pPr>
            <w:r/>
          </w:p>
          <w:p>
            <w:pPr>
              <w:pStyle w:val="TableText"/>
              <w:ind w:left="67" w:right="61" w:hanging="2"/>
              <w:spacing w:before="78" w:line="171" w:lineRule="auto"/>
              <w:rPr>
                <w:sz w:val="18"/>
                <w:szCs w:val="18"/>
              </w:rPr>
            </w:pPr>
            <w:r>
              <w:rPr>
                <w:sz w:val="18"/>
                <w:szCs w:val="18"/>
                <w:color w:val="00C0AE"/>
              </w:rPr>
              <w:t>交流耦合型   </w:t>
            </w:r>
            <w:r>
              <w:rPr>
                <w:sz w:val="18"/>
                <w:szCs w:val="18"/>
                <w:color w:val="00C0AE"/>
                <w:spacing w:val="-6"/>
              </w:rPr>
              <w:t>家庭光伏+储</w:t>
            </w:r>
            <w:r>
              <w:rPr>
                <w:sz w:val="18"/>
                <w:szCs w:val="18"/>
                <w:color w:val="00C0AE"/>
                <w:spacing w:val="3"/>
              </w:rPr>
              <w:t xml:space="preserve"> </w:t>
            </w:r>
            <w:r>
              <w:rPr>
                <w:sz w:val="18"/>
                <w:szCs w:val="18"/>
                <w:color w:val="00C0AE"/>
                <w:spacing w:val="-1"/>
              </w:rPr>
              <w:t>能系统</w:t>
            </w:r>
          </w:p>
        </w:tc>
        <w:tc>
          <w:tcPr>
            <w:shd w:val="clear" w:fill="F1F1F1"/>
            <w:tcW w:w="1614" w:type="dxa"/>
            <w:vAlign w:val="top"/>
            <w:tcBorders>
              <w:left w:val="single" w:color="BFBFBF" w:sz="2" w:space="0"/>
              <w:right w:val="single" w:color="BFBFBF" w:sz="2" w:space="0"/>
            </w:tcBorders>
          </w:tcPr>
          <w:p>
            <w:pPr>
              <w:pStyle w:val="TableText"/>
              <w:ind w:left="59" w:firstLine="4"/>
              <w:spacing w:before="260" w:line="168" w:lineRule="auto"/>
              <w:rPr>
                <w:sz w:val="18"/>
                <w:szCs w:val="18"/>
              </w:rPr>
            </w:pPr>
            <w:r>
              <w:rPr>
                <w:sz w:val="18"/>
                <w:szCs w:val="18"/>
                <w:spacing w:val="-4"/>
              </w:rPr>
              <w:t>只需加装蓄电池和</w:t>
            </w:r>
            <w:r>
              <w:rPr>
                <w:sz w:val="18"/>
                <w:szCs w:val="18"/>
                <w:spacing w:val="1"/>
              </w:rPr>
              <w:t xml:space="preserve">   </w:t>
            </w:r>
            <w:r>
              <w:rPr>
                <w:sz w:val="18"/>
                <w:szCs w:val="18"/>
                <w:spacing w:val="-3"/>
              </w:rPr>
              <w:t>储能变流器，不影</w:t>
            </w:r>
            <w:r>
              <w:rPr>
                <w:sz w:val="18"/>
                <w:szCs w:val="18"/>
              </w:rPr>
              <w:t xml:space="preserve">   </w:t>
            </w:r>
            <w:r>
              <w:rPr>
                <w:sz w:val="18"/>
                <w:szCs w:val="18"/>
                <w:spacing w:val="-8"/>
              </w:rPr>
              <w:t>响原来的光伏系统，</w:t>
            </w:r>
            <w:r>
              <w:rPr>
                <w:sz w:val="18"/>
                <w:szCs w:val="18"/>
              </w:rPr>
              <w:t xml:space="preserve"> </w:t>
            </w:r>
            <w:r>
              <w:rPr>
                <w:sz w:val="18"/>
                <w:szCs w:val="18"/>
                <w:spacing w:val="-3"/>
              </w:rPr>
              <w:t>而且储能系统的设</w:t>
            </w:r>
            <w:r>
              <w:rPr>
                <w:sz w:val="18"/>
                <w:szCs w:val="18"/>
              </w:rPr>
              <w:t xml:space="preserve">   </w:t>
            </w:r>
            <w:r>
              <w:rPr>
                <w:sz w:val="18"/>
                <w:szCs w:val="18"/>
                <w:spacing w:val="-3"/>
              </w:rPr>
              <w:t>计原则上和光伏系</w:t>
            </w:r>
            <w:r>
              <w:rPr>
                <w:sz w:val="18"/>
                <w:szCs w:val="18"/>
              </w:rPr>
              <w:t xml:space="preserve">   </w:t>
            </w:r>
            <w:r>
              <w:rPr>
                <w:sz w:val="18"/>
                <w:szCs w:val="18"/>
                <w:spacing w:val="-6"/>
              </w:rPr>
              <w:t>统没有直接关系，</w:t>
            </w:r>
          </w:p>
          <w:p>
            <w:pPr>
              <w:pStyle w:val="TableText"/>
              <w:spacing w:line="178" w:lineRule="auto"/>
              <w:jc w:val="right"/>
              <w:rPr>
                <w:sz w:val="18"/>
                <w:szCs w:val="18"/>
              </w:rPr>
            </w:pPr>
            <w:r>
              <w:rPr>
                <w:sz w:val="18"/>
                <w:szCs w:val="18"/>
                <w:spacing w:val="-6"/>
                <w:w w:val="98"/>
              </w:rPr>
              <w:t>可以根据需求来定。</w:t>
            </w:r>
          </w:p>
        </w:tc>
        <w:tc>
          <w:tcPr>
            <w:shd w:val="clear" w:fill="F1F1F1"/>
            <w:tcW w:w="1290" w:type="dxa"/>
            <w:vAlign w:val="top"/>
            <w:tcBorders>
              <w:left w:val="single" w:color="BFBFBF" w:sz="2" w:space="0"/>
              <w:right w:val="single" w:color="BFBFBF" w:sz="2" w:space="0"/>
            </w:tcBorders>
          </w:tcPr>
          <w:p>
            <w:pPr>
              <w:spacing w:line="306" w:lineRule="auto"/>
              <w:rPr>
                <w:rFonts w:ascii="Arial"/>
                <w:sz w:val="21"/>
              </w:rPr>
            </w:pPr>
            <w:r/>
          </w:p>
          <w:p>
            <w:pPr>
              <w:spacing w:line="306" w:lineRule="auto"/>
              <w:rPr>
                <w:rFonts w:ascii="Arial"/>
                <w:sz w:val="21"/>
              </w:rPr>
            </w:pPr>
            <w:r/>
          </w:p>
          <w:p>
            <w:pPr>
              <w:pStyle w:val="TableText"/>
              <w:ind w:left="61" w:right="136" w:hanging="1"/>
              <w:spacing w:before="77" w:line="171" w:lineRule="auto"/>
              <w:jc w:val="both"/>
              <w:rPr>
                <w:sz w:val="18"/>
                <w:szCs w:val="18"/>
              </w:rPr>
            </w:pPr>
            <w:r>
              <w:rPr>
                <w:sz w:val="18"/>
                <w:szCs w:val="18"/>
                <w:spacing w:val="1"/>
              </w:rPr>
              <w:t>存量市场，家 </w:t>
            </w:r>
            <w:r>
              <w:rPr>
                <w:sz w:val="18"/>
                <w:szCs w:val="18"/>
                <w:spacing w:val="1"/>
              </w:rPr>
              <w:t>庭已安装光伏</w:t>
            </w:r>
            <w:r>
              <w:rPr>
                <w:sz w:val="18"/>
                <w:szCs w:val="18"/>
              </w:rPr>
              <w:t xml:space="preserve"> </w:t>
            </w:r>
            <w:r>
              <w:rPr>
                <w:sz w:val="18"/>
                <w:szCs w:val="18"/>
                <w:spacing w:val="-1"/>
              </w:rPr>
              <w:t>系统</w:t>
            </w:r>
          </w:p>
        </w:tc>
        <w:tc>
          <w:tcPr>
            <w:shd w:val="clear" w:fill="F1F1F1"/>
            <w:tcW w:w="2891" w:type="dxa"/>
            <w:vAlign w:val="top"/>
            <w:tcBorders>
              <w:left w:val="single" w:color="BFBFBF" w:sz="2" w:space="0"/>
              <w:right w:val="single" w:color="BFBFBF" w:sz="2" w:space="0"/>
            </w:tcBorders>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pStyle w:val="TableText"/>
              <w:ind w:left="65"/>
              <w:spacing w:before="77" w:line="177" w:lineRule="auto"/>
              <w:rPr>
                <w:sz w:val="18"/>
                <w:szCs w:val="18"/>
              </w:rPr>
            </w:pPr>
            <w:r>
              <w:rPr>
                <w:sz w:val="18"/>
                <w:szCs w:val="18"/>
                <w:spacing w:val="1"/>
              </w:rPr>
              <w:t>与直流耦合型相同</w:t>
            </w:r>
          </w:p>
        </w:tc>
        <w:tc>
          <w:tcPr>
            <w:shd w:val="clear" w:fill="F1F1F1"/>
            <w:tcW w:w="2724" w:type="dxa"/>
            <w:vAlign w:val="top"/>
            <w:tcBorders>
              <w:left w:val="single" w:color="BFBFBF" w:sz="2" w:space="0"/>
            </w:tcBorders>
          </w:tcPr>
          <w:p>
            <w:pPr>
              <w:pStyle w:val="TableText"/>
              <w:ind w:left="59" w:right="127" w:firstLine="5"/>
              <w:spacing w:before="155" w:line="167" w:lineRule="auto"/>
              <w:rPr>
                <w:sz w:val="18"/>
                <w:szCs w:val="18"/>
              </w:rPr>
            </w:pPr>
            <w:r>
              <w:rPr>
                <w:sz w:val="18"/>
                <w:szCs w:val="18"/>
              </w:rPr>
              <w:t>可将已有的并网光伏系统改造为</w:t>
            </w:r>
            <w:r>
              <w:rPr>
                <w:sz w:val="18"/>
                <w:szCs w:val="18"/>
                <w:spacing w:val="7"/>
              </w:rPr>
              <w:t xml:space="preserve"> </w:t>
            </w:r>
            <w:r>
              <w:rPr>
                <w:sz w:val="18"/>
                <w:szCs w:val="18"/>
                <w:spacing w:val="1"/>
              </w:rPr>
              <w:t>储能系统，投入成本低。</w:t>
            </w:r>
          </w:p>
          <w:p>
            <w:pPr>
              <w:pStyle w:val="TableText"/>
              <w:ind w:left="61" w:right="127" w:firstLine="2"/>
              <w:spacing w:before="4" w:line="169" w:lineRule="auto"/>
              <w:jc w:val="both"/>
              <w:rPr>
                <w:sz w:val="18"/>
                <w:szCs w:val="18"/>
              </w:rPr>
            </w:pPr>
            <w:r>
              <w:rPr>
                <w:sz w:val="18"/>
                <w:szCs w:val="18"/>
              </w:rPr>
              <w:t>交流耦合方式下，能量汇集于交</w:t>
            </w:r>
            <w:r>
              <w:rPr>
                <w:sz w:val="18"/>
                <w:szCs w:val="18"/>
                <w:spacing w:val="9"/>
              </w:rPr>
              <w:t xml:space="preserve"> </w:t>
            </w:r>
            <w:r>
              <w:rPr>
                <w:sz w:val="18"/>
                <w:szCs w:val="18"/>
              </w:rPr>
              <w:t>流端，既可以直接提供给负载使</w:t>
            </w:r>
            <w:r>
              <w:rPr>
                <w:sz w:val="18"/>
                <w:szCs w:val="18"/>
                <w:spacing w:val="11"/>
              </w:rPr>
              <w:t xml:space="preserve"> </w:t>
            </w:r>
            <w:r>
              <w:rPr>
                <w:sz w:val="18"/>
                <w:szCs w:val="18"/>
              </w:rPr>
              <w:t>用或者送入电网，也可以通过双</w:t>
            </w:r>
            <w:r>
              <w:rPr>
                <w:sz w:val="18"/>
                <w:szCs w:val="18"/>
                <w:spacing w:val="11"/>
              </w:rPr>
              <w:t xml:space="preserve"> </w:t>
            </w:r>
            <w:r>
              <w:rPr>
                <w:sz w:val="18"/>
                <w:szCs w:val="18"/>
              </w:rPr>
              <w:t>向变流器直接向蓄电池充电，可</w:t>
            </w:r>
            <w:r>
              <w:rPr>
                <w:sz w:val="18"/>
                <w:szCs w:val="18"/>
                <w:spacing w:val="1"/>
              </w:rPr>
              <w:t xml:space="preserve"> </w:t>
            </w:r>
            <w:r>
              <w:rPr>
                <w:sz w:val="18"/>
                <w:szCs w:val="18"/>
                <w:spacing w:val="-2"/>
              </w:rPr>
              <w:t>以选用低压 PV</w:t>
            </w:r>
            <w:r>
              <w:rPr>
                <w:sz w:val="18"/>
                <w:szCs w:val="18"/>
                <w:spacing w:val="-4"/>
              </w:rPr>
              <w:t xml:space="preserve"> </w:t>
            </w:r>
            <w:r>
              <w:rPr>
                <w:sz w:val="18"/>
                <w:szCs w:val="18"/>
                <w:spacing w:val="-2"/>
              </w:rPr>
              <w:t>和低压电池，消</w:t>
            </w:r>
            <w:r>
              <w:rPr>
                <w:sz w:val="18"/>
                <w:szCs w:val="18"/>
              </w:rPr>
              <w:t xml:space="preserve">  </w:t>
            </w:r>
            <w:r>
              <w:rPr>
                <w:sz w:val="18"/>
                <w:szCs w:val="18"/>
                <w:spacing w:val="-1"/>
              </w:rPr>
              <w:t>除储能系统中的直流高压风险。</w:t>
            </w:r>
          </w:p>
        </w:tc>
      </w:tr>
      <w:tr>
        <w:trPr>
          <w:trHeight w:val="1708" w:hRule="atLeast"/>
        </w:trPr>
        <w:tc>
          <w:tcPr>
            <w:tcW w:w="1134" w:type="dxa"/>
            <w:vAlign w:val="top"/>
            <w:tcBorders>
              <w:right w:val="single" w:color="BFBFBF" w:sz="2" w:space="0"/>
              <w:bottom w:val="single" w:color="00C0AE" w:sz="12" w:space="0"/>
            </w:tcBorders>
          </w:tcPr>
          <w:p>
            <w:pPr>
              <w:rPr>
                <w:rFonts w:ascii="Arial"/>
                <w:sz w:val="21"/>
              </w:rPr>
            </w:pPr>
            <w:r/>
          </w:p>
          <w:p>
            <w:pPr>
              <w:rPr>
                <w:rFonts w:ascii="Arial"/>
                <w:sz w:val="21"/>
              </w:rPr>
            </w:pPr>
            <w:r/>
          </w:p>
          <w:p>
            <w:pPr>
              <w:pStyle w:val="TableText"/>
              <w:ind w:left="63" w:right="61" w:firstLine="5"/>
              <w:spacing w:before="77" w:line="171" w:lineRule="auto"/>
              <w:rPr>
                <w:sz w:val="18"/>
                <w:szCs w:val="18"/>
              </w:rPr>
            </w:pPr>
            <w:r>
              <w:rPr>
                <w:sz w:val="18"/>
                <w:szCs w:val="18"/>
                <w:color w:val="00C0AE"/>
                <w:spacing w:val="-1"/>
              </w:rPr>
              <w:t>离网型家庭</w:t>
            </w:r>
            <w:r>
              <w:rPr>
                <w:sz w:val="18"/>
                <w:szCs w:val="18"/>
                <w:color w:val="00C0AE"/>
                <w:spacing w:val="1"/>
              </w:rPr>
              <w:t xml:space="preserve">   </w:t>
            </w:r>
            <w:r>
              <w:rPr>
                <w:sz w:val="18"/>
                <w:szCs w:val="18"/>
                <w:color w:val="00C0AE"/>
                <w:spacing w:val="-5"/>
              </w:rPr>
              <w:t>光伏+储能系</w:t>
            </w:r>
            <w:r>
              <w:rPr>
                <w:sz w:val="18"/>
                <w:szCs w:val="18"/>
                <w:color w:val="00C0AE"/>
                <w:spacing w:val="1"/>
              </w:rPr>
              <w:t xml:space="preserve"> </w:t>
            </w:r>
            <w:r>
              <w:rPr>
                <w:sz w:val="18"/>
                <w:szCs w:val="18"/>
                <w:color w:val="00C0AE"/>
              </w:rPr>
              <w:t>统</w:t>
            </w:r>
          </w:p>
        </w:tc>
        <w:tc>
          <w:tcPr>
            <w:tcW w:w="1614" w:type="dxa"/>
            <w:vAlign w:val="top"/>
            <w:tcBorders>
              <w:left w:val="single" w:color="BFBFBF" w:sz="2" w:space="0"/>
              <w:right w:val="single" w:color="BFBFBF" w:sz="2" w:space="0"/>
              <w:bottom w:val="single" w:color="00C0AE" w:sz="12" w:space="0"/>
            </w:tcBorders>
          </w:tcPr>
          <w:p>
            <w:pPr>
              <w:spacing w:line="375" w:lineRule="auto"/>
              <w:rPr>
                <w:rFonts w:ascii="Arial"/>
                <w:sz w:val="21"/>
              </w:rPr>
            </w:pPr>
            <w:r/>
          </w:p>
          <w:p>
            <w:pPr>
              <w:pStyle w:val="TableText"/>
              <w:ind w:left="60" w:right="95" w:firstLine="14"/>
              <w:spacing w:before="77" w:line="170" w:lineRule="auto"/>
              <w:jc w:val="both"/>
              <w:rPr>
                <w:sz w:val="18"/>
                <w:szCs w:val="18"/>
              </w:rPr>
            </w:pPr>
            <w:r>
              <w:rPr>
                <w:sz w:val="18"/>
                <w:szCs w:val="18"/>
                <w:spacing w:val="-1"/>
              </w:rPr>
              <w:t>由光伏组件、锂电</w:t>
            </w:r>
            <w:r>
              <w:rPr>
                <w:sz w:val="18"/>
                <w:szCs w:val="18"/>
                <w:spacing w:val="4"/>
              </w:rPr>
              <w:t xml:space="preserve"> </w:t>
            </w:r>
            <w:r>
              <w:rPr>
                <w:sz w:val="18"/>
                <w:szCs w:val="18"/>
                <w:spacing w:val="1"/>
              </w:rPr>
              <w:t>池、离网储能逆变</w:t>
            </w:r>
            <w:r>
              <w:rPr>
                <w:sz w:val="18"/>
                <w:szCs w:val="18"/>
                <w:spacing w:val="3"/>
              </w:rPr>
              <w:t xml:space="preserve"> </w:t>
            </w:r>
            <w:r>
              <w:rPr>
                <w:sz w:val="18"/>
                <w:szCs w:val="18"/>
                <w:spacing w:val="1"/>
              </w:rPr>
              <w:t>器、负载和柴油发</w:t>
            </w:r>
            <w:r>
              <w:rPr>
                <w:sz w:val="18"/>
                <w:szCs w:val="18"/>
                <w:spacing w:val="3"/>
              </w:rPr>
              <w:t xml:space="preserve"> </w:t>
            </w:r>
            <w:r>
              <w:rPr>
                <w:sz w:val="18"/>
                <w:szCs w:val="18"/>
                <w:spacing w:val="-4"/>
              </w:rPr>
              <w:t>电机组成。</w:t>
            </w:r>
          </w:p>
        </w:tc>
        <w:tc>
          <w:tcPr>
            <w:tcW w:w="1290" w:type="dxa"/>
            <w:vAlign w:val="top"/>
            <w:tcBorders>
              <w:left w:val="single" w:color="BFBFBF" w:sz="2" w:space="0"/>
              <w:right w:val="single" w:color="BFBFBF" w:sz="2" w:space="0"/>
              <w:bottom w:val="single" w:color="00C0AE" w:sz="12" w:space="0"/>
            </w:tcBorders>
          </w:tcPr>
          <w:p>
            <w:pPr>
              <w:spacing w:line="264" w:lineRule="auto"/>
              <w:rPr>
                <w:rFonts w:ascii="Arial"/>
                <w:sz w:val="21"/>
              </w:rPr>
            </w:pPr>
            <w:r/>
          </w:p>
          <w:p>
            <w:pPr>
              <w:pStyle w:val="TableText"/>
              <w:ind w:left="60" w:right="136" w:firstLine="1"/>
              <w:spacing w:before="77" w:line="170" w:lineRule="auto"/>
              <w:jc w:val="both"/>
              <w:rPr>
                <w:sz w:val="18"/>
                <w:szCs w:val="18"/>
              </w:rPr>
            </w:pPr>
            <w:r>
              <w:rPr>
                <w:sz w:val="18"/>
                <w:szCs w:val="18"/>
                <w:spacing w:val="1"/>
              </w:rPr>
              <w:t>适用于没有电</w:t>
            </w:r>
            <w:r>
              <w:rPr>
                <w:sz w:val="18"/>
                <w:szCs w:val="18"/>
              </w:rPr>
              <w:t xml:space="preserve"> </w:t>
            </w:r>
            <w:r>
              <w:rPr>
                <w:sz w:val="18"/>
                <w:szCs w:val="18"/>
                <w:spacing w:val="1"/>
              </w:rPr>
              <w:t>网覆盖的地区</w:t>
            </w:r>
            <w:r>
              <w:rPr>
                <w:sz w:val="18"/>
                <w:szCs w:val="18"/>
              </w:rPr>
              <w:t xml:space="preserve"> </w:t>
            </w:r>
            <w:r>
              <w:rPr>
                <w:sz w:val="18"/>
                <w:szCs w:val="18"/>
                <w:spacing w:val="1"/>
              </w:rPr>
              <w:t>或者电网不稳</w:t>
            </w:r>
            <w:r>
              <w:rPr>
                <w:sz w:val="18"/>
                <w:szCs w:val="18"/>
              </w:rPr>
              <w:t xml:space="preserve"> </w:t>
            </w:r>
            <w:r>
              <w:rPr>
                <w:sz w:val="18"/>
                <w:szCs w:val="18"/>
                <w:spacing w:val="1"/>
              </w:rPr>
              <w:t>定需要自发自</w:t>
            </w:r>
            <w:r>
              <w:rPr>
                <w:sz w:val="18"/>
                <w:szCs w:val="18"/>
              </w:rPr>
              <w:t xml:space="preserve"> </w:t>
            </w:r>
            <w:r>
              <w:rPr>
                <w:sz w:val="18"/>
                <w:szCs w:val="18"/>
                <w:spacing w:val="1"/>
              </w:rPr>
              <w:t>用的区域家庭</w:t>
            </w:r>
          </w:p>
        </w:tc>
        <w:tc>
          <w:tcPr>
            <w:tcW w:w="2891" w:type="dxa"/>
            <w:vAlign w:val="top"/>
            <w:tcBorders>
              <w:left w:val="single" w:color="BFBFBF" w:sz="2" w:space="0"/>
              <w:right w:val="single" w:color="BFBFBF" w:sz="2" w:space="0"/>
              <w:bottom w:val="single" w:color="00C0AE" w:sz="12" w:space="0"/>
            </w:tcBorders>
          </w:tcPr>
          <w:p>
            <w:pPr>
              <w:spacing w:line="373" w:lineRule="auto"/>
              <w:rPr>
                <w:rFonts w:ascii="Arial"/>
                <w:sz w:val="21"/>
              </w:rPr>
            </w:pPr>
            <w:r/>
          </w:p>
          <w:p>
            <w:pPr>
              <w:pStyle w:val="TableText"/>
              <w:ind w:left="61" w:right="114" w:firstLine="19"/>
              <w:spacing w:before="77" w:line="168" w:lineRule="auto"/>
              <w:rPr>
                <w:sz w:val="18"/>
                <w:szCs w:val="18"/>
              </w:rPr>
            </w:pPr>
            <w:r>
              <w:rPr>
                <w:sz w:val="18"/>
                <w:szCs w:val="18"/>
                <w:spacing w:val="-1"/>
              </w:rPr>
              <w:t>白天光伏发电首先供给负载，其次</w:t>
            </w:r>
            <w:r>
              <w:rPr>
                <w:sz w:val="18"/>
                <w:szCs w:val="18"/>
                <w:spacing w:val="3"/>
              </w:rPr>
              <w:t xml:space="preserve"> </w:t>
            </w:r>
            <w:r>
              <w:rPr>
                <w:sz w:val="18"/>
                <w:szCs w:val="18"/>
                <w:spacing w:val="-4"/>
              </w:rPr>
              <w:t>给电池充电；</w:t>
            </w:r>
          </w:p>
          <w:p>
            <w:pPr>
              <w:pStyle w:val="TableText"/>
              <w:ind w:left="69" w:right="114" w:hanging="1"/>
              <w:spacing w:line="174" w:lineRule="auto"/>
              <w:rPr>
                <w:sz w:val="18"/>
                <w:szCs w:val="18"/>
              </w:rPr>
            </w:pPr>
            <w:r>
              <w:rPr>
                <w:sz w:val="18"/>
                <w:szCs w:val="18"/>
              </w:rPr>
              <w:t>晚上电池放电供给负载，电池不足</w:t>
            </w:r>
            <w:r>
              <w:rPr>
                <w:sz w:val="18"/>
                <w:szCs w:val="18"/>
                <w:spacing w:val="1"/>
              </w:rPr>
              <w:t xml:space="preserve"> </w:t>
            </w:r>
            <w:r>
              <w:rPr>
                <w:sz w:val="18"/>
                <w:szCs w:val="18"/>
              </w:rPr>
              <w:t>时，由柴油发电机供给负载。</w:t>
            </w:r>
          </w:p>
        </w:tc>
        <w:tc>
          <w:tcPr>
            <w:tcW w:w="2724" w:type="dxa"/>
            <w:vAlign w:val="top"/>
            <w:tcBorders>
              <w:left w:val="single" w:color="BFBFBF" w:sz="2" w:space="0"/>
              <w:bottom w:val="single" w:color="00C0AE" w:sz="12" w:space="0"/>
            </w:tcBorders>
          </w:tcPr>
          <w:p>
            <w:pPr>
              <w:pStyle w:val="TableText"/>
              <w:ind w:left="63" w:right="127" w:firstLine="2"/>
              <w:spacing w:before="128" w:line="168" w:lineRule="auto"/>
              <w:rPr>
                <w:sz w:val="18"/>
                <w:szCs w:val="18"/>
              </w:rPr>
            </w:pPr>
            <w:r>
              <w:rPr>
                <w:sz w:val="18"/>
                <w:szCs w:val="18"/>
              </w:rPr>
              <w:t>可满足无电网地区的日常用电需</w:t>
            </w:r>
            <w:r>
              <w:rPr>
                <w:sz w:val="18"/>
                <w:szCs w:val="18"/>
                <w:spacing w:val="7"/>
              </w:rPr>
              <w:t xml:space="preserve"> </w:t>
            </w:r>
            <w:r>
              <w:rPr>
                <w:sz w:val="18"/>
                <w:szCs w:val="18"/>
                <w:spacing w:val="-9"/>
              </w:rPr>
              <w:t>求。</w:t>
            </w:r>
          </w:p>
          <w:p>
            <w:pPr>
              <w:pStyle w:val="TableText"/>
              <w:ind w:left="63" w:right="127" w:firstLine="2"/>
              <w:spacing w:line="170" w:lineRule="auto"/>
              <w:rPr>
                <w:sz w:val="18"/>
                <w:szCs w:val="18"/>
              </w:rPr>
            </w:pPr>
            <w:r>
              <w:rPr>
                <w:sz w:val="18"/>
                <w:szCs w:val="18"/>
              </w:rPr>
              <w:t>可与柴油发电机结合，使柴油发</w:t>
            </w:r>
            <w:r>
              <w:rPr>
                <w:sz w:val="18"/>
                <w:szCs w:val="18"/>
                <w:spacing w:val="7"/>
              </w:rPr>
              <w:t xml:space="preserve"> </w:t>
            </w:r>
            <w:r>
              <w:rPr>
                <w:sz w:val="18"/>
                <w:szCs w:val="18"/>
              </w:rPr>
              <w:t>电机供给负载或者给电池充电。</w:t>
            </w:r>
            <w:r>
              <w:rPr>
                <w:sz w:val="18"/>
                <w:szCs w:val="18"/>
                <w:spacing w:val="9"/>
              </w:rPr>
              <w:t xml:space="preserve"> </w:t>
            </w:r>
            <w:r>
              <w:rPr>
                <w:sz w:val="18"/>
                <w:szCs w:val="18"/>
              </w:rPr>
              <w:t>大部分离网储能逆变器无并网认</w:t>
            </w:r>
            <w:r>
              <w:rPr>
                <w:sz w:val="18"/>
                <w:szCs w:val="18"/>
                <w:spacing w:val="9"/>
              </w:rPr>
              <w:t xml:space="preserve"> </w:t>
            </w:r>
            <w:r>
              <w:rPr>
                <w:sz w:val="18"/>
                <w:szCs w:val="18"/>
              </w:rPr>
              <w:t>证，即使系统有电网，也无法并</w:t>
            </w:r>
            <w:r>
              <w:rPr>
                <w:sz w:val="18"/>
                <w:szCs w:val="18"/>
                <w:spacing w:val="9"/>
              </w:rPr>
              <w:t xml:space="preserve"> </w:t>
            </w:r>
            <w:r>
              <w:rPr>
                <w:sz w:val="18"/>
                <w:szCs w:val="18"/>
                <w:spacing w:val="-9"/>
              </w:rPr>
              <w:t>网。</w:t>
            </w:r>
          </w:p>
        </w:tc>
      </w:tr>
    </w:tbl>
    <w:p>
      <w:pPr>
        <w:ind w:left="346"/>
        <w:spacing w:before="193" w:line="197"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7"/>
        </w:rPr>
        <w:t>数据来源：公开资料,</w:t>
      </w:r>
      <w:r>
        <w:rPr>
          <w:rFonts w:ascii="Microsoft YaHei" w:hAnsi="Microsoft YaHei" w:eastAsia="Microsoft YaHei" w:cs="Microsoft YaHei"/>
          <w:sz w:val="15"/>
          <w:szCs w:val="15"/>
          <w:spacing w:val="20"/>
        </w:rPr>
        <w:t xml:space="preserve"> </w:t>
      </w:r>
      <w:r>
        <w:rPr>
          <w:rFonts w:ascii="Microsoft YaHei" w:hAnsi="Microsoft YaHei" w:eastAsia="Microsoft YaHei" w:cs="Microsoft YaHei"/>
          <w:sz w:val="15"/>
          <w:szCs w:val="15"/>
          <w:spacing w:val="7"/>
        </w:rPr>
        <w:t>毕马威分析</w:t>
      </w:r>
    </w:p>
    <w:p>
      <w:pPr>
        <w:ind w:left="842" w:right="1241" w:hanging="411"/>
        <w:spacing w:before="184"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963" w:header="0" w:footer="0" w:gutter="0"/>
        </w:sectPr>
        <w:rPr>
          <w:rFonts w:ascii="Microsoft YaHei" w:hAnsi="Microsoft YaHei" w:eastAsia="Microsoft YaHei" w:cs="Microsoft YaHei"/>
          <w:sz w:val="11"/>
          <w:szCs w:val="11"/>
        </w:rPr>
      </w:pPr>
    </w:p>
    <w:p>
      <w:pPr>
        <w:ind w:left="7674"/>
        <w:spacing w:before="314" w:line="193" w:lineRule="auto"/>
        <w:outlineLvl w:val="0"/>
        <w:rPr>
          <w:rFonts w:ascii="Microsoft YaHei" w:hAnsi="Microsoft YaHei" w:eastAsia="Microsoft YaHei" w:cs="Microsoft YaHei"/>
          <w:sz w:val="18"/>
          <w:szCs w:val="18"/>
        </w:rPr>
      </w:pPr>
      <w:r>
        <w:pict>
          <v:rect id="_x0000_s1010" style="position:absolute;margin-left:611.99pt;margin-top:0pt;mso-position-vertical-relative:page;mso-position-horizontal-relative:page;width:0.25pt;height:859pt;z-index:253100032;" o:allowincell="f" fillcolor="#000000" filled="true" stroked="false"/>
        </w:pict>
      </w:r>
      <w:r>
        <w:rPr>
          <w:rFonts w:ascii="Microsoft YaHei" w:hAnsi="Microsoft YaHei" w:eastAsia="Microsoft YaHei" w:cs="Microsoft YaHei"/>
          <w:sz w:val="18"/>
          <w:szCs w:val="18"/>
          <w:color w:val="A8A8A8"/>
        </w:rPr>
        <w:t>新型储能助力能源转型</w:t>
      </w:r>
      <w:r>
        <w:rPr>
          <w:rFonts w:ascii="Microsoft YaHei" w:hAnsi="Microsoft YaHei" w:eastAsia="Microsoft YaHei" w:cs="Microsoft YaHei"/>
          <w:sz w:val="18"/>
          <w:szCs w:val="18"/>
          <w:color w:val="A8A8A8"/>
          <w:spacing w:val="20"/>
        </w:rPr>
        <w:t xml:space="preserve">  </w:t>
      </w:r>
      <w:r>
        <w:rPr>
          <w:sz w:val="18"/>
          <w:szCs w:val="18"/>
          <w:position w:val="-4"/>
        </w:rPr>
        <w:drawing>
          <wp:inline distT="0" distB="0" distL="0" distR="0">
            <wp:extent cx="6350" cy="130175"/>
            <wp:effectExtent l="0" t="0" r="0" b="0"/>
            <wp:docPr id="552" name="IM 552"/>
            <wp:cNvGraphicFramePr/>
            <a:graphic>
              <a:graphicData uri="http://schemas.openxmlformats.org/drawingml/2006/picture">
                <pic:pic>
                  <pic:nvPicPr>
                    <pic:cNvPr id="552" name="IM 552"/>
                    <pic:cNvPicPr/>
                  </pic:nvPicPr>
                  <pic:blipFill>
                    <a:blip r:embed="rId266"/>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spacing w:val="15"/>
          <w:w w:val="101"/>
        </w:rPr>
        <w:t xml:space="preserve">  </w:t>
      </w:r>
      <w:r>
        <w:rPr>
          <w:rFonts w:ascii="Microsoft YaHei" w:hAnsi="Microsoft YaHei" w:eastAsia="Microsoft YaHei" w:cs="Microsoft YaHei"/>
          <w:sz w:val="18"/>
          <w:szCs w:val="18"/>
          <w:b/>
          <w:bCs/>
          <w:color w:val="A8A8A8"/>
        </w:rPr>
        <w:t>54</w:t>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ind w:left="10" w:right="2828" w:hanging="1"/>
        <w:spacing w:before="90" w:line="221"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rPr>
        <w:t>根据IHS  Markit数据显示，</w:t>
      </w:r>
      <w:r>
        <w:rPr>
          <w:rFonts w:ascii="Microsoft YaHei" w:hAnsi="Microsoft YaHei" w:eastAsia="Microsoft YaHei" w:cs="Microsoft YaHei"/>
          <w:sz w:val="21"/>
          <w:szCs w:val="21"/>
          <w:spacing w:val="-41"/>
        </w:rPr>
        <w:t xml:space="preserve"> </w:t>
      </w:r>
      <w:r>
        <w:rPr>
          <w:rFonts w:ascii="Microsoft YaHei" w:hAnsi="Microsoft YaHei" w:eastAsia="Microsoft YaHei" w:cs="Microsoft YaHei"/>
          <w:sz w:val="21"/>
          <w:szCs w:val="21"/>
        </w:rPr>
        <w:t>2</w:t>
      </w:r>
      <w:r>
        <w:rPr>
          <w:rFonts w:ascii="Microsoft YaHei" w:hAnsi="Microsoft YaHei" w:eastAsia="Microsoft YaHei" w:cs="Microsoft YaHei"/>
          <w:sz w:val="21"/>
          <w:szCs w:val="21"/>
          <w:spacing w:val="-1"/>
        </w:rPr>
        <w:t>017年以来全球户储装机量增长较为明显，</w:t>
      </w:r>
      <w:r>
        <w:rPr>
          <w:rFonts w:ascii="Microsoft YaHei" w:hAnsi="Microsoft YaHei" w:eastAsia="Microsoft YaHei" w:cs="Microsoft YaHei"/>
          <w:sz w:val="21"/>
          <w:szCs w:val="21"/>
          <w:spacing w:val="-40"/>
        </w:rPr>
        <w:t xml:space="preserve"> </w:t>
      </w:r>
      <w:r>
        <w:rPr>
          <w:rFonts w:ascii="Microsoft YaHei" w:hAnsi="Microsoft YaHei" w:eastAsia="Microsoft YaHei" w:cs="Microsoft YaHei"/>
          <w:sz w:val="21"/>
          <w:szCs w:val="21"/>
          <w:spacing w:val="-1"/>
        </w:rPr>
        <w:t>每年新增装机</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5"/>
        </w:rPr>
        <w:t>增长量都有明显提高，到2020 年全球总装机容量</w:t>
      </w:r>
      <w:r>
        <w:rPr>
          <w:rFonts w:ascii="Microsoft YaHei" w:hAnsi="Microsoft YaHei" w:eastAsia="Microsoft YaHei" w:cs="Microsoft YaHei"/>
          <w:sz w:val="21"/>
          <w:szCs w:val="21"/>
          <w:spacing w:val="-6"/>
        </w:rPr>
        <w:t>首次突破1GW，达到</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6"/>
        </w:rPr>
        <w:t>1.3GW/3.2GWh，</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同比增长</w:t>
      </w:r>
      <w:r>
        <w:rPr>
          <w:rFonts w:ascii="Microsoft YaHei" w:hAnsi="Microsoft YaHei" w:eastAsia="Microsoft YaHei" w:cs="Microsoft YaHei"/>
          <w:sz w:val="21"/>
          <w:szCs w:val="21"/>
          <w:spacing w:val="-13"/>
        </w:rPr>
        <w:t xml:space="preserve"> </w:t>
      </w:r>
      <w:r>
        <w:rPr>
          <w:rFonts w:ascii="Microsoft YaHei" w:hAnsi="Microsoft YaHei" w:eastAsia="Microsoft YaHei" w:cs="Microsoft YaHei"/>
          <w:sz w:val="21"/>
          <w:szCs w:val="21"/>
          <w:spacing w:val="-4"/>
        </w:rPr>
        <w:t>30%; 2021年预计达到1.</w:t>
      </w:r>
      <w:r>
        <w:rPr>
          <w:rFonts w:ascii="Microsoft YaHei" w:hAnsi="Microsoft YaHei" w:eastAsia="Microsoft YaHei" w:cs="Microsoft YaHei"/>
          <w:sz w:val="21"/>
          <w:szCs w:val="21"/>
          <w:spacing w:val="-5"/>
        </w:rPr>
        <w:t>6GW/4.1GWh水平</w:t>
      </w:r>
      <w:r>
        <w:rPr>
          <w:rFonts w:ascii="Microsoft YaHei" w:hAnsi="Microsoft YaHei" w:eastAsia="Microsoft YaHei" w:cs="Microsoft YaHei"/>
          <w:sz w:val="13"/>
          <w:szCs w:val="13"/>
          <w:spacing w:val="-5"/>
          <w:position w:val="6"/>
        </w:rPr>
        <w:t>59</w:t>
      </w:r>
      <w:r>
        <w:rPr>
          <w:rFonts w:ascii="Microsoft YaHei" w:hAnsi="Microsoft YaHei" w:eastAsia="Microsoft YaHei" w:cs="Microsoft YaHei"/>
          <w:sz w:val="13"/>
          <w:szCs w:val="13"/>
          <w:spacing w:val="9"/>
          <w:w w:val="102"/>
          <w:position w:val="6"/>
        </w:rPr>
        <w:t xml:space="preserve"> </w:t>
      </w:r>
      <w:r>
        <w:rPr>
          <w:rFonts w:ascii="Microsoft YaHei" w:hAnsi="Microsoft YaHei" w:eastAsia="Microsoft YaHei" w:cs="Microsoft YaHei"/>
          <w:sz w:val="21"/>
          <w:szCs w:val="21"/>
          <w:spacing w:val="-5"/>
        </w:rPr>
        <w:t>。</w:t>
      </w:r>
    </w:p>
    <w:p>
      <w:pPr>
        <w:ind w:left="20" w:right="3010" w:hanging="9"/>
        <w:spacing w:before="246" w:line="219"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从出货量来看，2020</w:t>
      </w:r>
      <w:r>
        <w:rPr>
          <w:rFonts w:ascii="Microsoft YaHei" w:hAnsi="Microsoft YaHei" w:eastAsia="Microsoft YaHei" w:cs="Microsoft YaHei"/>
          <w:sz w:val="21"/>
          <w:szCs w:val="21"/>
          <w:spacing w:val="67"/>
          <w:w w:val="101"/>
        </w:rPr>
        <w:t xml:space="preserve"> </w:t>
      </w:r>
      <w:r>
        <w:rPr>
          <w:rFonts w:ascii="Microsoft YaHei" w:hAnsi="Microsoft YaHei" w:eastAsia="Microsoft YaHei" w:cs="Microsoft YaHei"/>
          <w:sz w:val="21"/>
          <w:szCs w:val="21"/>
          <w:spacing w:val="-3"/>
        </w:rPr>
        <w:t>年全球新增家庭储能出货量</w:t>
      </w:r>
      <w:r>
        <w:rPr>
          <w:rFonts w:ascii="Microsoft YaHei" w:hAnsi="Microsoft YaHei" w:eastAsia="Microsoft YaHei" w:cs="Microsoft YaHei"/>
          <w:sz w:val="21"/>
          <w:szCs w:val="21"/>
          <w:spacing w:val="47"/>
          <w:w w:val="101"/>
        </w:rPr>
        <w:t xml:space="preserve"> </w:t>
      </w:r>
      <w:r>
        <w:rPr>
          <w:rFonts w:ascii="Microsoft YaHei" w:hAnsi="Microsoft YaHei" w:eastAsia="Microsoft YaHei" w:cs="Microsoft YaHei"/>
          <w:sz w:val="21"/>
          <w:szCs w:val="21"/>
          <w:spacing w:val="-3"/>
        </w:rPr>
        <w:t>4.44GWh，同比增长</w:t>
      </w:r>
      <w:r>
        <w:rPr>
          <w:rFonts w:ascii="Microsoft YaHei" w:hAnsi="Microsoft YaHei" w:eastAsia="Microsoft YaHei" w:cs="Microsoft YaHei"/>
          <w:sz w:val="21"/>
          <w:szCs w:val="21"/>
          <w:spacing w:val="55"/>
          <w:w w:val="101"/>
        </w:rPr>
        <w:t xml:space="preserve"> </w:t>
      </w:r>
      <w:r>
        <w:rPr>
          <w:rFonts w:ascii="Microsoft YaHei" w:hAnsi="Microsoft YaHei" w:eastAsia="Microsoft YaHei" w:cs="Microsoft YaHei"/>
          <w:sz w:val="21"/>
          <w:szCs w:val="21"/>
          <w:spacing w:val="-3"/>
        </w:rPr>
        <w:t>44.2%，主要</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由欧美国家领跑（图18）</w:t>
      </w:r>
      <w:r>
        <w:rPr>
          <w:rFonts w:ascii="Microsoft YaHei" w:hAnsi="Microsoft YaHei" w:eastAsia="Microsoft YaHei" w:cs="Microsoft YaHei"/>
          <w:sz w:val="21"/>
          <w:szCs w:val="21"/>
          <w:spacing w:val="-33"/>
        </w:rPr>
        <w:t xml:space="preserve"> </w:t>
      </w:r>
      <w:r>
        <w:rPr>
          <w:rFonts w:ascii="Microsoft YaHei" w:hAnsi="Microsoft YaHei" w:eastAsia="Microsoft YaHei" w:cs="Microsoft YaHei"/>
          <w:sz w:val="21"/>
          <w:szCs w:val="21"/>
          <w:spacing w:val="2"/>
        </w:rPr>
        <w:t>。欧洲市场中又以德国市场发展最为迅速，德国出货量超过</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5"/>
        </w:rPr>
        <w:t>1.1GWh，排在世界首 位，美国出货量也超过 1GWh，排名第二。</w:t>
      </w:r>
    </w:p>
    <w:p>
      <w:pPr>
        <w:pStyle w:val="BodyText"/>
        <w:spacing w:line="299" w:lineRule="auto"/>
        <w:rPr/>
      </w:pPr>
      <w:r>
        <w:pict>
          <v:rect id="_x0000_s1012" style="position:absolute;margin-left:0.119995pt;margin-top:8.4566pt;mso-position-vertical-relative:text;mso-position-horizontal-relative:text;width:30.5pt;height:5pt;z-index:253101056;" fillcolor="#00C0AE" filled="true" stroked="false"/>
        </w:pict>
      </w:r>
      <w:r/>
    </w:p>
    <w:p>
      <w:pPr>
        <w:ind w:left="920"/>
        <w:spacing w:before="90" w:line="187" w:lineRule="auto"/>
        <w:rPr>
          <w:rFonts w:ascii="Microsoft YaHei" w:hAnsi="Microsoft YaHei" w:eastAsia="Microsoft YaHei" w:cs="Microsoft YaHei"/>
          <w:sz w:val="21"/>
          <w:szCs w:val="21"/>
        </w:rPr>
      </w:pPr>
      <w:r>
        <mc:AlternateContent xmlns:mc="http://schemas.openxmlformats.org/markup-compatibility/2006">
          <mc:Choice Requires="wps">
            <w:drawing>
              <wp:anchor distT="0" distB="0" distL="0" distR="0" simplePos="0" relativeHeight="253095936" behindDoc="1" locked="0" layoutInCell="1" allowOverlap="1">
                <wp:simplePos x="0" y="0"/>
                <wp:positionH relativeFrom="column">
                  <wp:posOffset>0</wp:posOffset>
                </wp:positionH>
                <wp:positionV relativeFrom="paragraph">
                  <wp:posOffset>-41219</wp:posOffset>
                </wp:positionV>
                <wp:extent cx="6123940" cy="329565"/>
                <wp:effectExtent l="0" t="0" r="0" b="0"/>
                <wp:wrapNone/>
                <wp:docPr id="554" name="Rect 554"/>
                <wp:cNvGraphicFramePr/>
                <a:graphic>
                  <a:graphicData uri="http://schemas.microsoft.com/office/word/2010/wordprocessingShape">
                    <wps:wsp>
                      <wps:cNvPr id="554" name="Rect 554"/>
                      <wps:cNvSpPr/>
                      <wps:spPr>
                        <a:xfrm>
                          <a:off x="0" y="-41219"/>
                          <a:ext cx="6123940" cy="329565"/>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014" style="position:absolute;margin-left:0pt;margin-top:-3.24565pt;mso-position-vertical-relative:text;mso-position-horizontal-relative:text;width:482.2pt;height:25.95pt;z-index:-250220544;" fillcolor="#F1F1F1" filled="true" stroked="false"/>
            </w:pict>
          </mc:Fallback>
        </mc:AlternateContent>
      </w:r>
      <w:r>
        <w:pict>
          <v:shape id="_x0000_s1016" style="position:absolute;margin-left:7.00904pt;margin-top:1.75435pt;mso-position-vertical-relative:text;mso-position-horizontal-relative:text;width:31.5pt;height:18.2pt;z-index:253099008;" filled="false" stroked="false" type="#_x0000_t202">
            <v:fill on="false"/>
            <v:stroke on="false"/>
            <v:path/>
            <v:imagedata o:title=""/>
            <o:lock v:ext="edit" aspectratio="false"/>
            <v:textbox inset="0mm,0mm,0mm,0mm">
              <w:txbxContent>
                <w:p>
                  <w:pPr>
                    <w:ind w:left="20"/>
                    <w:spacing w:before="20" w:line="215" w:lineRule="auto"/>
                    <w:rPr>
                      <w:sz w:val="21"/>
                      <w:szCs w:val="21"/>
                    </w:rPr>
                  </w:pPr>
                  <w:r>
                    <w:rPr>
                      <w:rFonts w:ascii="Microsoft YaHei" w:hAnsi="Microsoft YaHei" w:eastAsia="Microsoft YaHei" w:cs="Microsoft YaHei"/>
                      <w:sz w:val="21"/>
                      <w:szCs w:val="21"/>
                      <w:b/>
                      <w:bCs/>
                      <w:color w:val="00C0AE"/>
                      <w:spacing w:val="-14"/>
                    </w:rPr>
                    <w:t>图</w:t>
                  </w:r>
                  <w:r>
                    <w:rPr>
                      <w:rFonts w:ascii="Microsoft YaHei" w:hAnsi="Microsoft YaHei" w:eastAsia="Microsoft YaHei" w:cs="Microsoft YaHei"/>
                      <w:sz w:val="21"/>
                      <w:szCs w:val="21"/>
                      <w:b/>
                      <w:bCs/>
                      <w:color w:val="00C0AE"/>
                      <w:spacing w:val="2"/>
                    </w:rPr>
                    <w:t xml:space="preserve"> </w:t>
                  </w:r>
                  <w:r>
                    <w:rPr>
                      <w:rFonts w:ascii="Microsoft YaHei" w:hAnsi="Microsoft YaHei" w:eastAsia="Microsoft YaHei" w:cs="Microsoft YaHei"/>
                      <w:sz w:val="21"/>
                      <w:szCs w:val="21"/>
                      <w:b/>
                      <w:bCs/>
                      <w:color w:val="00C0AE"/>
                      <w:spacing w:val="-14"/>
                    </w:rPr>
                    <w:t>18</w:t>
                  </w:r>
                  <w:r>
                    <w:rPr>
                      <w:rFonts w:ascii="Microsoft YaHei" w:hAnsi="Microsoft YaHei" w:eastAsia="Microsoft YaHei" w:cs="Microsoft YaHei"/>
                      <w:sz w:val="21"/>
                      <w:szCs w:val="21"/>
                      <w:b/>
                      <w:bCs/>
                      <w:color w:val="00C0AE"/>
                      <w:spacing w:val="13"/>
                    </w:rPr>
                    <w:t xml:space="preserve"> </w:t>
                  </w:r>
                  <w:r>
                    <w:rPr>
                      <w:sz w:val="21"/>
                      <w:szCs w:val="21"/>
                      <w:position w:val="-5"/>
                    </w:rPr>
                    <w:drawing>
                      <wp:inline distT="0" distB="0" distL="0" distR="0">
                        <wp:extent cx="12700" cy="175666"/>
                        <wp:effectExtent l="0" t="0" r="0" b="0"/>
                        <wp:docPr id="556" name="IM 556"/>
                        <wp:cNvGraphicFramePr/>
                        <a:graphic>
                          <a:graphicData uri="http://schemas.openxmlformats.org/drawingml/2006/picture">
                            <pic:pic>
                              <pic:nvPicPr>
                                <pic:cNvPr id="556" name="IM 556"/>
                                <pic:cNvPicPr/>
                              </pic:nvPicPr>
                              <pic:blipFill>
                                <a:blip r:embed="rId267"/>
                                <a:stretch>
                                  <a:fillRect/>
                                </a:stretch>
                              </pic:blipFill>
                              <pic:spPr>
                                <a:xfrm rot="0">
                                  <a:off x="0" y="0"/>
                                  <a:ext cx="12700" cy="175666"/>
                                </a:xfrm>
                                <a:prstGeom prst="rect">
                                  <a:avLst/>
                                </a:prstGeom>
                              </pic:spPr>
                            </pic:pic>
                          </a:graphicData>
                        </a:graphic>
                      </wp:inline>
                    </w:drawing>
                  </w:r>
                </w:p>
              </w:txbxContent>
            </v:textbox>
          </v:shape>
        </w:pict>
      </w:r>
      <w:r>
        <w:rPr>
          <w:rFonts w:ascii="Microsoft YaHei" w:hAnsi="Microsoft YaHei" w:eastAsia="Microsoft YaHei" w:cs="Microsoft YaHei"/>
          <w:sz w:val="21"/>
          <w:szCs w:val="21"/>
          <w:b/>
          <w:bCs/>
          <w:color w:val="00C0AE"/>
          <w:spacing w:val="-6"/>
        </w:rPr>
        <w:t>2020年户用储能出货量，MWh</w:t>
      </w:r>
    </w:p>
    <w:p>
      <w:pPr>
        <w:pStyle w:val="BodyText"/>
        <w:spacing w:line="436" w:lineRule="auto"/>
        <w:rPr/>
      </w:pPr>
      <w:r/>
    </w:p>
    <w:p>
      <w:pPr>
        <w:pStyle w:val="BodyText"/>
        <w:ind w:firstLine="796"/>
        <w:spacing w:line="3314" w:lineRule="exact"/>
        <w:rPr/>
      </w:pPr>
      <w:r>
        <w:pict>
          <v:shape id="_x0000_s1018" style="position:absolute;margin-left:1.44473pt;margin-top:1.84125pt;mso-position-vertical-relative:text;mso-position-horizontal-relative:text;width:21.15pt;height:36pt;z-index:253096960;" filled="false" stroked="false" type="#_x0000_t202">
            <v:fill on="false"/>
            <v:stroke on="false"/>
            <v:path/>
            <v:imagedata o:title=""/>
            <o:lock v:ext="edit" aspectratio="false"/>
            <v:textbox inset="0mm,0mm,0mm,0mm">
              <w:txbxContent>
                <w:p>
                  <w:pPr>
                    <w:pStyle w:val="BodyText"/>
                    <w:ind w:left="20"/>
                    <w:spacing w:before="20" w:line="204" w:lineRule="auto"/>
                    <w:rPr>
                      <w:sz w:val="15"/>
                      <w:szCs w:val="15"/>
                    </w:rPr>
                  </w:pPr>
                  <w:r>
                    <w:rPr>
                      <w:sz w:val="15"/>
                      <w:szCs w:val="15"/>
                      <w:spacing w:val="1"/>
                    </w:rPr>
                    <w:t>1,200</w:t>
                  </w:r>
                </w:p>
                <w:p>
                  <w:pPr>
                    <w:pStyle w:val="BodyText"/>
                    <w:spacing w:line="340" w:lineRule="auto"/>
                    <w:rPr/>
                  </w:pPr>
                  <w:r/>
                </w:p>
                <w:p>
                  <w:pPr>
                    <w:pStyle w:val="BodyText"/>
                    <w:ind w:left="20"/>
                    <w:spacing w:before="43" w:line="204" w:lineRule="auto"/>
                    <w:rPr>
                      <w:sz w:val="15"/>
                      <w:szCs w:val="15"/>
                    </w:rPr>
                  </w:pPr>
                  <w:r>
                    <w:rPr>
                      <w:sz w:val="15"/>
                      <w:szCs w:val="15"/>
                      <w:spacing w:val="1"/>
                    </w:rPr>
                    <w:t>1,000</w:t>
                  </w:r>
                </w:p>
              </w:txbxContent>
            </v:textbox>
          </v:shape>
        </w:pict>
      </w:r>
      <w:r>
        <w:pict>
          <v:shape id="_x0000_s1020" style="position:absolute;margin-left:7.58274pt;margin-top:55.0954pt;mso-position-vertical-relative:text;mso-position-horizontal-relative:text;width:15pt;height:9.3pt;z-index:253105152;" filled="false" stroked="false" type="#_x0000_t202">
            <v:fill on="false"/>
            <v:stroke on="false"/>
            <v:path/>
            <v:imagedata o:title=""/>
            <o:lock v:ext="edit" aspectratio="false"/>
            <v:textbox inset="0mm,0mm,0mm,0mm">
              <w:txbxContent>
                <w:p>
                  <w:pPr>
                    <w:pStyle w:val="BodyText"/>
                    <w:ind w:left="20"/>
                    <w:spacing w:before="19" w:line="203" w:lineRule="auto"/>
                    <w:rPr>
                      <w:sz w:val="15"/>
                      <w:szCs w:val="15"/>
                    </w:rPr>
                  </w:pPr>
                  <w:r>
                    <w:rPr>
                      <w:sz w:val="15"/>
                      <w:szCs w:val="15"/>
                      <w:spacing w:val="2"/>
                    </w:rPr>
                    <w:t>800</w:t>
                  </w:r>
                </w:p>
              </w:txbxContent>
            </v:textbox>
          </v:shape>
        </w:pict>
      </w:r>
      <w:r>
        <w:pict>
          <v:shape id="_x0000_s1022" style="position:absolute;margin-left:7.55898pt;margin-top:81.7224pt;mso-position-vertical-relative:text;mso-position-horizontal-relative:text;width:15pt;height:9.3pt;z-index:253104128;" filled="false" stroked="false" type="#_x0000_t202">
            <v:fill on="false"/>
            <v:stroke on="false"/>
            <v:path/>
            <v:imagedata o:title=""/>
            <o:lock v:ext="edit" aspectratio="false"/>
            <v:textbox inset="0mm,0mm,0mm,0mm">
              <w:txbxContent>
                <w:p>
                  <w:pPr>
                    <w:pStyle w:val="BodyText"/>
                    <w:ind w:left="20"/>
                    <w:spacing w:before="19" w:line="203" w:lineRule="auto"/>
                    <w:rPr>
                      <w:sz w:val="15"/>
                      <w:szCs w:val="15"/>
                    </w:rPr>
                  </w:pPr>
                  <w:r>
                    <w:rPr>
                      <w:sz w:val="15"/>
                      <w:szCs w:val="15"/>
                      <w:spacing w:val="3"/>
                    </w:rPr>
                    <w:t>600</w:t>
                  </w:r>
                </w:p>
              </w:txbxContent>
            </v:textbox>
          </v:shape>
        </w:pict>
      </w:r>
      <w:r>
        <w:pict>
          <v:shape id="_x0000_s1024" style="position:absolute;margin-left:7.36098pt;margin-top:108.349pt;mso-position-vertical-relative:text;mso-position-horizontal-relative:text;width:15.2pt;height:9.3pt;z-index:253102080;" filled="false" stroked="false" type="#_x0000_t202">
            <v:fill on="false"/>
            <v:stroke on="false"/>
            <v:path/>
            <v:imagedata o:title=""/>
            <o:lock v:ext="edit" aspectratio="false"/>
            <v:textbox inset="0mm,0mm,0mm,0mm">
              <w:txbxContent>
                <w:p>
                  <w:pPr>
                    <w:pStyle w:val="BodyText"/>
                    <w:ind w:left="20"/>
                    <w:spacing w:before="19" w:line="203" w:lineRule="auto"/>
                    <w:rPr>
                      <w:sz w:val="15"/>
                      <w:szCs w:val="15"/>
                    </w:rPr>
                  </w:pPr>
                  <w:r>
                    <w:rPr>
                      <w:sz w:val="15"/>
                      <w:szCs w:val="15"/>
                      <w:spacing w:val="4"/>
                    </w:rPr>
                    <w:t>400</w:t>
                  </w:r>
                </w:p>
              </w:txbxContent>
            </v:textbox>
          </v:shape>
        </w:pict>
      </w:r>
      <w:r>
        <w:pict>
          <v:shape id="_x0000_s1026" style="position:absolute;margin-left:7.4877pt;margin-top:134.977pt;mso-position-vertical-relative:text;mso-position-horizontal-relative:text;width:15.1pt;height:9.3pt;z-index:253103104;" filled="false" stroked="false" type="#_x0000_t202">
            <v:fill on="false"/>
            <v:stroke on="false"/>
            <v:path/>
            <v:imagedata o:title=""/>
            <o:lock v:ext="edit" aspectratio="false"/>
            <v:textbox inset="0mm,0mm,0mm,0mm">
              <w:txbxContent>
                <w:p>
                  <w:pPr>
                    <w:pStyle w:val="BodyText"/>
                    <w:ind w:left="20"/>
                    <w:spacing w:before="19" w:line="203" w:lineRule="auto"/>
                    <w:rPr>
                      <w:sz w:val="15"/>
                      <w:szCs w:val="15"/>
                    </w:rPr>
                  </w:pPr>
                  <w:r>
                    <w:rPr>
                      <w:sz w:val="15"/>
                      <w:szCs w:val="15"/>
                      <w:spacing w:val="3"/>
                    </w:rPr>
                    <w:t>200</w:t>
                  </w:r>
                </w:p>
              </w:txbxContent>
            </v:textbox>
          </v:shape>
        </w:pict>
      </w:r>
      <w:r>
        <w:pict>
          <v:shape id="_x0000_s1028" style="position:absolute;margin-left:16.4927pt;margin-top:161.604pt;mso-position-vertical-relative:text;mso-position-horizontal-relative:text;width:6.1pt;height:9.3pt;z-index:253107200;" filled="false" stroked="false" type="#_x0000_t202">
            <v:fill on="false"/>
            <v:stroke on="false"/>
            <v:path/>
            <v:imagedata o:title=""/>
            <o:lock v:ext="edit" aspectratio="false"/>
            <v:textbox inset="0mm,0mm,0mm,0mm">
              <w:txbxContent>
                <w:p>
                  <w:pPr>
                    <w:pStyle w:val="BodyText"/>
                    <w:ind w:left="20"/>
                    <w:spacing w:before="19" w:line="203" w:lineRule="auto"/>
                    <w:rPr>
                      <w:sz w:val="15"/>
                      <w:szCs w:val="15"/>
                    </w:rPr>
                  </w:pPr>
                  <w:r>
                    <w:rPr>
                      <w:sz w:val="15"/>
                      <w:szCs w:val="15"/>
                    </w:rPr>
                    <w:t>0</w:t>
                  </w:r>
                </w:p>
              </w:txbxContent>
            </v:textbox>
          </v:shape>
        </w:pict>
      </w:r>
      <w:r>
        <w:pict>
          <v:group id="_x0000_s1030" style="position:absolute;margin-left:26.04pt;margin-top:5.71869pt;mso-position-vertical-relative:text;mso-position-horizontal-relative:text;width:2.8pt;height:162.5pt;z-index:253097984;" filled="false" stroked="false" coordsize="55,3250" coordorigin="0,0">
            <v:shape id="_x0000_s1032" style="position:absolute;left:0;top:0;width:55;height:3207;" filled="false" strokecolor="#000000" strokeweight="0.75pt" coordsize="55,3207" coordorigin="0,0" path="m48,3199l48,7m0,3199l48,3199m0,2666l48,2666m0,2138l48,2138m0,1605l48,1605m0,1073l48,1073m0,540l48,540m0,7l48,7e">
              <v:stroke miterlimit="10"/>
            </v:shape>
            <v:shape id="_x0000_s1034" style="position:absolute;left:45;top:3201;width:10;height:48;" filled="false" strokecolor="#000000" strokeweight="0.50pt" coordsize="10,48" coordorigin="0,0" path="m5,0l5,47e">
              <v:stroke miterlimit="10"/>
            </v:shape>
          </v:group>
        </w:pict>
      </w:r>
      <w:r>
        <w:rPr>
          <w:position w:val="-66"/>
        </w:rPr>
        <w:pict>
          <v:group id="_x0000_s1036" style="mso-position-vertical-relative:line;mso-position-horizontal-relative:char;width:435.4pt;height:165.85pt;" filled="false" stroked="false" coordsize="8707,3317" coordorigin="0,0">
            <v:shape id="_x0000_s1038" style="position:absolute;left:0;top:340;width:8707;height:2977;" filled="false" stroked="false" type="#_x0000_t75">
              <v:imagedata o:title="" r:id="rId268"/>
            </v:shape>
            <v:shape id="_x0000_s1040" style="position:absolute;left:7;top:-20;width:6762;height:2992;" filled="false" stroked="false" type="#_x0000_t202">
              <v:fill on="false"/>
              <v:stroke on="false"/>
              <v:path/>
              <v:imagedata o:title=""/>
              <o:lock v:ext="edit" aspectratio="false"/>
              <v:textbox inset="0mm,0mm,0mm,0mm">
                <w:txbxContent>
                  <w:p>
                    <w:pPr>
                      <w:ind w:left="20"/>
                      <w:spacing w:before="20" w:line="205" w:lineRule="exact"/>
                      <w:rPr>
                        <w:rFonts w:ascii="Trebuchet MS" w:hAnsi="Trebuchet MS" w:eastAsia="Trebuchet MS" w:cs="Trebuchet MS"/>
                        <w:sz w:val="32"/>
                        <w:szCs w:val="32"/>
                      </w:rPr>
                    </w:pPr>
                    <w:r>
                      <w:rPr>
                        <w:rFonts w:ascii="Trebuchet MS" w:hAnsi="Trebuchet MS" w:eastAsia="Trebuchet MS" w:cs="Trebuchet MS"/>
                        <w:sz w:val="32"/>
                        <w:szCs w:val="32"/>
                        <w:b/>
                        <w:bCs/>
                        <w:color w:val="00C0AE"/>
                        <w:spacing w:val="-56"/>
                        <w:w w:val="90"/>
                        <w:position w:val="-7"/>
                      </w:rPr>
                      <w:t>1,117</w:t>
                    </w:r>
                  </w:p>
                  <w:p>
                    <w:pPr>
                      <w:ind w:left="888"/>
                      <w:spacing w:line="220" w:lineRule="exact"/>
                      <w:rPr>
                        <w:rFonts w:ascii="Trebuchet MS" w:hAnsi="Trebuchet MS" w:eastAsia="Trebuchet MS" w:cs="Trebuchet MS"/>
                        <w:sz w:val="32"/>
                        <w:szCs w:val="32"/>
                      </w:rPr>
                    </w:pPr>
                    <w:r>
                      <w:rPr>
                        <w:rFonts w:ascii="Trebuchet MS" w:hAnsi="Trebuchet MS" w:eastAsia="Trebuchet MS" w:cs="Trebuchet MS"/>
                        <w:sz w:val="32"/>
                        <w:szCs w:val="32"/>
                        <w:b/>
                        <w:bCs/>
                        <w:color w:val="00C0AE"/>
                        <w:spacing w:val="-37"/>
                        <w:w w:val="87"/>
                        <w:position w:val="-6"/>
                      </w:rPr>
                      <w:t>1,050</w:t>
                    </w:r>
                  </w:p>
                  <w:p>
                    <w:pPr>
                      <w:spacing w:line="336" w:lineRule="auto"/>
                      <w:rPr>
                        <w:rFonts w:ascii="Arial"/>
                        <w:sz w:val="21"/>
                      </w:rPr>
                    </w:pPr>
                    <w:r/>
                  </w:p>
                  <w:p>
                    <w:pPr>
                      <w:ind w:left="1883"/>
                      <w:spacing w:before="93" w:line="187" w:lineRule="auto"/>
                      <w:rPr>
                        <w:rFonts w:ascii="Trebuchet MS" w:hAnsi="Trebuchet MS" w:eastAsia="Trebuchet MS" w:cs="Trebuchet MS"/>
                        <w:sz w:val="32"/>
                        <w:szCs w:val="32"/>
                      </w:rPr>
                    </w:pPr>
                    <w:r>
                      <w:rPr>
                        <w:rFonts w:ascii="Trebuchet MS" w:hAnsi="Trebuchet MS" w:eastAsia="Trebuchet MS" w:cs="Trebuchet MS"/>
                        <w:sz w:val="32"/>
                        <w:szCs w:val="32"/>
                        <w:b/>
                        <w:bCs/>
                        <w:color w:val="00C0AE"/>
                        <w:spacing w:val="-20"/>
                        <w:w w:val="84"/>
                      </w:rPr>
                      <w:t>794</w:t>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2797"/>
                      <w:spacing w:before="93" w:line="187" w:lineRule="auto"/>
                      <w:rPr>
                        <w:rFonts w:ascii="Trebuchet MS" w:hAnsi="Trebuchet MS" w:eastAsia="Trebuchet MS" w:cs="Trebuchet MS"/>
                        <w:sz w:val="32"/>
                        <w:szCs w:val="32"/>
                      </w:rPr>
                    </w:pPr>
                    <w:r>
                      <w:rPr>
                        <w:rFonts w:ascii="Trebuchet MS" w:hAnsi="Trebuchet MS" w:eastAsia="Trebuchet MS" w:cs="Trebuchet MS"/>
                        <w:sz w:val="32"/>
                        <w:szCs w:val="32"/>
                        <w:b/>
                        <w:bCs/>
                        <w:color w:val="00C0AE"/>
                        <w:spacing w:val="-39"/>
                        <w:w w:val="95"/>
                      </w:rPr>
                      <w:t>359</w:t>
                    </w:r>
                  </w:p>
                  <w:p>
                    <w:pPr>
                      <w:ind w:left="3714"/>
                      <w:spacing w:before="30" w:line="187" w:lineRule="auto"/>
                      <w:rPr>
                        <w:rFonts w:ascii="Trebuchet MS" w:hAnsi="Trebuchet MS" w:eastAsia="Trebuchet MS" w:cs="Trebuchet MS"/>
                        <w:sz w:val="32"/>
                        <w:szCs w:val="32"/>
                      </w:rPr>
                    </w:pPr>
                    <w:r>
                      <w:rPr>
                        <w:rFonts w:ascii="Trebuchet MS" w:hAnsi="Trebuchet MS" w:eastAsia="Trebuchet MS" w:cs="Trebuchet MS"/>
                        <w:sz w:val="32"/>
                        <w:szCs w:val="32"/>
                        <w:b/>
                        <w:bCs/>
                        <w:color w:val="00C0AE"/>
                        <w:spacing w:val="-33"/>
                        <w:w w:val="91"/>
                      </w:rPr>
                      <w:t>239</w:t>
                    </w:r>
                  </w:p>
                  <w:p>
                    <w:pPr>
                      <w:spacing w:before="75" w:line="193" w:lineRule="auto"/>
                      <w:jc w:val="right"/>
                      <w:rPr>
                        <w:rFonts w:ascii="Trebuchet MS" w:hAnsi="Trebuchet MS" w:eastAsia="Trebuchet MS" w:cs="Trebuchet MS"/>
                        <w:sz w:val="32"/>
                        <w:szCs w:val="32"/>
                      </w:rPr>
                    </w:pPr>
                    <w:r>
                      <w:rPr>
                        <w:rFonts w:ascii="Trebuchet MS" w:hAnsi="Trebuchet MS" w:eastAsia="Trebuchet MS" w:cs="Trebuchet MS"/>
                        <w:sz w:val="32"/>
                        <w:szCs w:val="32"/>
                        <w:b/>
                        <w:bCs/>
                        <w:color w:val="00C0AE"/>
                        <w:spacing w:val="-38"/>
                        <w:w w:val="75"/>
                        <w:position w:val="1"/>
                      </w:rPr>
                      <w:t>102</w:t>
                    </w:r>
                    <w:r>
                      <w:rPr>
                        <w:rFonts w:ascii="Trebuchet MS" w:hAnsi="Trebuchet MS" w:eastAsia="Trebuchet MS" w:cs="Trebuchet MS"/>
                        <w:sz w:val="32"/>
                        <w:szCs w:val="32"/>
                        <w:b/>
                        <w:bCs/>
                        <w:color w:val="00C0AE"/>
                        <w:spacing w:val="13"/>
                        <w:position w:val="1"/>
                      </w:rPr>
                      <w:t xml:space="preserve">      </w:t>
                    </w:r>
                    <w:r>
                      <w:rPr>
                        <w:rFonts w:ascii="Trebuchet MS" w:hAnsi="Trebuchet MS" w:eastAsia="Trebuchet MS" w:cs="Trebuchet MS"/>
                        <w:sz w:val="32"/>
                        <w:szCs w:val="32"/>
                        <w:b/>
                        <w:bCs/>
                        <w:color w:val="00C0AE"/>
                        <w:spacing w:val="-38"/>
                        <w:w w:val="75"/>
                        <w:position w:val="-1"/>
                      </w:rPr>
                      <w:t>91</w:t>
                    </w:r>
                  </w:p>
                </w:txbxContent>
              </v:textbox>
            </v:shape>
            <v:shape id="_x0000_s1042" style="position:absolute;left:7367;top:2262;width:1308;height:301;" filled="false" stroked="false" type="#_x0000_t202">
              <v:fill on="false"/>
              <v:stroke on="false"/>
              <v:path/>
              <v:imagedata o:title=""/>
              <o:lock v:ext="edit" aspectratio="false"/>
              <v:textbox inset="0mm,0mm,0mm,0mm">
                <w:txbxContent>
                  <w:p>
                    <w:pPr>
                      <w:spacing w:before="19" w:line="195" w:lineRule="auto"/>
                      <w:jc w:val="right"/>
                      <w:rPr>
                        <w:rFonts w:ascii="Trebuchet MS" w:hAnsi="Trebuchet MS" w:eastAsia="Trebuchet MS" w:cs="Trebuchet MS"/>
                        <w:sz w:val="32"/>
                        <w:szCs w:val="32"/>
                      </w:rPr>
                    </w:pPr>
                    <w:r>
                      <w:rPr>
                        <w:rFonts w:ascii="Trebuchet MS" w:hAnsi="Trebuchet MS" w:eastAsia="Trebuchet MS" w:cs="Trebuchet MS"/>
                        <w:sz w:val="32"/>
                        <w:szCs w:val="32"/>
                        <w:b/>
                        <w:bCs/>
                        <w:color w:val="00C0AE"/>
                        <w:spacing w:val="-22"/>
                        <w:w w:val="74"/>
                        <w:position w:val="-2"/>
                      </w:rPr>
                      <w:t>24</w:t>
                    </w:r>
                    <w:r>
                      <w:rPr>
                        <w:rFonts w:ascii="Trebuchet MS" w:hAnsi="Trebuchet MS" w:eastAsia="Trebuchet MS" w:cs="Trebuchet MS"/>
                        <w:sz w:val="32"/>
                        <w:szCs w:val="32"/>
                        <w:b/>
                        <w:bCs/>
                        <w:color w:val="00C0AE"/>
                        <w:spacing w:val="-21"/>
                        <w:w w:val="74"/>
                        <w:position w:val="-2"/>
                      </w:rPr>
                      <w:t>4</w:t>
                    </w:r>
                    <w:r>
                      <w:rPr>
                        <w:rFonts w:ascii="Trebuchet MS" w:hAnsi="Trebuchet MS" w:eastAsia="Trebuchet MS" w:cs="Trebuchet MS"/>
                        <w:sz w:val="32"/>
                        <w:szCs w:val="32"/>
                        <w:b/>
                        <w:bCs/>
                        <w:color w:val="00C0AE"/>
                        <w:spacing w:val="15"/>
                        <w:position w:val="-2"/>
                      </w:rPr>
                      <w:t xml:space="preserve">     </w:t>
                    </w:r>
                    <w:r>
                      <w:rPr>
                        <w:rFonts w:ascii="Trebuchet MS" w:hAnsi="Trebuchet MS" w:eastAsia="Trebuchet MS" w:cs="Trebuchet MS"/>
                        <w:sz w:val="32"/>
                        <w:szCs w:val="32"/>
                        <w:b/>
                        <w:bCs/>
                        <w:color w:val="00C0AE"/>
                        <w:spacing w:val="-21"/>
                        <w:w w:val="74"/>
                        <w:position w:val="1"/>
                      </w:rPr>
                      <w:t>25</w:t>
                    </w:r>
                    <w:r>
                      <w:rPr>
                        <w:rFonts w:ascii="Trebuchet MS" w:hAnsi="Trebuchet MS" w:eastAsia="Trebuchet MS" w:cs="Trebuchet MS"/>
                        <w:sz w:val="32"/>
                        <w:szCs w:val="32"/>
                        <w:b/>
                        <w:bCs/>
                        <w:color w:val="00C0AE"/>
                        <w:spacing w:val="-19"/>
                        <w:w w:val="74"/>
                        <w:position w:val="1"/>
                      </w:rPr>
                      <w:t>9</w:t>
                    </w:r>
                  </w:p>
                </w:txbxContent>
              </v:textbox>
            </v:shape>
            <v:shape id="_x0000_s1044" style="position:absolute;left:4632;top:2459;width:365;height:262;" filled="false" stroked="false" type="#_x0000_t202">
              <v:fill on="false"/>
              <v:stroke on="false"/>
              <v:path/>
              <v:imagedata o:title=""/>
              <o:lock v:ext="edit" aspectratio="false"/>
              <v:textbox inset="0mm,0mm,0mm,0mm">
                <w:txbxContent>
                  <w:p>
                    <w:pPr>
                      <w:spacing w:before="19" w:line="188" w:lineRule="auto"/>
                      <w:jc w:val="right"/>
                      <w:rPr>
                        <w:rFonts w:ascii="Trebuchet MS" w:hAnsi="Trebuchet MS" w:eastAsia="Trebuchet MS" w:cs="Trebuchet MS"/>
                        <w:sz w:val="32"/>
                        <w:szCs w:val="32"/>
                      </w:rPr>
                    </w:pPr>
                    <w:r>
                      <w:rPr>
                        <w:rFonts w:ascii="Trebuchet MS" w:hAnsi="Trebuchet MS" w:eastAsia="Trebuchet MS" w:cs="Trebuchet MS"/>
                        <w:sz w:val="32"/>
                        <w:szCs w:val="32"/>
                        <w:b/>
                        <w:bCs/>
                        <w:color w:val="00C0AE"/>
                        <w:spacing w:val="-54"/>
                        <w:w w:val="80"/>
                      </w:rPr>
                      <w:t>1</w:t>
                    </w:r>
                    <w:r>
                      <w:rPr>
                        <w:rFonts w:ascii="Trebuchet MS" w:hAnsi="Trebuchet MS" w:eastAsia="Trebuchet MS" w:cs="Trebuchet MS"/>
                        <w:sz w:val="32"/>
                        <w:szCs w:val="32"/>
                        <w:b/>
                        <w:bCs/>
                        <w:color w:val="00C0AE"/>
                        <w:spacing w:val="-53"/>
                        <w:w w:val="80"/>
                      </w:rPr>
                      <w:t>8</w:t>
                    </w:r>
                    <w:r>
                      <w:rPr>
                        <w:rFonts w:ascii="Trebuchet MS" w:hAnsi="Trebuchet MS" w:eastAsia="Trebuchet MS" w:cs="Trebuchet MS"/>
                        <w:sz w:val="32"/>
                        <w:szCs w:val="32"/>
                        <w:b/>
                        <w:bCs/>
                        <w:color w:val="00C0AE"/>
                        <w:spacing w:val="-22"/>
                        <w:w w:val="80"/>
                      </w:rPr>
                      <w:t>5</w:t>
                    </w:r>
                  </w:p>
                </w:txbxContent>
              </v:textbox>
            </v:shape>
          </v:group>
        </w:pict>
      </w:r>
    </w:p>
    <w:p>
      <w:pPr>
        <w:ind w:left="571"/>
        <w:spacing w:line="50" w:lineRule="exact"/>
        <w:rPr/>
      </w:pPr>
      <w:r>
        <w:rPr>
          <w:position w:val="-1"/>
        </w:rPr>
        <w:drawing>
          <wp:inline distT="0" distB="0" distL="0" distR="0">
            <wp:extent cx="5821807" cy="32067"/>
            <wp:effectExtent l="0" t="0" r="0" b="0"/>
            <wp:docPr id="558" name="IM 558"/>
            <wp:cNvGraphicFramePr/>
            <a:graphic>
              <a:graphicData uri="http://schemas.openxmlformats.org/drawingml/2006/picture">
                <pic:pic>
                  <pic:nvPicPr>
                    <pic:cNvPr id="558" name="IM 558"/>
                    <pic:cNvPicPr/>
                  </pic:nvPicPr>
                  <pic:blipFill>
                    <a:blip r:embed="rId269"/>
                    <a:stretch>
                      <a:fillRect/>
                    </a:stretch>
                  </pic:blipFill>
                  <pic:spPr>
                    <a:xfrm rot="0">
                      <a:off x="0" y="0"/>
                      <a:ext cx="5821807" cy="32067"/>
                    </a:xfrm>
                    <a:prstGeom prst="rect">
                      <a:avLst/>
                    </a:prstGeom>
                  </pic:spPr>
                </pic:pic>
              </a:graphicData>
            </a:graphic>
          </wp:inline>
        </w:drawing>
      </w:r>
    </w:p>
    <w:p>
      <w:pPr>
        <w:ind w:left="873"/>
        <w:spacing w:before="42" w:line="201" w:lineRule="auto"/>
        <w:rPr>
          <w:rFonts w:ascii="Microsoft YaHei" w:hAnsi="Microsoft YaHei" w:eastAsia="Microsoft YaHei" w:cs="Microsoft YaHei"/>
          <w:sz w:val="13"/>
          <w:szCs w:val="13"/>
        </w:rPr>
      </w:pPr>
      <w:r>
        <w:rPr>
          <w:rFonts w:ascii="PMingLiU" w:hAnsi="PMingLiU" w:eastAsia="PMingLiU" w:cs="PMingLiU"/>
          <w:sz w:val="15"/>
          <w:szCs w:val="15"/>
          <w:spacing w:val="3"/>
        </w:rPr>
        <w:t>德国              美国                日本           澳大利亚         意大利             南非              英国             西班牙       </w:t>
      </w:r>
      <w:r>
        <w:rPr>
          <w:rFonts w:ascii="Microsoft YaHei" w:hAnsi="Microsoft YaHei" w:eastAsia="Microsoft YaHei" w:cs="Microsoft YaHei"/>
          <w:sz w:val="13"/>
          <w:szCs w:val="13"/>
          <w:spacing w:val="3"/>
        </w:rPr>
        <w:t>欧洲其他国家  世界其他国家</w:t>
      </w:r>
    </w:p>
    <w:p>
      <w:pPr>
        <w:ind w:left="8156"/>
        <w:spacing w:before="1" w:line="182" w:lineRule="auto"/>
        <w:rPr>
          <w:rFonts w:ascii="Microsoft YaHei" w:hAnsi="Microsoft YaHei" w:eastAsia="Microsoft YaHei" w:cs="Microsoft YaHei"/>
          <w:sz w:val="13"/>
          <w:szCs w:val="13"/>
        </w:rPr>
      </w:pPr>
      <w:r>
        <w:rPr>
          <w:rFonts w:ascii="Microsoft YaHei" w:hAnsi="Microsoft YaHei" w:eastAsia="Microsoft YaHei" w:cs="Microsoft YaHei"/>
          <w:sz w:val="13"/>
          <w:szCs w:val="13"/>
          <w:spacing w:val="7"/>
        </w:rPr>
        <w:t>及地区</w:t>
      </w:r>
      <w:r>
        <w:rPr>
          <w:rFonts w:ascii="Microsoft YaHei" w:hAnsi="Microsoft YaHei" w:eastAsia="Microsoft YaHei" w:cs="Microsoft YaHei"/>
          <w:sz w:val="13"/>
          <w:szCs w:val="13"/>
        </w:rPr>
        <w:t xml:space="preserve">             </w:t>
      </w:r>
      <w:r>
        <w:rPr>
          <w:rFonts w:ascii="Microsoft YaHei" w:hAnsi="Microsoft YaHei" w:eastAsia="Microsoft YaHei" w:cs="Microsoft YaHei"/>
          <w:sz w:val="13"/>
          <w:szCs w:val="13"/>
          <w:spacing w:val="7"/>
        </w:rPr>
        <w:t>及地区</w:t>
      </w:r>
    </w:p>
    <w:p>
      <w:pPr>
        <w:ind w:left="8"/>
        <w:spacing w:before="181" w:line="197"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3"/>
        </w:rPr>
        <w:t>数据来源： </w:t>
      </w:r>
      <w:r>
        <w:rPr>
          <w:rFonts w:ascii="Microsoft YaHei" w:hAnsi="Microsoft YaHei" w:eastAsia="Microsoft YaHei" w:cs="Microsoft YaHei"/>
          <w:sz w:val="15"/>
          <w:szCs w:val="15"/>
        </w:rPr>
        <w:t>IHS</w:t>
      </w:r>
      <w:r>
        <w:rPr>
          <w:rFonts w:ascii="Microsoft YaHei" w:hAnsi="Microsoft YaHei" w:eastAsia="Microsoft YaHei" w:cs="Microsoft YaHei"/>
          <w:sz w:val="15"/>
          <w:szCs w:val="15"/>
          <w:spacing w:val="25"/>
        </w:rPr>
        <w:t xml:space="preserve"> </w:t>
      </w:r>
      <w:r>
        <w:rPr>
          <w:rFonts w:ascii="Microsoft YaHei" w:hAnsi="Microsoft YaHei" w:eastAsia="Microsoft YaHei" w:cs="Microsoft YaHei"/>
          <w:sz w:val="15"/>
          <w:szCs w:val="15"/>
        </w:rPr>
        <w:t>Markit</w:t>
      </w:r>
      <w:r>
        <w:rPr>
          <w:rFonts w:ascii="Microsoft YaHei" w:hAnsi="Microsoft YaHei" w:eastAsia="Microsoft YaHei" w:cs="Microsoft YaHei"/>
          <w:sz w:val="15"/>
          <w:szCs w:val="15"/>
          <w:spacing w:val="3"/>
        </w:rPr>
        <w:t>, </w:t>
      </w:r>
      <w:r>
        <w:rPr>
          <w:rFonts w:ascii="Microsoft YaHei" w:hAnsi="Microsoft YaHei" w:eastAsia="Microsoft YaHei" w:cs="Microsoft YaHei"/>
          <w:sz w:val="15"/>
          <w:szCs w:val="15"/>
        </w:rPr>
        <w:t>Statista</w:t>
      </w:r>
      <w:r>
        <w:rPr>
          <w:rFonts w:ascii="Microsoft YaHei" w:hAnsi="Microsoft YaHei" w:eastAsia="Microsoft YaHei" w:cs="Microsoft YaHei"/>
          <w:sz w:val="15"/>
          <w:szCs w:val="15"/>
          <w:spacing w:val="3"/>
        </w:rPr>
        <w:t>,</w:t>
      </w:r>
      <w:r>
        <w:rPr>
          <w:rFonts w:ascii="Microsoft YaHei" w:hAnsi="Microsoft YaHei" w:eastAsia="Microsoft YaHei" w:cs="Microsoft YaHei"/>
          <w:sz w:val="15"/>
          <w:szCs w:val="15"/>
          <w:spacing w:val="16"/>
          <w:w w:val="101"/>
        </w:rPr>
        <w:t xml:space="preserve"> </w:t>
      </w:r>
      <w:r>
        <w:rPr>
          <w:rFonts w:ascii="Microsoft YaHei" w:hAnsi="Microsoft YaHei" w:eastAsia="Microsoft YaHei" w:cs="Microsoft YaHei"/>
          <w:sz w:val="15"/>
          <w:szCs w:val="15"/>
          <w:spacing w:val="3"/>
        </w:rPr>
        <w:t>毕马威分析</w:t>
      </w:r>
    </w:p>
    <w:p>
      <w:pPr>
        <w:pStyle w:val="BodyText"/>
        <w:spacing w:line="242" w:lineRule="auto"/>
        <w:rPr/>
      </w:pPr>
      <w:r/>
    </w:p>
    <w:p>
      <w:pPr>
        <w:pStyle w:val="BodyText"/>
        <w:spacing w:line="242" w:lineRule="auto"/>
        <w:rPr/>
      </w:pPr>
      <w:r>
        <w:pict>
          <v:shape id="_x0000_s1046" style="position:absolute;margin-left:0.25pt;margin-top:3.72626pt;mso-position-vertical-relative:text;mso-position-horizontal-relative:text;width:81.3pt;height:0.5pt;z-index:253106176;" filled="false" strokecolor="#000000" strokeweight="0.50pt" coordsize="1626,10" coordorigin="0,0" path="m0,5l1625,5e">
            <v:stroke joinstyle="miter"/>
          </v:shape>
        </w:pict>
      </w:r>
      <w:r/>
    </w:p>
    <w:p>
      <w:pPr>
        <w:ind w:left="4"/>
        <w:spacing w:before="56" w:line="189"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3"/>
          <w:position w:val="4"/>
        </w:rPr>
        <w:t>59</w:t>
      </w:r>
      <w:r>
        <w:rPr>
          <w:rFonts w:ascii="Microsoft YaHei" w:hAnsi="Microsoft YaHei" w:eastAsia="Microsoft YaHei" w:cs="Microsoft YaHei"/>
          <w:sz w:val="9"/>
          <w:szCs w:val="9"/>
          <w:spacing w:val="19"/>
          <w:w w:val="102"/>
          <w:position w:val="4"/>
        </w:rPr>
        <w:t xml:space="preserve"> </w:t>
      </w:r>
      <w:r>
        <w:rPr>
          <w:rFonts w:ascii="Microsoft YaHei" w:hAnsi="Microsoft YaHei" w:eastAsia="Microsoft YaHei" w:cs="Microsoft YaHei"/>
          <w:sz w:val="13"/>
          <w:szCs w:val="13"/>
        </w:rPr>
        <w:t>Strong</w:t>
      </w:r>
      <w:r>
        <w:rPr>
          <w:rFonts w:ascii="Microsoft YaHei" w:hAnsi="Microsoft YaHei" w:eastAsia="Microsoft YaHei" w:cs="Microsoft YaHei"/>
          <w:sz w:val="13"/>
          <w:szCs w:val="13"/>
          <w:spacing w:val="3"/>
        </w:rPr>
        <w:t xml:space="preserve"> </w:t>
      </w:r>
      <w:r>
        <w:rPr>
          <w:rFonts w:ascii="Microsoft YaHei" w:hAnsi="Microsoft YaHei" w:eastAsia="Microsoft YaHei" w:cs="Microsoft YaHei"/>
          <w:sz w:val="13"/>
          <w:szCs w:val="13"/>
        </w:rPr>
        <w:t>growth</w:t>
      </w:r>
      <w:r>
        <w:rPr>
          <w:rFonts w:ascii="Microsoft YaHei" w:hAnsi="Microsoft YaHei" w:eastAsia="Microsoft YaHei" w:cs="Microsoft YaHei"/>
          <w:sz w:val="13"/>
          <w:szCs w:val="13"/>
          <w:spacing w:val="3"/>
        </w:rPr>
        <w:t xml:space="preserve"> </w:t>
      </w:r>
      <w:r>
        <w:rPr>
          <w:rFonts w:ascii="Microsoft YaHei" w:hAnsi="Microsoft YaHei" w:eastAsia="Microsoft YaHei" w:cs="Microsoft YaHei"/>
          <w:sz w:val="13"/>
          <w:szCs w:val="13"/>
        </w:rPr>
        <w:t>ahead</w:t>
      </w:r>
      <w:r>
        <w:rPr>
          <w:rFonts w:ascii="Microsoft YaHei" w:hAnsi="Microsoft YaHei" w:eastAsia="Microsoft YaHei" w:cs="Microsoft YaHei"/>
          <w:sz w:val="13"/>
          <w:szCs w:val="13"/>
          <w:spacing w:val="3"/>
        </w:rPr>
        <w:t xml:space="preserve"> </w:t>
      </w:r>
      <w:r>
        <w:rPr>
          <w:rFonts w:ascii="Microsoft YaHei" w:hAnsi="Microsoft YaHei" w:eastAsia="Microsoft YaHei" w:cs="Microsoft YaHei"/>
          <w:sz w:val="13"/>
          <w:szCs w:val="13"/>
        </w:rPr>
        <w:t>for</w:t>
      </w:r>
      <w:r>
        <w:rPr>
          <w:rFonts w:ascii="Microsoft YaHei" w:hAnsi="Microsoft YaHei" w:eastAsia="Microsoft YaHei" w:cs="Microsoft YaHei"/>
          <w:sz w:val="13"/>
          <w:szCs w:val="13"/>
          <w:spacing w:val="3"/>
        </w:rPr>
        <w:t xml:space="preserve"> </w:t>
      </w:r>
      <w:r>
        <w:rPr>
          <w:rFonts w:ascii="Microsoft YaHei" w:hAnsi="Microsoft YaHei" w:eastAsia="Microsoft YaHei" w:cs="Microsoft YaHei"/>
          <w:sz w:val="13"/>
          <w:szCs w:val="13"/>
        </w:rPr>
        <w:t>battery</w:t>
      </w:r>
      <w:r>
        <w:rPr>
          <w:rFonts w:ascii="Microsoft YaHei" w:hAnsi="Microsoft YaHei" w:eastAsia="Microsoft YaHei" w:cs="Microsoft YaHei"/>
          <w:sz w:val="13"/>
          <w:szCs w:val="13"/>
          <w:spacing w:val="3"/>
        </w:rPr>
        <w:t xml:space="preserve"> </w:t>
      </w:r>
      <w:r>
        <w:rPr>
          <w:rFonts w:ascii="Microsoft YaHei" w:hAnsi="Microsoft YaHei" w:eastAsia="Microsoft YaHei" w:cs="Microsoft YaHei"/>
          <w:sz w:val="13"/>
          <w:szCs w:val="13"/>
        </w:rPr>
        <w:t>storage</w:t>
      </w:r>
      <w:r>
        <w:rPr>
          <w:rFonts w:ascii="Microsoft YaHei" w:hAnsi="Microsoft YaHei" w:eastAsia="Microsoft YaHei" w:cs="Microsoft YaHei"/>
          <w:sz w:val="13"/>
          <w:szCs w:val="13"/>
          <w:spacing w:val="3"/>
        </w:rPr>
        <w:t>,</w:t>
      </w:r>
      <w:r>
        <w:rPr>
          <w:rFonts w:ascii="Microsoft YaHei" w:hAnsi="Microsoft YaHei" w:eastAsia="Microsoft YaHei" w:cs="Microsoft YaHei"/>
          <w:sz w:val="13"/>
          <w:szCs w:val="13"/>
          <w:spacing w:val="13"/>
          <w:w w:val="101"/>
        </w:rPr>
        <w:t xml:space="preserve"> </w:t>
      </w:r>
      <w:r>
        <w:rPr>
          <w:rFonts w:ascii="Microsoft YaHei" w:hAnsi="Microsoft YaHei" w:eastAsia="Microsoft YaHei" w:cs="Microsoft YaHei"/>
          <w:sz w:val="13"/>
          <w:szCs w:val="13"/>
        </w:rPr>
        <w:t>PV</w:t>
      </w:r>
      <w:r>
        <w:rPr>
          <w:rFonts w:ascii="Microsoft YaHei" w:hAnsi="Microsoft YaHei" w:eastAsia="Microsoft YaHei" w:cs="Microsoft YaHei"/>
          <w:sz w:val="13"/>
          <w:szCs w:val="13"/>
          <w:spacing w:val="10"/>
          <w:w w:val="102"/>
        </w:rPr>
        <w:t xml:space="preserve"> </w:t>
      </w:r>
      <w:r>
        <w:rPr>
          <w:rFonts w:ascii="Microsoft YaHei" w:hAnsi="Microsoft YaHei" w:eastAsia="Microsoft YaHei" w:cs="Microsoft YaHei"/>
          <w:sz w:val="13"/>
          <w:szCs w:val="13"/>
        </w:rPr>
        <w:t>Magazine</w:t>
      </w:r>
      <w:r>
        <w:rPr>
          <w:rFonts w:ascii="Microsoft YaHei" w:hAnsi="Microsoft YaHei" w:eastAsia="Microsoft YaHei" w:cs="Microsoft YaHei"/>
          <w:sz w:val="13"/>
          <w:szCs w:val="13"/>
          <w:spacing w:val="3"/>
        </w:rPr>
        <w:t>, </w:t>
      </w:r>
      <w:r>
        <w:rPr>
          <w:rFonts w:ascii="Microsoft YaHei" w:hAnsi="Microsoft YaHei" w:eastAsia="Microsoft YaHei" w:cs="Microsoft YaHei"/>
          <w:sz w:val="13"/>
          <w:szCs w:val="13"/>
        </w:rPr>
        <w:t>April</w:t>
      </w:r>
      <w:r>
        <w:rPr>
          <w:rFonts w:ascii="Microsoft YaHei" w:hAnsi="Microsoft YaHei" w:eastAsia="Microsoft YaHei" w:cs="Microsoft YaHei"/>
          <w:sz w:val="13"/>
          <w:szCs w:val="13"/>
          <w:spacing w:val="11"/>
        </w:rPr>
        <w:t xml:space="preserve"> </w:t>
      </w:r>
      <w:r>
        <w:rPr>
          <w:rFonts w:ascii="Microsoft YaHei" w:hAnsi="Microsoft YaHei" w:eastAsia="Microsoft YaHei" w:cs="Microsoft YaHei"/>
          <w:sz w:val="13"/>
          <w:szCs w:val="13"/>
          <w:spacing w:val="3"/>
        </w:rPr>
        <w:t>13, 2021</w:t>
      </w:r>
    </w:p>
    <w:p>
      <w:pPr>
        <w:pStyle w:val="BodyText"/>
        <w:spacing w:line="397" w:lineRule="auto"/>
        <w:rPr/>
      </w:pPr>
      <w:r/>
    </w:p>
    <w:p>
      <w:pPr>
        <w:spacing w:before="1" w:line="5213" w:lineRule="exact"/>
        <w:rPr/>
      </w:pPr>
      <w:r>
        <w:rPr>
          <w:position w:val="-104"/>
        </w:rPr>
        <w:drawing>
          <wp:inline distT="0" distB="0" distL="0" distR="0">
            <wp:extent cx="6123431" cy="3310087"/>
            <wp:effectExtent l="0" t="0" r="0" b="0"/>
            <wp:docPr id="560" name="IM 560"/>
            <wp:cNvGraphicFramePr/>
            <a:graphic>
              <a:graphicData uri="http://schemas.openxmlformats.org/drawingml/2006/picture">
                <pic:pic>
                  <pic:nvPicPr>
                    <pic:cNvPr id="560" name="IM 560"/>
                    <pic:cNvPicPr/>
                  </pic:nvPicPr>
                  <pic:blipFill>
                    <a:blip r:embed="rId270"/>
                    <a:stretch>
                      <a:fillRect/>
                    </a:stretch>
                  </pic:blipFill>
                  <pic:spPr>
                    <a:xfrm rot="0">
                      <a:off x="0" y="0"/>
                      <a:ext cx="6123431" cy="3310087"/>
                    </a:xfrm>
                    <a:prstGeom prst="rect">
                      <a:avLst/>
                    </a:prstGeom>
                  </pic:spPr>
                </pic:pic>
              </a:graphicData>
            </a:graphic>
          </wp:inline>
        </w:drawing>
      </w:r>
    </w:p>
    <w:p>
      <w:pPr>
        <w:ind w:left="505" w:right="1241" w:hanging="411"/>
        <w:spacing w:before="252"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1300" w:header="0" w:footer="0" w:gutter="0"/>
        </w:sectPr>
        <w:rPr>
          <w:rFonts w:ascii="Microsoft YaHei" w:hAnsi="Microsoft YaHei" w:eastAsia="Microsoft YaHei" w:cs="Microsoft YaHei"/>
          <w:sz w:val="11"/>
          <w:szCs w:val="11"/>
        </w:rPr>
      </w:pPr>
    </w:p>
    <w:p>
      <w:pPr>
        <w:spacing w:before="314" w:line="193" w:lineRule="auto"/>
        <w:rPr>
          <w:rFonts w:ascii="Microsoft YaHei" w:hAnsi="Microsoft YaHei" w:eastAsia="Microsoft YaHei" w:cs="Microsoft YaHei"/>
          <w:sz w:val="18"/>
          <w:szCs w:val="18"/>
        </w:rPr>
      </w:pPr>
      <w:r>
        <w:pict>
          <v:rect id="_x0000_s1048" style="position:absolute;margin-left:611.99pt;margin-top:0pt;mso-position-vertical-relative:page;mso-position-horizontal-relative:page;width:0.25pt;height:859pt;z-index:253136896;" o:allowincell="f" fillcolor="#000000" filled="true" stroked="false"/>
        </w:pict>
      </w:r>
      <w:r>
        <w:rPr>
          <w:rFonts w:ascii="Microsoft YaHei" w:hAnsi="Microsoft YaHei" w:eastAsia="Microsoft YaHei" w:cs="Microsoft YaHei"/>
          <w:sz w:val="18"/>
          <w:szCs w:val="18"/>
          <w:b/>
          <w:bCs/>
          <w:color w:val="A8A8A8"/>
          <w:spacing w:val="-1"/>
        </w:rPr>
        <w:t>55</w:t>
      </w:r>
      <w:r>
        <w:rPr>
          <w:rFonts w:ascii="Microsoft YaHei" w:hAnsi="Microsoft YaHei" w:eastAsia="Microsoft YaHei" w:cs="Microsoft YaHei"/>
          <w:sz w:val="18"/>
          <w:szCs w:val="18"/>
          <w:b/>
          <w:bCs/>
          <w:color w:val="A8A8A8"/>
          <w:spacing w:val="15"/>
        </w:rPr>
        <w:t xml:space="preserve">  </w:t>
      </w:r>
      <w:r>
        <w:rPr>
          <w:sz w:val="18"/>
          <w:szCs w:val="18"/>
          <w:position w:val="-4"/>
        </w:rPr>
        <w:drawing>
          <wp:inline distT="0" distB="0" distL="0" distR="0">
            <wp:extent cx="6350" cy="130175"/>
            <wp:effectExtent l="0" t="0" r="0" b="0"/>
            <wp:docPr id="562" name="IM 562"/>
            <wp:cNvGraphicFramePr/>
            <a:graphic>
              <a:graphicData uri="http://schemas.openxmlformats.org/drawingml/2006/picture">
                <pic:pic>
                  <pic:nvPicPr>
                    <pic:cNvPr id="562" name="IM 562"/>
                    <pic:cNvPicPr/>
                  </pic:nvPicPr>
                  <pic:blipFill>
                    <a:blip r:embed="rId271"/>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A8A8A8"/>
          <w:spacing w:val="26"/>
        </w:rPr>
        <w:t xml:space="preserve">  </w:t>
      </w:r>
      <w:r>
        <w:rPr>
          <w:rFonts w:ascii="Microsoft YaHei" w:hAnsi="Microsoft YaHei" w:eastAsia="Microsoft YaHei" w:cs="Microsoft YaHei"/>
          <w:sz w:val="18"/>
          <w:szCs w:val="18"/>
          <w:color w:val="A8A8A8"/>
          <w:spacing w:val="-1"/>
        </w:rPr>
        <w:t>新型储能助力能源转型</w:t>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355"/>
        <w:spacing w:before="116" w:line="185" w:lineRule="auto"/>
        <w:outlineLvl w:val="0"/>
        <w:rPr>
          <w:rFonts w:ascii="Microsoft YaHei" w:hAnsi="Microsoft YaHei" w:eastAsia="Microsoft YaHei" w:cs="Microsoft YaHei"/>
          <w:sz w:val="27"/>
          <w:szCs w:val="27"/>
        </w:rPr>
      </w:pPr>
      <w:r>
        <w:rPr>
          <w:rFonts w:ascii="Microsoft YaHei" w:hAnsi="Microsoft YaHei" w:eastAsia="Microsoft YaHei" w:cs="Microsoft YaHei"/>
          <w:sz w:val="27"/>
          <w:szCs w:val="27"/>
          <w:b/>
          <w:bCs/>
          <w:color w:val="00C0AE"/>
          <w:spacing w:val="8"/>
        </w:rPr>
        <w:t>高电价、成本下降和政策支持推高海外户储市场景气度</w:t>
      </w:r>
    </w:p>
    <w:p>
      <w:pPr>
        <w:ind w:firstLine="337"/>
        <w:spacing w:before="163" w:line="432" w:lineRule="exact"/>
        <w:rPr/>
      </w:pPr>
      <w:r>
        <w:rPr>
          <w:position w:val="-8"/>
        </w:rPr>
        <w:pict>
          <v:shape id="_x0000_s1050" style="mso-position-vertical-relative:line;mso-position-horizontal-relative:char;width:397pt;height:21.6pt;" fillcolor="#F1F1F1" filled="true" stroked="false" type="#_x0000_t202">
            <v:fill on="true"/>
            <v:stroke on="false"/>
            <v:path/>
            <v:imagedata o:title=""/>
            <o:lock v:ext="edit" aspectratio="false"/>
            <v:textbox inset="0mm,0mm,0mm,0mm">
              <w:txbxContent>
                <w:p>
                  <w:pPr>
                    <w:ind w:left="127"/>
                    <w:spacing w:before="122" w:line="176"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00C0AE"/>
                      <w:spacing w:val="-1"/>
                    </w:rPr>
                    <w:t>高昂的电价是海外户储市场快速发展的强劲推动力</w:t>
                  </w:r>
                </w:p>
              </w:txbxContent>
            </v:textbox>
          </v:shape>
        </w:pict>
      </w:r>
    </w:p>
    <w:p>
      <w:pPr>
        <w:ind w:left="345" w:right="2997" w:firstLine="3"/>
        <w:spacing w:before="237" w:line="216"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从2021年主要国家和地区的家庭电价来</w:t>
      </w:r>
      <w:r>
        <w:rPr>
          <w:rFonts w:ascii="Microsoft YaHei" w:hAnsi="Microsoft YaHei" w:eastAsia="Microsoft YaHei" w:cs="Microsoft YaHei"/>
          <w:sz w:val="21"/>
          <w:szCs w:val="21"/>
          <w:spacing w:val="1"/>
        </w:rPr>
        <w:t>看，以丹麦、</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1"/>
        </w:rPr>
        <w:t>德国、英国等为代表的欧洲国家</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家庭电价均在0.3美元/KWh以上</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1"/>
        </w:rPr>
        <w:t>，为美国的一倍</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中国的近三倍（图19）</w:t>
      </w:r>
      <w:r>
        <w:rPr>
          <w:rFonts w:ascii="Microsoft YaHei" w:hAnsi="Microsoft YaHei" w:eastAsia="Microsoft YaHei" w:cs="Microsoft YaHei"/>
          <w:sz w:val="21"/>
          <w:szCs w:val="21"/>
          <w:spacing w:val="-39"/>
        </w:rPr>
        <w:t xml:space="preserve"> </w:t>
      </w:r>
      <w:r>
        <w:rPr>
          <w:rFonts w:ascii="Microsoft YaHei" w:hAnsi="Microsoft YaHei" w:eastAsia="Microsoft YaHei" w:cs="Microsoft YaHei"/>
          <w:sz w:val="21"/>
          <w:szCs w:val="21"/>
          <w:spacing w:val="-2"/>
        </w:rPr>
        <w:t>。进入2022</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年</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，随着夏季欧洲多国极端干旱天气叠加俄乌冲突所带来的天然气价格上涨</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2"/>
        </w:rPr>
        <w:t>，欧洲电</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价再创新高。欧洲能源交易所（EEX）数据显示，法国与德国明年交付的电力价格分别</w:t>
      </w:r>
      <w:r>
        <w:rPr>
          <w:rFonts w:ascii="Microsoft YaHei" w:hAnsi="Microsoft YaHei" w:eastAsia="Microsoft YaHei" w:cs="Microsoft YaHei"/>
          <w:sz w:val="21"/>
          <w:szCs w:val="21"/>
          <w:spacing w:val="6"/>
        </w:rPr>
        <w:t xml:space="preserve"> </w:t>
      </w:r>
      <w:r>
        <w:rPr>
          <w:rFonts w:ascii="Microsoft YaHei" w:hAnsi="Microsoft YaHei" w:eastAsia="Microsoft YaHei" w:cs="Microsoft YaHei"/>
          <w:sz w:val="21"/>
          <w:szCs w:val="21"/>
          <w:spacing w:val="-2"/>
        </w:rPr>
        <w:t>在8月26日和8月29日冲破1,000欧元/MWh关口，均为历史首次。另外，英国的远期电</w:t>
      </w:r>
      <w:r>
        <w:rPr>
          <w:rFonts w:ascii="Microsoft YaHei" w:hAnsi="Microsoft YaHei" w:eastAsia="Microsoft YaHei" w:cs="Microsoft YaHei"/>
          <w:sz w:val="21"/>
          <w:szCs w:val="21"/>
          <w:spacing w:val="6"/>
        </w:rPr>
        <w:t xml:space="preserve"> </w:t>
      </w:r>
      <w:r>
        <w:rPr>
          <w:rFonts w:ascii="Microsoft YaHei" w:hAnsi="Microsoft YaHei" w:eastAsia="Microsoft YaHei" w:cs="Microsoft YaHei"/>
          <w:sz w:val="21"/>
          <w:szCs w:val="21"/>
          <w:spacing w:val="-2"/>
        </w:rPr>
        <w:t>力价格也从6月的242英镑/MWh飙升到现在的1,000英镑/MWh左右。过去一年</w:t>
      </w:r>
      <w:r>
        <w:rPr>
          <w:rFonts w:ascii="Microsoft YaHei" w:hAnsi="Microsoft YaHei" w:eastAsia="Microsoft YaHei" w:cs="Microsoft YaHei"/>
          <w:sz w:val="21"/>
          <w:szCs w:val="21"/>
          <w:spacing w:val="-23"/>
        </w:rPr>
        <w:t xml:space="preserve"> </w:t>
      </w:r>
      <w:r>
        <w:rPr>
          <w:rFonts w:ascii="Microsoft YaHei" w:hAnsi="Microsoft YaHei" w:eastAsia="Microsoft YaHei" w:cs="Microsoft YaHei"/>
          <w:sz w:val="21"/>
          <w:szCs w:val="21"/>
          <w:spacing w:val="-2"/>
        </w:rPr>
        <w:t>，欧洲</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电价上涨了约10倍</w:t>
      </w:r>
      <w:r>
        <w:rPr>
          <w:rFonts w:ascii="Microsoft YaHei" w:hAnsi="Microsoft YaHei" w:eastAsia="Microsoft YaHei" w:cs="Microsoft YaHei"/>
          <w:sz w:val="21"/>
          <w:szCs w:val="21"/>
          <w:spacing w:val="21"/>
        </w:rPr>
        <w:t xml:space="preserve"> </w:t>
      </w:r>
      <w:r>
        <w:rPr>
          <w:rFonts w:ascii="Microsoft YaHei" w:hAnsi="Microsoft YaHei" w:eastAsia="Microsoft YaHei" w:cs="Microsoft YaHei"/>
          <w:sz w:val="13"/>
          <w:szCs w:val="13"/>
          <w:spacing w:val="-1"/>
          <w:position w:val="6"/>
        </w:rPr>
        <w:t>60</w:t>
      </w:r>
      <w:r>
        <w:rPr>
          <w:rFonts w:ascii="Microsoft YaHei" w:hAnsi="Microsoft YaHei" w:eastAsia="Microsoft YaHei" w:cs="Microsoft YaHei"/>
          <w:sz w:val="21"/>
          <w:szCs w:val="21"/>
          <w:spacing w:val="-1"/>
        </w:rPr>
        <w:t>。家用光伏+储能系统的应用</w:t>
      </w:r>
      <w:r>
        <w:rPr>
          <w:rFonts w:ascii="Microsoft YaHei" w:hAnsi="Microsoft YaHei" w:eastAsia="Microsoft YaHei" w:cs="Microsoft YaHei"/>
          <w:sz w:val="21"/>
          <w:szCs w:val="21"/>
          <w:spacing w:val="-2"/>
        </w:rPr>
        <w:t>可以提高电力自发自用水平，以延缓</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和降低电价上涨带来的风险。</w:t>
      </w:r>
    </w:p>
    <w:p>
      <w:pPr>
        <w:pStyle w:val="BodyText"/>
        <w:spacing w:line="348" w:lineRule="auto"/>
        <w:rPr/>
      </w:pPr>
      <w:r/>
    </w:p>
    <w:p>
      <w:pPr>
        <w:ind w:firstLine="337"/>
        <w:spacing w:line="585" w:lineRule="exact"/>
        <w:rPr/>
      </w:pPr>
      <w:r>
        <w:rPr>
          <w:position w:val="-11"/>
        </w:rPr>
        <w:pict>
          <v:group id="_x0000_s1052" style="mso-position-vertical-relative:line;mso-position-horizontal-relative:char;width:482.2pt;height:29.3pt;" filled="false" stroked="false" coordsize="9644,585" coordorigin="0,0">
            <v:group id="_x0000_s1054" style="position:absolute;left:0;top:0;width:9644;height:585;" filled="false" stroked="false" coordsize="9644,585" coordorigin="0,0">
              <v:shape id="_x0000_s1056" style="position:absolute;left:0;top:66;width:9644;height:519;" fillcolor="#F1F1F1" filled="true" stroked="false" coordsize="9644,519" coordorigin="0,0" path="m,l9643,0l9643,518l0,518l0,0xe"/>
              <v:shape id="_x0000_s1058" style="position:absolute;left:2;top:0;width:610;height:100;" filled="false" strokecolor="#00C0AE" strokeweight="5.00pt" coordsize="610,100" coordorigin="0,0" path="m0,50l610,50e">
                <v:stroke joinstyle="miter"/>
              </v:shape>
            </v:group>
            <v:shape id="_x0000_s1060" style="position:absolute;left:-20;top:-20;width:9684;height:625;" filled="false" stroked="false" type="#_x0000_t202">
              <v:fill on="false"/>
              <v:stroke on="false"/>
              <v:path/>
              <v:imagedata o:title=""/>
              <o:lock v:ext="edit" aspectratio="false"/>
              <v:textbox inset="0mm,0mm,0mm,0mm">
                <w:txbxContent>
                  <w:p>
                    <w:pPr>
                      <w:ind w:left="180"/>
                      <w:spacing w:before="207" w:line="21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C0AE"/>
                        <w:spacing w:val="-3"/>
                      </w:rPr>
                      <w:t>图 19 </w:t>
                    </w:r>
                    <w:r>
                      <w:rPr>
                        <w:sz w:val="21"/>
                        <w:szCs w:val="21"/>
                        <w:position w:val="-5"/>
                      </w:rPr>
                      <w:drawing>
                        <wp:inline distT="0" distB="0" distL="0" distR="0">
                          <wp:extent cx="12700" cy="175666"/>
                          <wp:effectExtent l="0" t="0" r="0" b="0"/>
                          <wp:docPr id="564" name="IM 564"/>
                          <wp:cNvGraphicFramePr/>
                          <a:graphic>
                            <a:graphicData uri="http://schemas.openxmlformats.org/drawingml/2006/picture">
                              <pic:pic>
                                <pic:nvPicPr>
                                  <pic:cNvPr id="564" name="IM 564"/>
                                  <pic:cNvPicPr/>
                                </pic:nvPicPr>
                                <pic:blipFill>
                                  <a:blip r:embed="rId272"/>
                                  <a:stretch>
                                    <a:fillRect/>
                                  </a:stretch>
                                </pic:blipFill>
                                <pic:spPr>
                                  <a:xfrm rot="0">
                                    <a:off x="0" y="0"/>
                                    <a:ext cx="12700" cy="175666"/>
                                  </a:xfrm>
                                  <a:prstGeom prst="rect">
                                    <a:avLst/>
                                  </a:prstGeom>
                                </pic:spPr>
                              </pic:pic>
                            </a:graphicData>
                          </a:graphic>
                        </wp:inline>
                      </w:drawing>
                    </w:r>
                    <w:r>
                      <w:rPr>
                        <w:rFonts w:ascii="Microsoft YaHei" w:hAnsi="Microsoft YaHei" w:eastAsia="Microsoft YaHei" w:cs="Microsoft YaHei"/>
                        <w:sz w:val="21"/>
                        <w:szCs w:val="21"/>
                        <w:b/>
                        <w:bCs/>
                        <w:color w:val="00C0AE"/>
                        <w:spacing w:val="26"/>
                        <w:w w:val="101"/>
                      </w:rPr>
                      <w:t xml:space="preserve">  </w:t>
                    </w:r>
                    <w:r>
                      <w:rPr>
                        <w:rFonts w:ascii="Microsoft YaHei" w:hAnsi="Microsoft YaHei" w:eastAsia="Microsoft YaHei" w:cs="Microsoft YaHei"/>
                        <w:sz w:val="21"/>
                        <w:szCs w:val="21"/>
                        <w:b/>
                        <w:bCs/>
                        <w:color w:val="00C0AE"/>
                        <w:spacing w:val="-3"/>
                      </w:rPr>
                      <w:t>2021年主要国家和地区家庭平均用电价格，美元/KWh</w:t>
                    </w:r>
                  </w:p>
                </w:txbxContent>
              </v:textbox>
            </v:shape>
          </v:group>
        </w:pict>
      </w:r>
    </w:p>
    <w:p>
      <w:pPr>
        <w:pStyle w:val="BodyText"/>
        <w:spacing w:line="305" w:lineRule="auto"/>
        <w:rPr/>
      </w:pPr>
      <w:r/>
    </w:p>
    <w:p>
      <w:pPr>
        <w:pStyle w:val="BodyText"/>
        <w:ind w:left="423"/>
        <w:spacing w:before="44" w:line="203" w:lineRule="auto"/>
        <w:rPr>
          <w:sz w:val="15"/>
          <w:szCs w:val="15"/>
        </w:rPr>
      </w:pPr>
      <w:r>
        <w:pict>
          <v:group id="_x0000_s1062" style="position:absolute;margin-left:40.7581pt;margin-top:5.02573pt;mso-position-vertical-relative:text;mso-position-horizontal-relative:text;width:3.05pt;height:178.6pt;z-index:253135872;" filled="false" stroked="false" coordsize="60,3572" coordorigin="0,0">
            <v:shape id="_x0000_s1064" style="position:absolute;left:0;top:0;width:60;height:3533;" filled="false" strokecolor="#000000" strokeweight="0.75pt" coordsize="60,3533" coordorigin="0,0" path="m52,3525l52,7m0,3525l52,3525m0,3132l52,3132m0,2743l52,2743m0,2349l52,2349m0,1961l52,1961m0,1572l52,1572m0,1178l52,1178m0,789l52,789m0,396l52,396m0,7l52,7e">
              <v:stroke miterlimit="10"/>
            </v:shape>
            <v:shape id="_x0000_s1066" style="position:absolute;left:45;top:3523;width:10;height:48;" filled="false" strokecolor="#000000" strokeweight="0.50pt" coordsize="10,48" coordorigin="0,0" path="m5,0l5,47e">
              <v:stroke miterlimit="10"/>
            </v:shape>
          </v:group>
        </w:pict>
      </w:r>
      <w:r>
        <w:rPr>
          <w:sz w:val="15"/>
          <w:szCs w:val="15"/>
          <w:spacing w:val="2"/>
        </w:rPr>
        <w:t>0.45</w:t>
      </w:r>
    </w:p>
    <w:p>
      <w:pPr>
        <w:ind w:left="1116"/>
        <w:spacing w:before="43" w:line="212" w:lineRule="exact"/>
        <w:rPr>
          <w:rFonts w:ascii="Trebuchet MS" w:hAnsi="Trebuchet MS" w:eastAsia="Trebuchet MS" w:cs="Trebuchet MS"/>
          <w:sz w:val="32"/>
          <w:szCs w:val="32"/>
        </w:rPr>
      </w:pPr>
      <w:r>
        <w:rPr>
          <w:rFonts w:ascii="Trebuchet MS" w:hAnsi="Trebuchet MS" w:eastAsia="Trebuchet MS" w:cs="Trebuchet MS"/>
          <w:sz w:val="32"/>
          <w:szCs w:val="32"/>
          <w:b/>
          <w:bCs/>
          <w:color w:val="00C0AE"/>
          <w:spacing w:val="-35"/>
          <w:w w:val="91"/>
          <w:position w:val="-6"/>
        </w:rPr>
        <w:t>0.39</w:t>
      </w:r>
    </w:p>
    <w:p>
      <w:pPr>
        <w:pStyle w:val="BodyText"/>
        <w:ind w:left="423"/>
        <w:spacing w:before="1" w:line="182" w:lineRule="auto"/>
        <w:rPr>
          <w:sz w:val="15"/>
          <w:szCs w:val="15"/>
        </w:rPr>
      </w:pPr>
      <w:r>
        <w:rPr>
          <w:sz w:val="15"/>
          <w:szCs w:val="15"/>
          <w:spacing w:val="2"/>
        </w:rPr>
        <w:t>0.40</w:t>
      </w:r>
    </w:p>
    <w:p>
      <w:pPr>
        <w:pStyle w:val="BodyText"/>
        <w:ind w:firstLine="1091"/>
        <w:spacing w:line="3048" w:lineRule="exact"/>
        <w:rPr/>
      </w:pPr>
      <w:r>
        <w:pict>
          <v:shape id="_x0000_s1068" style="position:absolute;margin-left:20.1552pt;margin-top:11.4628pt;mso-position-vertical-relative:text;mso-position-horizontal-relative:text;width:17.15pt;height:146.05pt;z-index:253134848;" filled="false" stroked="false" type="#_x0000_t202">
            <v:fill on="false"/>
            <v:stroke on="false"/>
            <v:path/>
            <v:imagedata o:title=""/>
            <o:lock v:ext="edit" aspectratio="false"/>
            <v:textbox inset="0mm,0mm,0mm,0mm">
              <w:txbxContent>
                <w:p>
                  <w:pPr>
                    <w:pStyle w:val="BodyText"/>
                    <w:ind w:left="20"/>
                    <w:spacing w:before="19" w:line="203" w:lineRule="auto"/>
                    <w:rPr>
                      <w:sz w:val="15"/>
                      <w:szCs w:val="15"/>
                    </w:rPr>
                  </w:pPr>
                  <w:r>
                    <w:rPr>
                      <w:sz w:val="15"/>
                      <w:szCs w:val="15"/>
                      <w:spacing w:val="2"/>
                    </w:rPr>
                    <w:t>0.35</w:t>
                  </w:r>
                </w:p>
                <w:p>
                  <w:pPr>
                    <w:pStyle w:val="BodyText"/>
                    <w:ind w:left="20"/>
                    <w:spacing w:before="244" w:line="203" w:lineRule="auto"/>
                    <w:rPr>
                      <w:sz w:val="15"/>
                      <w:szCs w:val="15"/>
                    </w:rPr>
                  </w:pPr>
                  <w:r>
                    <w:rPr>
                      <w:sz w:val="15"/>
                      <w:szCs w:val="15"/>
                      <w:spacing w:val="2"/>
                    </w:rPr>
                    <w:t>0.30</w:t>
                  </w:r>
                </w:p>
                <w:p>
                  <w:pPr>
                    <w:pStyle w:val="BodyText"/>
                    <w:ind w:left="20"/>
                    <w:spacing w:before="244" w:line="203" w:lineRule="auto"/>
                    <w:rPr>
                      <w:sz w:val="15"/>
                      <w:szCs w:val="15"/>
                    </w:rPr>
                  </w:pPr>
                  <w:r>
                    <w:rPr>
                      <w:sz w:val="15"/>
                      <w:szCs w:val="15"/>
                      <w:spacing w:val="2"/>
                    </w:rPr>
                    <w:t>0.25</w:t>
                  </w:r>
                </w:p>
                <w:p>
                  <w:pPr>
                    <w:pStyle w:val="BodyText"/>
                    <w:ind w:left="20"/>
                    <w:spacing w:before="245" w:line="203" w:lineRule="auto"/>
                    <w:rPr>
                      <w:sz w:val="15"/>
                      <w:szCs w:val="15"/>
                    </w:rPr>
                  </w:pPr>
                  <w:r>
                    <w:rPr>
                      <w:sz w:val="15"/>
                      <w:szCs w:val="15"/>
                      <w:spacing w:val="2"/>
                    </w:rPr>
                    <w:t>0.20</w:t>
                  </w:r>
                </w:p>
                <w:p>
                  <w:pPr>
                    <w:pStyle w:val="BodyText"/>
                    <w:ind w:left="20"/>
                    <w:spacing w:before="245" w:line="203" w:lineRule="auto"/>
                    <w:rPr>
                      <w:sz w:val="15"/>
                      <w:szCs w:val="15"/>
                    </w:rPr>
                  </w:pPr>
                  <w:r>
                    <w:rPr>
                      <w:sz w:val="15"/>
                      <w:szCs w:val="15"/>
                      <w:spacing w:val="2"/>
                    </w:rPr>
                    <w:t>0.15</w:t>
                  </w:r>
                </w:p>
                <w:p>
                  <w:pPr>
                    <w:pStyle w:val="BodyText"/>
                    <w:ind w:left="20"/>
                    <w:spacing w:before="245" w:line="203" w:lineRule="auto"/>
                    <w:rPr>
                      <w:sz w:val="15"/>
                      <w:szCs w:val="15"/>
                    </w:rPr>
                  </w:pPr>
                  <w:r>
                    <w:rPr>
                      <w:sz w:val="15"/>
                      <w:szCs w:val="15"/>
                      <w:spacing w:val="2"/>
                    </w:rPr>
                    <w:t>0.10</w:t>
                  </w:r>
                </w:p>
                <w:p>
                  <w:pPr>
                    <w:pStyle w:val="BodyText"/>
                    <w:ind w:left="20"/>
                    <w:spacing w:before="244" w:line="203" w:lineRule="auto"/>
                    <w:rPr>
                      <w:sz w:val="15"/>
                      <w:szCs w:val="15"/>
                    </w:rPr>
                  </w:pPr>
                  <w:r>
                    <w:rPr>
                      <w:sz w:val="15"/>
                      <w:szCs w:val="15"/>
                      <w:spacing w:val="2"/>
                    </w:rPr>
                    <w:t>0.05</w:t>
                  </w:r>
                </w:p>
                <w:p>
                  <w:pPr>
                    <w:pStyle w:val="BodyText"/>
                    <w:ind w:left="20"/>
                    <w:spacing w:before="245" w:line="203" w:lineRule="auto"/>
                    <w:rPr>
                      <w:sz w:val="15"/>
                      <w:szCs w:val="15"/>
                    </w:rPr>
                  </w:pPr>
                  <w:r>
                    <w:rPr>
                      <w:sz w:val="15"/>
                      <w:szCs w:val="15"/>
                      <w:spacing w:val="2"/>
                    </w:rPr>
                    <w:t>0.00</w:t>
                  </w:r>
                </w:p>
              </w:txbxContent>
            </v:textbox>
          </v:shape>
        </w:pict>
      </w:r>
      <w:r>
        <w:pict>
          <v:shape id="_x0000_s1070" style="position:absolute;margin-left:43.5281pt;margin-top:152.4pt;mso-position-vertical-relative:text;mso-position-horizontal-relative:text;width:454.6pt;height:2.65pt;z-index:253138944;" filled="false" strokecolor="#000000" strokeweight="0.50pt" coordsize="9092,53" coordorigin="0,0" path="m0,5l9086,5m907,5l907,52m1819,5l1819,52m2726,5l2726,52m3633,5l3633,52m4545,5l4545,52m5452,5l5452,52m6360,5l6360,52m7267,5l7267,52m8179,5l8179,52m9086,5l9086,52e">
            <v:stroke miterlimit="10"/>
          </v:shape>
        </w:pict>
      </w:r>
      <w:r>
        <w:rPr>
          <w:position w:val="-60"/>
        </w:rPr>
        <w:pict>
          <v:group id="_x0000_s1072" style="mso-position-vertical-relative:line;mso-position-horizontal-relative:char;width:431.8pt;height:152.4pt;" filled="false" stroked="false" coordsize="8635,3047" coordorigin="0,0">
            <v:shape id="_x0000_s1074" style="position:absolute;left:0;top:0;width:8635;height:3047;" filled="false" stroked="false" type="#_x0000_t75">
              <v:imagedata o:title="" r:id="rId273"/>
            </v:shape>
            <v:shape id="_x0000_s1076" style="position:absolute;left:913;top:26;width:7729;height:2295;" filled="false" stroked="false" type="#_x0000_t202">
              <v:fill on="false"/>
              <v:stroke on="false"/>
              <v:path/>
              <v:imagedata o:title=""/>
              <o:lock v:ext="edit" aspectratio="false"/>
              <v:textbox inset="0mm,0mm,0mm,0mm">
                <w:txbxContent>
                  <w:p>
                    <w:pPr>
                      <w:ind w:left="20"/>
                      <w:spacing w:before="20" w:line="189" w:lineRule="exact"/>
                      <w:rPr>
                        <w:rFonts w:ascii="Trebuchet MS" w:hAnsi="Trebuchet MS" w:eastAsia="Trebuchet MS" w:cs="Trebuchet MS"/>
                        <w:sz w:val="32"/>
                        <w:szCs w:val="32"/>
                      </w:rPr>
                    </w:pPr>
                    <w:r>
                      <w:rPr>
                        <w:rFonts w:ascii="Trebuchet MS" w:hAnsi="Trebuchet MS" w:eastAsia="Trebuchet MS" w:cs="Trebuchet MS"/>
                        <w:sz w:val="32"/>
                        <w:szCs w:val="32"/>
                        <w:b/>
                        <w:bCs/>
                        <w:color w:val="00C0AE"/>
                        <w:spacing w:val="-32"/>
                        <w:w w:val="89"/>
                        <w:position w:val="-8"/>
                      </w:rPr>
                      <w:t>0.34</w:t>
                    </w:r>
                  </w:p>
                  <w:p>
                    <w:pPr>
                      <w:ind w:left="1841"/>
                      <w:spacing w:line="201" w:lineRule="exact"/>
                      <w:rPr>
                        <w:rFonts w:ascii="Trebuchet MS" w:hAnsi="Trebuchet MS" w:eastAsia="Trebuchet MS" w:cs="Trebuchet MS"/>
                        <w:sz w:val="32"/>
                        <w:szCs w:val="32"/>
                      </w:rPr>
                    </w:pPr>
                    <w:r>
                      <w:rPr>
                        <w:rFonts w:ascii="Trebuchet MS" w:hAnsi="Trebuchet MS" w:eastAsia="Trebuchet MS" w:cs="Trebuchet MS"/>
                        <w:sz w:val="32"/>
                        <w:szCs w:val="32"/>
                        <w:b/>
                        <w:bCs/>
                        <w:color w:val="00C0AE"/>
                        <w:spacing w:val="-33"/>
                        <w:w w:val="90"/>
                        <w:position w:val="-7"/>
                      </w:rPr>
                      <w:t>0.32</w:t>
                    </w:r>
                  </w:p>
                  <w:p>
                    <w:pPr>
                      <w:ind w:left="2745"/>
                      <w:spacing w:before="1" w:line="184" w:lineRule="auto"/>
                      <w:rPr>
                        <w:rFonts w:ascii="Trebuchet MS" w:hAnsi="Trebuchet MS" w:eastAsia="Trebuchet MS" w:cs="Trebuchet MS"/>
                        <w:sz w:val="32"/>
                        <w:szCs w:val="32"/>
                      </w:rPr>
                    </w:pPr>
                    <w:r>
                      <w:rPr>
                        <w:rFonts w:ascii="Trebuchet MS" w:hAnsi="Trebuchet MS" w:eastAsia="Trebuchet MS" w:cs="Trebuchet MS"/>
                        <w:sz w:val="32"/>
                        <w:szCs w:val="32"/>
                        <w:b/>
                        <w:bCs/>
                        <w:color w:val="00C0AE"/>
                        <w:spacing w:val="-30"/>
                        <w:w w:val="87"/>
                      </w:rPr>
                      <w:t>0.29</w:t>
                    </w:r>
                  </w:p>
                  <w:p>
                    <w:pPr>
                      <w:ind w:left="3654"/>
                      <w:spacing w:before="104" w:line="190" w:lineRule="exact"/>
                      <w:rPr>
                        <w:rFonts w:ascii="Trebuchet MS" w:hAnsi="Trebuchet MS" w:eastAsia="Trebuchet MS" w:cs="Trebuchet MS"/>
                        <w:sz w:val="32"/>
                        <w:szCs w:val="32"/>
                      </w:rPr>
                    </w:pPr>
                    <w:r>
                      <w:rPr>
                        <w:rFonts w:ascii="Trebuchet MS" w:hAnsi="Trebuchet MS" w:eastAsia="Trebuchet MS" w:cs="Trebuchet MS"/>
                        <w:sz w:val="32"/>
                        <w:szCs w:val="32"/>
                        <w:b/>
                        <w:bCs/>
                        <w:color w:val="00C0AE"/>
                        <w:spacing w:val="-26"/>
                        <w:w w:val="85"/>
                        <w:position w:val="-8"/>
                      </w:rPr>
                      <w:t>0.24</w:t>
                    </w:r>
                  </w:p>
                  <w:p>
                    <w:pPr>
                      <w:ind w:left="4567"/>
                      <w:spacing w:line="163" w:lineRule="auto"/>
                      <w:rPr>
                        <w:rFonts w:ascii="Trebuchet MS" w:hAnsi="Trebuchet MS" w:eastAsia="Trebuchet MS" w:cs="Trebuchet MS"/>
                        <w:sz w:val="32"/>
                        <w:szCs w:val="32"/>
                      </w:rPr>
                    </w:pPr>
                    <w:r>
                      <w:rPr>
                        <w:rFonts w:ascii="Trebuchet MS" w:hAnsi="Trebuchet MS" w:eastAsia="Trebuchet MS" w:cs="Trebuchet MS"/>
                        <w:sz w:val="32"/>
                        <w:szCs w:val="32"/>
                        <w:b/>
                        <w:bCs/>
                        <w:color w:val="00C0AE"/>
                        <w:spacing w:val="-38"/>
                        <w:w w:val="93"/>
                      </w:rPr>
                      <w:t>0.22        0.22</w:t>
                    </w:r>
                  </w:p>
                  <w:p>
                    <w:pPr>
                      <w:ind w:left="6394"/>
                      <w:spacing w:before="182" w:line="185" w:lineRule="auto"/>
                      <w:rPr>
                        <w:rFonts w:ascii="Trebuchet MS" w:hAnsi="Trebuchet MS" w:eastAsia="Trebuchet MS" w:cs="Trebuchet MS"/>
                        <w:sz w:val="32"/>
                        <w:szCs w:val="32"/>
                      </w:rPr>
                    </w:pPr>
                    <w:r>
                      <w:rPr>
                        <w:rFonts w:ascii="Trebuchet MS" w:hAnsi="Trebuchet MS" w:eastAsia="Trebuchet MS" w:cs="Trebuchet MS"/>
                        <w:sz w:val="32"/>
                        <w:szCs w:val="32"/>
                        <w:b/>
                        <w:bCs/>
                        <w:color w:val="00C0AE"/>
                        <w:spacing w:val="-43"/>
                        <w:w w:val="90"/>
                      </w:rPr>
                      <w:t>0.16</w:t>
                    </w:r>
                  </w:p>
                  <w:p>
                    <w:pPr>
                      <w:spacing w:line="244" w:lineRule="auto"/>
                      <w:rPr>
                        <w:rFonts w:ascii="Arial"/>
                        <w:sz w:val="21"/>
                      </w:rPr>
                    </w:pPr>
                    <w:r/>
                  </w:p>
                  <w:p>
                    <w:pPr>
                      <w:spacing w:before="93" w:line="185" w:lineRule="auto"/>
                      <w:jc w:val="right"/>
                      <w:rPr>
                        <w:rFonts w:ascii="Trebuchet MS" w:hAnsi="Trebuchet MS" w:eastAsia="Trebuchet MS" w:cs="Trebuchet MS"/>
                        <w:sz w:val="32"/>
                        <w:szCs w:val="32"/>
                      </w:rPr>
                    </w:pPr>
                    <w:r>
                      <w:rPr>
                        <w:rFonts w:ascii="Trebuchet MS" w:hAnsi="Trebuchet MS" w:eastAsia="Trebuchet MS" w:cs="Trebuchet MS"/>
                        <w:sz w:val="32"/>
                        <w:szCs w:val="32"/>
                        <w:b/>
                        <w:bCs/>
                        <w:color w:val="00C0AE"/>
                        <w:spacing w:val="-28"/>
                        <w:w w:val="77"/>
                      </w:rPr>
                      <w:t>0.0</w:t>
                    </w:r>
                    <w:r>
                      <w:rPr>
                        <w:rFonts w:ascii="Trebuchet MS" w:hAnsi="Trebuchet MS" w:eastAsia="Trebuchet MS" w:cs="Trebuchet MS"/>
                        <w:sz w:val="32"/>
                        <w:szCs w:val="32"/>
                        <w:b/>
                        <w:bCs/>
                        <w:color w:val="00C0AE"/>
                        <w:spacing w:val="-20"/>
                        <w:w w:val="77"/>
                      </w:rPr>
                      <w:t>8</w:t>
                    </w:r>
                  </w:p>
                </w:txbxContent>
              </v:textbox>
            </v:shape>
            <v:shape id="_x0000_s1078" style="position:absolute;left:1822;top:104;width:452;height:262;" filled="false" stroked="false" type="#_x0000_t202">
              <v:fill on="false"/>
              <v:stroke on="false"/>
              <v:path/>
              <v:imagedata o:title=""/>
              <o:lock v:ext="edit" aspectratio="false"/>
              <v:textbox inset="0mm,0mm,0mm,0mm">
                <w:txbxContent>
                  <w:p>
                    <w:pPr>
                      <w:spacing w:before="19" w:line="185" w:lineRule="auto"/>
                      <w:jc w:val="right"/>
                      <w:rPr>
                        <w:rFonts w:ascii="Trebuchet MS" w:hAnsi="Trebuchet MS" w:eastAsia="Trebuchet MS" w:cs="Trebuchet MS"/>
                        <w:sz w:val="32"/>
                        <w:szCs w:val="32"/>
                      </w:rPr>
                    </w:pPr>
                    <w:r>
                      <w:rPr>
                        <w:rFonts w:ascii="Trebuchet MS" w:hAnsi="Trebuchet MS" w:eastAsia="Trebuchet MS" w:cs="Trebuchet MS"/>
                        <w:sz w:val="32"/>
                        <w:szCs w:val="32"/>
                        <w:b/>
                        <w:bCs/>
                        <w:color w:val="00C0AE"/>
                        <w:spacing w:val="-35"/>
                        <w:w w:val="79"/>
                      </w:rPr>
                      <w:t>0</w:t>
                    </w:r>
                    <w:r>
                      <w:rPr>
                        <w:rFonts w:ascii="Trebuchet MS" w:hAnsi="Trebuchet MS" w:eastAsia="Trebuchet MS" w:cs="Trebuchet MS"/>
                        <w:sz w:val="32"/>
                        <w:szCs w:val="32"/>
                        <w:b/>
                        <w:bCs/>
                        <w:color w:val="00C0AE"/>
                        <w:spacing w:val="-34"/>
                        <w:w w:val="79"/>
                      </w:rPr>
                      <w:t>.3</w:t>
                    </w:r>
                    <w:r>
                      <w:rPr>
                        <w:rFonts w:ascii="Trebuchet MS" w:hAnsi="Trebuchet MS" w:eastAsia="Trebuchet MS" w:cs="Trebuchet MS"/>
                        <w:sz w:val="32"/>
                        <w:szCs w:val="32"/>
                        <w:b/>
                        <w:bCs/>
                        <w:color w:val="00C0AE"/>
                        <w:spacing w:val="-25"/>
                        <w:w w:val="79"/>
                      </w:rPr>
                      <w:t>3</w:t>
                    </w:r>
                  </w:p>
                </w:txbxContent>
              </v:textbox>
            </v:shape>
          </v:group>
        </w:pict>
      </w:r>
    </w:p>
    <w:p>
      <w:pPr>
        <w:ind w:left="1160"/>
        <w:spacing w:before="124" w:line="230" w:lineRule="auto"/>
        <w:rPr>
          <w:rFonts w:ascii="PMingLiU" w:hAnsi="PMingLiU" w:eastAsia="PMingLiU" w:cs="PMingLiU"/>
          <w:sz w:val="15"/>
          <w:szCs w:val="15"/>
        </w:rPr>
      </w:pPr>
      <w:r>
        <w:rPr>
          <w:rFonts w:ascii="PMingLiU" w:hAnsi="PMingLiU" w:eastAsia="PMingLiU" w:cs="PMingLiU"/>
          <w:sz w:val="15"/>
          <w:szCs w:val="15"/>
          <w:spacing w:val="3"/>
        </w:rPr>
        <w:t>丹麦              德国    </w:t>
      </w:r>
      <w:r>
        <w:rPr>
          <w:rFonts w:ascii="PMingLiU" w:hAnsi="PMingLiU" w:eastAsia="PMingLiU" w:cs="PMingLiU"/>
          <w:sz w:val="15"/>
          <w:szCs w:val="15"/>
          <w:spacing w:val="2"/>
        </w:rPr>
        <w:t xml:space="preserve">           英国             西班牙           爱尔兰           意大利        澳大利亚            日本               美国               中国</w:t>
      </w:r>
    </w:p>
    <w:p>
      <w:pPr>
        <w:ind w:left="345"/>
        <w:spacing w:before="234" w:line="197"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5"/>
        </w:rPr>
        <w:t>数据来源： </w:t>
      </w:r>
      <w:r>
        <w:rPr>
          <w:rFonts w:ascii="Microsoft YaHei" w:hAnsi="Microsoft YaHei" w:eastAsia="Microsoft YaHei" w:cs="Microsoft YaHei"/>
          <w:sz w:val="15"/>
          <w:szCs w:val="15"/>
        </w:rPr>
        <w:t>Global</w:t>
      </w:r>
      <w:r>
        <w:rPr>
          <w:rFonts w:ascii="Microsoft YaHei" w:hAnsi="Microsoft YaHei" w:eastAsia="Microsoft YaHei" w:cs="Microsoft YaHei"/>
          <w:sz w:val="15"/>
          <w:szCs w:val="15"/>
          <w:spacing w:val="26"/>
        </w:rPr>
        <w:t xml:space="preserve"> </w:t>
      </w:r>
      <w:r>
        <w:rPr>
          <w:rFonts w:ascii="Microsoft YaHei" w:hAnsi="Microsoft YaHei" w:eastAsia="Microsoft YaHei" w:cs="Microsoft YaHei"/>
          <w:sz w:val="15"/>
          <w:szCs w:val="15"/>
        </w:rPr>
        <w:t>Petrol</w:t>
      </w:r>
      <w:r>
        <w:rPr>
          <w:rFonts w:ascii="Microsoft YaHei" w:hAnsi="Microsoft YaHei" w:eastAsia="Microsoft YaHei" w:cs="Microsoft YaHei"/>
          <w:sz w:val="15"/>
          <w:szCs w:val="15"/>
          <w:spacing w:val="5"/>
        </w:rPr>
        <w:t xml:space="preserve"> </w:t>
      </w:r>
      <w:r>
        <w:rPr>
          <w:rFonts w:ascii="Microsoft YaHei" w:hAnsi="Microsoft YaHei" w:eastAsia="Microsoft YaHei" w:cs="Microsoft YaHei"/>
          <w:sz w:val="15"/>
          <w:szCs w:val="15"/>
        </w:rPr>
        <w:t>Prices</w:t>
      </w:r>
      <w:r>
        <w:rPr>
          <w:rFonts w:ascii="Microsoft YaHei" w:hAnsi="Microsoft YaHei" w:eastAsia="Microsoft YaHei" w:cs="Microsoft YaHei"/>
          <w:sz w:val="15"/>
          <w:szCs w:val="15"/>
          <w:spacing w:val="5"/>
        </w:rPr>
        <w:t>, </w:t>
      </w:r>
      <w:r>
        <w:rPr>
          <w:rFonts w:ascii="Microsoft YaHei" w:hAnsi="Microsoft YaHei" w:eastAsia="Microsoft YaHei" w:cs="Microsoft YaHei"/>
          <w:sz w:val="15"/>
          <w:szCs w:val="15"/>
        </w:rPr>
        <w:t>Statista</w:t>
      </w:r>
      <w:r>
        <w:rPr>
          <w:rFonts w:ascii="Microsoft YaHei" w:hAnsi="Microsoft YaHei" w:eastAsia="Microsoft YaHei" w:cs="Microsoft YaHei"/>
          <w:sz w:val="15"/>
          <w:szCs w:val="15"/>
          <w:spacing w:val="5"/>
        </w:rPr>
        <w:t>,</w:t>
      </w:r>
      <w:r>
        <w:rPr>
          <w:rFonts w:ascii="Microsoft YaHei" w:hAnsi="Microsoft YaHei" w:eastAsia="Microsoft YaHei" w:cs="Microsoft YaHei"/>
          <w:sz w:val="15"/>
          <w:szCs w:val="15"/>
          <w:spacing w:val="16"/>
          <w:w w:val="101"/>
        </w:rPr>
        <w:t xml:space="preserve"> </w:t>
      </w:r>
      <w:r>
        <w:rPr>
          <w:rFonts w:ascii="Microsoft YaHei" w:hAnsi="Microsoft YaHei" w:eastAsia="Microsoft YaHei" w:cs="Microsoft YaHei"/>
          <w:sz w:val="15"/>
          <w:szCs w:val="15"/>
          <w:spacing w:val="5"/>
        </w:rPr>
        <w:t>毕马威分析</w:t>
      </w:r>
    </w:p>
    <w:p>
      <w:pPr>
        <w:pStyle w:val="BodyText"/>
        <w:spacing w:line="342" w:lineRule="auto"/>
        <w:rPr/>
      </w:pPr>
      <w:r/>
    </w:p>
    <w:p>
      <w:pPr>
        <w:pStyle w:val="BodyText"/>
        <w:spacing w:line="342" w:lineRule="auto"/>
        <w:rPr/>
      </w:pPr>
      <w:r/>
    </w:p>
    <w:p>
      <w:pPr>
        <w:ind w:firstLine="337"/>
        <w:spacing w:line="432" w:lineRule="exact"/>
        <w:rPr/>
      </w:pPr>
      <w:r>
        <w:rPr>
          <w:position w:val="-8"/>
        </w:rPr>
        <w:pict>
          <v:shape id="_x0000_s1080" style="mso-position-vertical-relative:line;mso-position-horizontal-relative:char;width:397pt;height:21.65pt;" fillcolor="#F1F1F1" filled="true" stroked="false" type="#_x0000_t202">
            <v:fill on="true"/>
            <v:stroke on="false"/>
            <v:path/>
            <v:imagedata o:title=""/>
            <o:lock v:ext="edit" aspectratio="false"/>
            <v:textbox inset="0mm,0mm,0mm,0mm">
              <w:txbxContent>
                <w:p>
                  <w:pPr>
                    <w:ind w:left="119"/>
                    <w:spacing w:before="123" w:line="176"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00C0AE"/>
                      <w:spacing w:val="-2"/>
                    </w:rPr>
                    <w:t>持续增长的光伏渗透率和装机成本的下降催生未来市场规模。</w:t>
                  </w:r>
                </w:p>
              </w:txbxContent>
            </v:textbox>
          </v:shape>
        </w:pict>
      </w:r>
    </w:p>
    <w:p>
      <w:pPr>
        <w:ind w:left="347" w:right="2998" w:firstLine="7"/>
        <w:spacing w:before="234" w:line="21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欧美国家由于城市化进程较高</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，住房以独立或半独立住宅</w:t>
      </w:r>
      <w:r>
        <w:rPr>
          <w:rFonts w:ascii="Microsoft YaHei" w:hAnsi="Microsoft YaHei" w:eastAsia="Microsoft YaHei" w:cs="Microsoft YaHei"/>
          <w:sz w:val="21"/>
          <w:szCs w:val="21"/>
          <w:spacing w:val="1"/>
        </w:rPr>
        <w:t>为主</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1"/>
        </w:rPr>
        <w:t>，适合发展户用光伏。</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与此同时</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，由于能源转型步伐加快</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2"/>
        </w:rPr>
        <w:t>，各国也纷纷出台政策鼓励户用光伏自发自</w:t>
      </w:r>
      <w:r>
        <w:rPr>
          <w:rFonts w:ascii="Microsoft YaHei" w:hAnsi="Microsoft YaHei" w:eastAsia="Microsoft YaHei" w:cs="Microsoft YaHei"/>
          <w:sz w:val="21"/>
          <w:szCs w:val="21"/>
          <w:spacing w:val="1"/>
        </w:rPr>
        <w:t>用。</w:t>
      </w:r>
      <w:r>
        <w:rPr>
          <w:rFonts w:ascii="Microsoft YaHei" w:hAnsi="Microsoft YaHei" w:eastAsia="Microsoft YaHei" w:cs="Microsoft YaHei"/>
          <w:sz w:val="21"/>
          <w:szCs w:val="21"/>
          <w:spacing w:val="-30"/>
        </w:rPr>
        <w:t xml:space="preserve"> </w:t>
      </w:r>
      <w:r>
        <w:rPr>
          <w:rFonts w:ascii="Microsoft YaHei" w:hAnsi="Microsoft YaHei" w:eastAsia="Microsoft YaHei" w:cs="Microsoft YaHei"/>
          <w:sz w:val="21"/>
          <w:szCs w:val="21"/>
          <w:spacing w:val="1"/>
        </w:rPr>
        <w:t>以</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欧洲为例，</w:t>
      </w:r>
      <w:r>
        <w:rPr>
          <w:rFonts w:ascii="Microsoft YaHei" w:hAnsi="Microsoft YaHei" w:eastAsia="Microsoft YaHei" w:cs="Microsoft YaHei"/>
          <w:sz w:val="21"/>
          <w:szCs w:val="21"/>
          <w:spacing w:val="-27"/>
        </w:rPr>
        <w:t xml:space="preserve"> </w:t>
      </w:r>
      <w:r>
        <w:rPr>
          <w:rFonts w:ascii="Microsoft YaHei" w:hAnsi="Microsoft YaHei" w:eastAsia="Microsoft YaHei" w:cs="Microsoft YaHei"/>
          <w:sz w:val="21"/>
          <w:szCs w:val="21"/>
          <w:spacing w:val="-1"/>
        </w:rPr>
        <w:t>其光伏发电推行净计量（Net  metering）</w:t>
      </w:r>
      <w:r>
        <w:rPr>
          <w:rFonts w:ascii="Microsoft YaHei" w:hAnsi="Microsoft YaHei" w:eastAsia="Microsoft YaHei" w:cs="Microsoft YaHei"/>
          <w:sz w:val="21"/>
          <w:szCs w:val="21"/>
          <w:spacing w:val="-40"/>
        </w:rPr>
        <w:t xml:space="preserve"> </w:t>
      </w:r>
      <w:r>
        <w:rPr>
          <w:rFonts w:ascii="Microsoft YaHei" w:hAnsi="Microsoft YaHei" w:eastAsia="Microsoft YaHei" w:cs="Microsoft YaHei"/>
          <w:sz w:val="21"/>
          <w:szCs w:val="21"/>
          <w:spacing w:val="-1"/>
        </w:rPr>
        <w:t>政策，拥有可再生能源发电设施</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的消费者可以根据向电网输送的电量</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，从自己的电费</w:t>
      </w:r>
      <w:r>
        <w:rPr>
          <w:rFonts w:ascii="Microsoft YaHei" w:hAnsi="Microsoft YaHei" w:eastAsia="Microsoft YaHei" w:cs="Microsoft YaHei"/>
          <w:sz w:val="21"/>
          <w:szCs w:val="21"/>
          <w:spacing w:val="2"/>
        </w:rPr>
        <w:t>账单中扣除一部分</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，只计算净消</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费，这一政策大大提高了分布式光伏自发自用余电上网的经济性。2021年欧盟27国户</w:t>
      </w:r>
      <w:r>
        <w:rPr>
          <w:rFonts w:ascii="Microsoft YaHei" w:hAnsi="Microsoft YaHei" w:eastAsia="Microsoft YaHei" w:cs="Microsoft YaHei"/>
          <w:sz w:val="21"/>
          <w:szCs w:val="21"/>
          <w:spacing w:val="11"/>
        </w:rPr>
        <w:t xml:space="preserve"> </w:t>
      </w:r>
      <w:r>
        <w:rPr>
          <w:rFonts w:ascii="Microsoft YaHei" w:hAnsi="Microsoft YaHei" w:eastAsia="Microsoft YaHei" w:cs="Microsoft YaHei"/>
          <w:sz w:val="21"/>
          <w:szCs w:val="21"/>
          <w:spacing w:val="-2"/>
        </w:rPr>
        <w:t>均家庭光伏装机量为355.3瓦/户，与2019年相比激增40%（</w:t>
      </w:r>
      <w:r>
        <w:rPr>
          <w:rFonts w:ascii="Microsoft YaHei" w:hAnsi="Microsoft YaHei" w:eastAsia="Microsoft YaHei" w:cs="Microsoft YaHei"/>
          <w:sz w:val="21"/>
          <w:szCs w:val="21"/>
          <w:spacing w:val="-3"/>
        </w:rPr>
        <w:t>图</w:t>
      </w:r>
      <w:r>
        <w:rPr>
          <w:rFonts w:ascii="Microsoft YaHei" w:hAnsi="Microsoft YaHei" w:eastAsia="Microsoft YaHei" w:cs="Microsoft YaHei"/>
          <w:sz w:val="21"/>
          <w:szCs w:val="21"/>
          <w:spacing w:val="18"/>
        </w:rPr>
        <w:t xml:space="preserve"> </w:t>
      </w:r>
      <w:r>
        <w:rPr>
          <w:rFonts w:ascii="Microsoft YaHei" w:hAnsi="Microsoft YaHei" w:eastAsia="Microsoft YaHei" w:cs="Microsoft YaHei"/>
          <w:sz w:val="21"/>
          <w:szCs w:val="21"/>
          <w:spacing w:val="-3"/>
        </w:rPr>
        <w:t>20）。 从渗透率来看，</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9"/>
        </w:rPr>
        <w:t>目前澳大利亚、美国、德国、</w:t>
      </w:r>
      <w:r>
        <w:rPr>
          <w:rFonts w:ascii="Microsoft YaHei" w:hAnsi="Microsoft YaHei" w:eastAsia="Microsoft YaHei" w:cs="Microsoft YaHei"/>
          <w:sz w:val="21"/>
          <w:szCs w:val="21"/>
          <w:spacing w:val="-17"/>
        </w:rPr>
        <w:t xml:space="preserve"> </w:t>
      </w:r>
      <w:r>
        <w:rPr>
          <w:rFonts w:ascii="Microsoft YaHei" w:hAnsi="Microsoft YaHei" w:eastAsia="Microsoft YaHei" w:cs="Microsoft YaHei"/>
          <w:sz w:val="21"/>
          <w:szCs w:val="21"/>
          <w:spacing w:val="9"/>
        </w:rPr>
        <w:t>日本的户用光伏装机容量占总光伏装机的比例分别为</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66.5%、25.3%、 34.4%、29.5%，为中国的十倍以上，具备良好的户储基础。</w:t>
      </w:r>
    </w:p>
    <w:p>
      <w:pPr>
        <w:pStyle w:val="BodyText"/>
        <w:spacing w:line="264" w:lineRule="auto"/>
        <w:rPr/>
      </w:pPr>
      <w:r/>
    </w:p>
    <w:p>
      <w:pPr>
        <w:pStyle w:val="BodyText"/>
        <w:spacing w:line="264" w:lineRule="auto"/>
        <w:rPr/>
      </w:pPr>
      <w:r/>
    </w:p>
    <w:p>
      <w:pPr>
        <w:pStyle w:val="BodyText"/>
        <w:spacing w:line="265" w:lineRule="auto"/>
        <w:rPr/>
      </w:pPr>
      <w:r>
        <w:pict>
          <v:shape id="_x0000_s1082" style="position:absolute;margin-left:17.1281pt;margin-top:5.17614pt;mso-position-vertical-relative:text;mso-position-horizontal-relative:text;width:81.3pt;height:0.5pt;z-index:253137920;" filled="false" strokecolor="#000000" strokeweight="0.50pt" coordsize="1626,10" coordorigin="0,0" path="m0,5l1625,5e">
            <v:stroke joinstyle="miter"/>
          </v:shape>
        </w:pict>
      </w:r>
      <w:r/>
    </w:p>
    <w:p>
      <w:pPr>
        <w:ind w:left="344"/>
        <w:spacing w:before="57" w:line="195"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5"/>
          <w:position w:val="4"/>
        </w:rPr>
        <w:t>60</w:t>
      </w:r>
      <w:r>
        <w:rPr>
          <w:rFonts w:ascii="Microsoft YaHei" w:hAnsi="Microsoft YaHei" w:eastAsia="Microsoft YaHei" w:cs="Microsoft YaHei"/>
          <w:sz w:val="9"/>
          <w:szCs w:val="9"/>
          <w:spacing w:val="20"/>
          <w:w w:val="101"/>
          <w:position w:val="4"/>
        </w:rPr>
        <w:t xml:space="preserve"> </w:t>
      </w:r>
      <w:r>
        <w:rPr>
          <w:rFonts w:ascii="Microsoft YaHei" w:hAnsi="Microsoft YaHei" w:eastAsia="Microsoft YaHei" w:cs="Microsoft YaHei"/>
          <w:sz w:val="13"/>
          <w:szCs w:val="13"/>
          <w:spacing w:val="5"/>
        </w:rPr>
        <w:t>欧洲电价高企 各国频出应对之策，中国电力报，</w:t>
      </w:r>
      <w:r>
        <w:rPr>
          <w:rFonts w:ascii="Microsoft YaHei" w:hAnsi="Microsoft YaHei" w:eastAsia="Microsoft YaHei" w:cs="Microsoft YaHei"/>
          <w:sz w:val="13"/>
          <w:szCs w:val="13"/>
          <w:spacing w:val="4"/>
        </w:rPr>
        <w:t xml:space="preserve">  2022年9月20日，  </w:t>
      </w:r>
      <w:hyperlink w:history="true" r:id="rId274">
        <w:r>
          <w:rPr>
            <w:rFonts w:ascii="Microsoft YaHei" w:hAnsi="Microsoft YaHei" w:eastAsia="Microsoft YaHei" w:cs="Microsoft YaHei"/>
            <w:sz w:val="13"/>
            <w:szCs w:val="13"/>
          </w:rPr>
          <w:t>https</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www</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cpnn</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com</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cn</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news</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gj</w:t>
        </w:r>
        <w:r>
          <w:rPr>
            <w:rFonts w:ascii="Microsoft YaHei" w:hAnsi="Microsoft YaHei" w:eastAsia="Microsoft YaHei" w:cs="Microsoft YaHei"/>
            <w:sz w:val="13"/>
            <w:szCs w:val="13"/>
            <w:spacing w:val="4"/>
          </w:rPr>
          <w:t>/202209/t20220920</w:t>
        </w:r>
      </w:hyperlink>
      <w:r>
        <w:rPr>
          <w:rFonts w:ascii="Microsoft YaHei" w:hAnsi="Microsoft YaHei" w:eastAsia="Microsoft YaHei" w:cs="Microsoft YaHei"/>
          <w:sz w:val="13"/>
          <w:szCs w:val="13"/>
          <w:spacing w:val="4"/>
        </w:rPr>
        <w:t>_1553638.</w:t>
      </w:r>
      <w:r>
        <w:rPr>
          <w:rFonts w:ascii="Microsoft YaHei" w:hAnsi="Microsoft YaHei" w:eastAsia="Microsoft YaHei" w:cs="Microsoft YaHei"/>
          <w:sz w:val="13"/>
          <w:szCs w:val="13"/>
        </w:rPr>
        <w:t>html</w:t>
      </w:r>
    </w:p>
    <w:p>
      <w:pPr>
        <w:ind w:left="842" w:right="1241" w:hanging="411"/>
        <w:spacing w:before="230"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963" w:header="0" w:footer="0" w:gutter="0"/>
        </w:sectPr>
        <w:rPr>
          <w:rFonts w:ascii="Microsoft YaHei" w:hAnsi="Microsoft YaHei" w:eastAsia="Microsoft YaHei" w:cs="Microsoft YaHei"/>
          <w:sz w:val="11"/>
          <w:szCs w:val="11"/>
        </w:rPr>
      </w:pPr>
    </w:p>
    <w:p>
      <w:pPr>
        <w:ind w:left="8060"/>
        <w:spacing w:before="314" w:line="193"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A8A8A8"/>
        </w:rPr>
        <w:t>新型储能助力能源转型</w:t>
      </w:r>
      <w:r>
        <w:rPr>
          <w:rFonts w:ascii="Microsoft YaHei" w:hAnsi="Microsoft YaHei" w:eastAsia="Microsoft YaHei" w:cs="Microsoft YaHei"/>
          <w:sz w:val="18"/>
          <w:szCs w:val="18"/>
          <w:color w:val="A8A8A8"/>
          <w:spacing w:val="20"/>
        </w:rPr>
        <w:t xml:space="preserve">  </w:t>
      </w:r>
      <w:r>
        <w:rPr>
          <w:sz w:val="18"/>
          <w:szCs w:val="18"/>
          <w:position w:val="-4"/>
        </w:rPr>
        <w:drawing>
          <wp:inline distT="0" distB="0" distL="0" distR="0">
            <wp:extent cx="6350" cy="130175"/>
            <wp:effectExtent l="0" t="0" r="0" b="0"/>
            <wp:docPr id="566" name="IM 566"/>
            <wp:cNvGraphicFramePr/>
            <a:graphic>
              <a:graphicData uri="http://schemas.openxmlformats.org/drawingml/2006/picture">
                <pic:pic>
                  <pic:nvPicPr>
                    <pic:cNvPr id="566" name="IM 566"/>
                    <pic:cNvPicPr/>
                  </pic:nvPicPr>
                  <pic:blipFill>
                    <a:blip r:embed="rId275"/>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spacing w:val="15"/>
          <w:w w:val="101"/>
        </w:rPr>
        <w:t xml:space="preserve">  </w:t>
      </w:r>
      <w:r>
        <w:rPr>
          <w:rFonts w:ascii="Microsoft YaHei" w:hAnsi="Microsoft YaHei" w:eastAsia="Microsoft YaHei" w:cs="Microsoft YaHei"/>
          <w:sz w:val="18"/>
          <w:szCs w:val="18"/>
          <w:b/>
          <w:bCs/>
          <w:color w:val="A8A8A8"/>
        </w:rPr>
        <w:t>56</w:t>
      </w:r>
    </w:p>
    <w:p>
      <w:pPr>
        <w:pStyle w:val="BodyText"/>
        <w:spacing w:line="281" w:lineRule="auto"/>
        <w:rPr/>
      </w:pPr>
      <w:r/>
    </w:p>
    <w:p>
      <w:pPr>
        <w:pStyle w:val="BodyText"/>
        <w:spacing w:line="281" w:lineRule="auto"/>
        <w:rPr/>
      </w:pPr>
      <w:r/>
    </w:p>
    <w:p>
      <w:pPr>
        <w:pStyle w:val="BodyText"/>
        <w:spacing w:line="282" w:lineRule="auto"/>
        <w:rPr/>
      </w:pPr>
      <w:r/>
    </w:p>
    <w:p>
      <w:pPr>
        <w:pStyle w:val="BodyText"/>
        <w:spacing w:line="282" w:lineRule="auto"/>
        <w:rPr/>
      </w:pPr>
      <w:r>
        <w:pict>
          <v:rect id="_x0000_s1084" style="position:absolute;margin-left:19.3953pt;margin-top:7.6073pt;mso-position-vertical-relative:text;mso-position-horizontal-relative:text;width:30.5pt;height:5pt;z-index:253185024;" fillcolor="#00C0AE" filled="true" stroked="false"/>
        </w:pict>
      </w:r>
      <w:r/>
    </w:p>
    <w:p>
      <w:pPr>
        <w:ind w:left="1312"/>
        <w:spacing w:before="90" w:line="180" w:lineRule="auto"/>
        <w:rPr>
          <w:rFonts w:ascii="Microsoft YaHei" w:hAnsi="Microsoft YaHei" w:eastAsia="Microsoft YaHei" w:cs="Microsoft YaHei"/>
          <w:sz w:val="21"/>
          <w:szCs w:val="21"/>
        </w:rPr>
      </w:pPr>
      <w:r>
        <mc:AlternateContent xmlns:mc="http://schemas.openxmlformats.org/markup-compatibility/2006">
          <mc:Choice Requires="wps">
            <w:drawing>
              <wp:anchor distT="0" distB="0" distL="0" distR="0" simplePos="0" relativeHeight="253172736" behindDoc="1" locked="0" layoutInCell="1" allowOverlap="1">
                <wp:simplePos x="0" y="0"/>
                <wp:positionH relativeFrom="column">
                  <wp:posOffset>244796</wp:posOffset>
                </wp:positionH>
                <wp:positionV relativeFrom="paragraph">
                  <wp:posOffset>-41143</wp:posOffset>
                </wp:positionV>
                <wp:extent cx="6123940" cy="329565"/>
                <wp:effectExtent l="0" t="0" r="0" b="0"/>
                <wp:wrapNone/>
                <wp:docPr id="568" name="Rect 568"/>
                <wp:cNvGraphicFramePr/>
                <a:graphic>
                  <a:graphicData uri="http://schemas.microsoft.com/office/word/2010/wordprocessingShape">
                    <wps:wsp>
                      <wps:cNvPr id="568" name="Rect 568"/>
                      <wps:cNvSpPr/>
                      <wps:spPr>
                        <a:xfrm>
                          <a:off x="244796" y="-41143"/>
                          <a:ext cx="6123940" cy="329565"/>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086" style="position:absolute;margin-left:19.2753pt;margin-top:-3.23965pt;mso-position-vertical-relative:text;mso-position-horizontal-relative:text;width:482.2pt;height:25.95pt;z-index:-250143744;" fillcolor="#F1F1F1" filled="true" stroked="false"/>
            </w:pict>
          </mc:Fallback>
        </mc:AlternateContent>
      </w:r>
      <w:r>
        <w:pict>
          <v:shape id="_x0000_s1088" style="position:absolute;margin-left:26.2843pt;margin-top:1.76042pt;mso-position-vertical-relative:text;mso-position-horizontal-relative:text;width:31.5pt;height:18.2pt;z-index:253181952;" filled="false" stroked="false" type="#_x0000_t202">
            <v:fill on="false"/>
            <v:stroke on="false"/>
            <v:path/>
            <v:imagedata o:title=""/>
            <o:lock v:ext="edit" aspectratio="false"/>
            <v:textbox inset="0mm,0mm,0mm,0mm">
              <w:txbxContent>
                <w:p>
                  <w:pPr>
                    <w:ind w:left="20"/>
                    <w:spacing w:before="20" w:line="215" w:lineRule="auto"/>
                    <w:rPr>
                      <w:sz w:val="21"/>
                      <w:szCs w:val="21"/>
                    </w:rPr>
                  </w:pPr>
                  <w:r>
                    <w:rPr>
                      <w:rFonts w:ascii="Microsoft YaHei" w:hAnsi="Microsoft YaHei" w:eastAsia="Microsoft YaHei" w:cs="Microsoft YaHei"/>
                      <w:sz w:val="21"/>
                      <w:szCs w:val="21"/>
                      <w:b/>
                      <w:bCs/>
                      <w:color w:val="00C0AE"/>
                      <w:spacing w:val="-11"/>
                    </w:rPr>
                    <w:t>图</w:t>
                  </w:r>
                  <w:r>
                    <w:rPr>
                      <w:rFonts w:ascii="Microsoft YaHei" w:hAnsi="Microsoft YaHei" w:eastAsia="Microsoft YaHei" w:cs="Microsoft YaHei"/>
                      <w:sz w:val="21"/>
                      <w:szCs w:val="21"/>
                      <w:b/>
                      <w:bCs/>
                      <w:color w:val="00C0AE"/>
                      <w:spacing w:val="-7"/>
                    </w:rPr>
                    <w:t xml:space="preserve"> </w:t>
                  </w:r>
                  <w:r>
                    <w:rPr>
                      <w:rFonts w:ascii="Microsoft YaHei" w:hAnsi="Microsoft YaHei" w:eastAsia="Microsoft YaHei" w:cs="Microsoft YaHei"/>
                      <w:sz w:val="21"/>
                      <w:szCs w:val="21"/>
                      <w:b/>
                      <w:bCs/>
                      <w:color w:val="00C0AE"/>
                      <w:spacing w:val="-11"/>
                    </w:rPr>
                    <w:t>20</w:t>
                  </w:r>
                  <w:r>
                    <w:rPr>
                      <w:rFonts w:ascii="Microsoft YaHei" w:hAnsi="Microsoft YaHei" w:eastAsia="Microsoft YaHei" w:cs="Microsoft YaHei"/>
                      <w:sz w:val="21"/>
                      <w:szCs w:val="21"/>
                      <w:b/>
                      <w:bCs/>
                      <w:color w:val="00C0AE"/>
                      <w:spacing w:val="13"/>
                    </w:rPr>
                    <w:t xml:space="preserve"> </w:t>
                  </w:r>
                  <w:r>
                    <w:rPr>
                      <w:sz w:val="21"/>
                      <w:szCs w:val="21"/>
                      <w:position w:val="-5"/>
                    </w:rPr>
                    <w:drawing>
                      <wp:inline distT="0" distB="0" distL="0" distR="0">
                        <wp:extent cx="12700" cy="175666"/>
                        <wp:effectExtent l="0" t="0" r="0" b="0"/>
                        <wp:docPr id="570" name="IM 570"/>
                        <wp:cNvGraphicFramePr/>
                        <a:graphic>
                          <a:graphicData uri="http://schemas.openxmlformats.org/drawingml/2006/picture">
                            <pic:pic>
                              <pic:nvPicPr>
                                <pic:cNvPr id="570" name="IM 570"/>
                                <pic:cNvPicPr/>
                              </pic:nvPicPr>
                              <pic:blipFill>
                                <a:blip r:embed="rId276"/>
                                <a:stretch>
                                  <a:fillRect/>
                                </a:stretch>
                              </pic:blipFill>
                              <pic:spPr>
                                <a:xfrm rot="0">
                                  <a:off x="0" y="0"/>
                                  <a:ext cx="12700" cy="175666"/>
                                </a:xfrm>
                                <a:prstGeom prst="rect">
                                  <a:avLst/>
                                </a:prstGeom>
                              </pic:spPr>
                            </pic:pic>
                          </a:graphicData>
                        </a:graphic>
                      </wp:inline>
                    </w:drawing>
                  </w:r>
                </w:p>
              </w:txbxContent>
            </v:textbox>
          </v:shape>
        </w:pict>
      </w:r>
      <w:r>
        <w:rPr>
          <w:rFonts w:ascii="Microsoft YaHei" w:hAnsi="Microsoft YaHei" w:eastAsia="Microsoft YaHei" w:cs="Microsoft YaHei"/>
          <w:sz w:val="21"/>
          <w:szCs w:val="21"/>
          <w:b/>
          <w:bCs/>
          <w:color w:val="00C0AE"/>
          <w:spacing w:val="-1"/>
        </w:rPr>
        <w:t>欧盟27国人均家庭光伏装机量</w:t>
      </w:r>
    </w:p>
    <w:p>
      <w:pPr>
        <w:spacing w:before="185"/>
        <w:rPr/>
      </w:pPr>
      <w:r/>
    </w:p>
    <w:p>
      <w:pPr>
        <w:sectPr>
          <w:pgSz w:w="12245" w:h="17180"/>
          <w:pgMar w:top="400" w:right="0" w:bottom="0" w:left="915" w:header="0" w:footer="0" w:gutter="0"/>
          <w:cols w:equalWidth="0" w:num="1">
            <w:col w:w="11330" w:space="0"/>
          </w:cols>
        </w:sectPr>
        <w:rPr/>
      </w:pPr>
    </w:p>
    <w:p>
      <w:pPr>
        <w:pStyle w:val="BodyText"/>
        <w:spacing w:before="2" w:line="196" w:lineRule="auto"/>
        <w:jc w:val="right"/>
        <w:rPr>
          <w:sz w:val="18"/>
          <w:szCs w:val="18"/>
        </w:rPr>
      </w:pPr>
      <w:r>
        <w:rPr>
          <w:sz w:val="18"/>
          <w:szCs w:val="18"/>
        </w:rPr>
        <w:t>400</w:t>
      </w:r>
    </w:p>
    <w:p>
      <w:pPr>
        <w:pStyle w:val="BodyText"/>
        <w:spacing w:before="250" w:line="196" w:lineRule="auto"/>
        <w:jc w:val="right"/>
        <w:rPr>
          <w:sz w:val="18"/>
          <w:szCs w:val="18"/>
        </w:rPr>
      </w:pPr>
      <w:r>
        <w:rPr>
          <w:sz w:val="18"/>
          <w:szCs w:val="18"/>
          <w:spacing w:val="-2"/>
        </w:rPr>
        <w:t>350</w:t>
      </w:r>
    </w:p>
    <w:p>
      <w:pPr>
        <w:pStyle w:val="BodyText"/>
        <w:spacing w:before="251" w:line="196" w:lineRule="auto"/>
        <w:jc w:val="right"/>
        <w:rPr>
          <w:sz w:val="18"/>
          <w:szCs w:val="18"/>
        </w:rPr>
      </w:pPr>
      <w:r>
        <w:rPr>
          <w:sz w:val="18"/>
          <w:szCs w:val="18"/>
          <w:spacing w:val="-2"/>
        </w:rPr>
        <w:t>300</w:t>
      </w:r>
    </w:p>
    <w:p>
      <w:pPr>
        <w:pStyle w:val="BodyText"/>
        <w:spacing w:before="250" w:line="196" w:lineRule="auto"/>
        <w:jc w:val="right"/>
        <w:rPr>
          <w:sz w:val="18"/>
          <w:szCs w:val="18"/>
        </w:rPr>
      </w:pPr>
      <w:r>
        <w:rPr>
          <w:sz w:val="18"/>
          <w:szCs w:val="18"/>
          <w:spacing w:val="-1"/>
        </w:rPr>
        <w:t>250</w:t>
      </w:r>
    </w:p>
    <w:p>
      <w:pPr>
        <w:pStyle w:val="BodyText"/>
        <w:spacing w:before="251" w:line="196" w:lineRule="auto"/>
        <w:jc w:val="right"/>
        <w:rPr>
          <w:sz w:val="18"/>
          <w:szCs w:val="18"/>
        </w:rPr>
      </w:pPr>
      <w:r>
        <w:rPr>
          <w:sz w:val="18"/>
          <w:szCs w:val="18"/>
          <w:spacing w:val="-1"/>
        </w:rPr>
        <w:t>200</w:t>
      </w:r>
    </w:p>
    <w:p>
      <w:pPr>
        <w:pStyle w:val="BodyText"/>
        <w:spacing w:before="250" w:line="196" w:lineRule="auto"/>
        <w:jc w:val="right"/>
        <w:rPr>
          <w:sz w:val="18"/>
          <w:szCs w:val="18"/>
        </w:rPr>
      </w:pPr>
      <w:r>
        <w:rPr>
          <w:sz w:val="18"/>
          <w:szCs w:val="18"/>
          <w:spacing w:val="-6"/>
        </w:rPr>
        <w:t>150</w:t>
      </w:r>
    </w:p>
    <w:p>
      <w:pPr>
        <w:pStyle w:val="BodyText"/>
        <w:spacing w:before="250" w:line="196" w:lineRule="auto"/>
        <w:jc w:val="right"/>
        <w:rPr>
          <w:sz w:val="18"/>
          <w:szCs w:val="18"/>
        </w:rPr>
      </w:pPr>
      <w:r>
        <w:rPr>
          <w:sz w:val="18"/>
          <w:szCs w:val="18"/>
          <w:spacing w:val="-6"/>
        </w:rPr>
        <w:t>100</w:t>
      </w:r>
    </w:p>
    <w:p>
      <w:pPr>
        <w:pStyle w:val="BodyText"/>
        <w:spacing w:before="251" w:line="196" w:lineRule="auto"/>
        <w:jc w:val="right"/>
        <w:rPr>
          <w:sz w:val="18"/>
          <w:szCs w:val="18"/>
        </w:rPr>
      </w:pPr>
      <w:r>
        <w:rPr>
          <w:sz w:val="18"/>
          <w:szCs w:val="18"/>
          <w:spacing w:val="-3"/>
        </w:rPr>
        <w:t>50</w:t>
      </w:r>
    </w:p>
    <w:p>
      <w:pPr>
        <w:pStyle w:val="BodyText"/>
        <w:spacing w:before="250" w:line="196" w:lineRule="auto"/>
        <w:jc w:val="right"/>
        <w:rPr>
          <w:sz w:val="18"/>
          <w:szCs w:val="18"/>
        </w:rPr>
      </w:pPr>
      <w:r>
        <w:rPr>
          <w:sz w:val="18"/>
          <w:szCs w:val="18"/>
          <w:spacing w:val="-7"/>
        </w:rPr>
        <w:t>0</w:t>
      </w:r>
    </w:p>
    <w:p>
      <w:pPr>
        <w:pStyle w:val="BodyText"/>
        <w:spacing w:line="14" w:lineRule="auto"/>
        <w:rPr>
          <w:sz w:val="2"/>
        </w:rPr>
      </w:pPr>
      <w:r>
        <w:rPr>
          <w:sz w:val="2"/>
          <w:szCs w:val="2"/>
        </w:rPr>
        <w:br w:type="column"/>
      </w:r>
    </w:p>
    <w:p>
      <w:pPr>
        <w:spacing w:line="66" w:lineRule="exact"/>
        <w:rPr/>
      </w:pPr>
      <w:r/>
    </w:p>
    <w:tbl>
      <w:tblPr>
        <w:tblStyle w:val="TableNormal"/>
        <w:tblW w:w="8701" w:type="dxa"/>
        <w:tblInd w:w="7" w:type="dxa"/>
        <w:tblLayout w:type="fixed"/>
        <w:tblBorders>
          <w:top w:val="single" w:color="868686" w:sz="6" w:space="0"/>
          <w:left w:val="single" w:color="868686" w:sz="6" w:space="0"/>
          <w:bottom w:val="single" w:color="868686" w:sz="6" w:space="0"/>
          <w:right w:val="single" w:color="868686" w:sz="6" w:space="0"/>
          <w:insideH w:val="single" w:color="868686" w:sz="6" w:space="0"/>
          <w:insideV w:val="single" w:color="868686" w:sz="6" w:space="0"/>
        </w:tblBorders>
      </w:tblPr>
      <w:tblGrid>
        <w:gridCol w:w="8701"/>
      </w:tblGrid>
      <w:tr>
        <w:trPr>
          <w:trHeight w:val="302" w:hRule="atLeast"/>
        </w:trPr>
        <w:tc>
          <w:tcPr>
            <w:tcW w:w="8701" w:type="dxa"/>
            <w:vAlign w:val="top"/>
            <w:tcBorders>
              <w:left w:val="single" w:color="000000" w:sz="6" w:space="0"/>
              <w:bottom w:val="nil"/>
            </w:tcBorders>
          </w:tcPr>
          <w:p>
            <w:pPr>
              <w:ind w:left="7351"/>
              <w:spacing w:before="107" w:line="196" w:lineRule="auto"/>
              <w:rPr>
                <w:rFonts w:ascii="Arial" w:hAnsi="Arial" w:eastAsia="Arial" w:cs="Arial"/>
                <w:sz w:val="18"/>
                <w:szCs w:val="18"/>
              </w:rPr>
            </w:pPr>
            <w:r>
              <w:rPr>
                <w:rFonts w:ascii="Arial" w:hAnsi="Arial" w:eastAsia="Arial" w:cs="Arial"/>
                <w:sz w:val="18"/>
                <w:szCs w:val="18"/>
                <w:spacing w:val="-1"/>
              </w:rPr>
              <w:t>355.3</w:t>
            </w:r>
          </w:p>
        </w:tc>
      </w:tr>
      <w:tr>
        <w:trPr>
          <w:trHeight w:val="3090" w:hRule="atLeast"/>
        </w:trPr>
        <w:tc>
          <w:tcPr>
            <w:tcW w:w="8701" w:type="dxa"/>
            <w:vAlign w:val="top"/>
            <w:tcBorders>
              <w:left w:val="single" w:color="000000" w:sz="6" w:space="0"/>
              <w:top w:val="nil"/>
              <w:bottom w:val="single" w:color="000000" w:sz="4" w:space="0"/>
            </w:tcBorders>
          </w:tcPr>
          <w:p>
            <w:pPr>
              <w:ind w:firstLine="7562"/>
              <w:spacing w:before="138" w:line="213" w:lineRule="exact"/>
              <w:rPr/>
            </w:pPr>
            <w:r>
              <mc:AlternateContent xmlns:mc="http://schemas.openxmlformats.org/markup-compatibility/2006">
                <mc:Choice Requires="wps">
                  <w:drawing>
                    <wp:anchor distT="0" distB="0" distL="0" distR="0" simplePos="0" relativeHeight="253175808" behindDoc="1" locked="0" layoutInCell="1" allowOverlap="1">
                      <wp:simplePos x="0" y="0"/>
                      <wp:positionH relativeFrom="rightMargin">
                        <wp:posOffset>-758697</wp:posOffset>
                      </wp:positionH>
                      <wp:positionV relativeFrom="topMargin">
                        <wp:posOffset>40475</wp:posOffset>
                      </wp:positionV>
                      <wp:extent cx="95250" cy="95250"/>
                      <wp:effectExtent l="0" t="0" r="0" b="0"/>
                      <wp:wrapNone/>
                      <wp:docPr id="572" name="Rect 572"/>
                      <wp:cNvGraphicFramePr/>
                      <a:graphic>
                        <a:graphicData uri="http://schemas.microsoft.com/office/word/2010/wordprocessingShape">
                          <wps:wsp>
                            <wps:cNvPr id="572" name="Rect 572"/>
                            <wps:cNvSpPr/>
                            <wps:spPr>
                              <a:xfrm>
                                <a:off x="-758697" y="40475"/>
                                <a:ext cx="95250" cy="95250"/>
                              </a:xfrm>
                              <a:prstGeom prst="rect">
                                <a:avLst/>
                              </a:prstGeom>
                              <a:solidFill>
                                <a:srgbClr val="00C0AE"/>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090" style="position:absolute;margin-left:-59.74pt;margin-top:3.18701pt;mso-position-vertical-relative:top-margin-area;mso-position-horizontal-relative:right-margin-area;width:7.5pt;height:7.5pt;z-index:-250140672;" fillcolor="#00C0AE" filled="true" stroked="false"/>
                  </w:pict>
                </mc:Fallback>
              </mc:AlternateContent>
            </w:r>
            <w:r>
              <w:pict>
                <v:rect id="_x0000_s1092" style="position:absolute;margin-left:-167.26pt;margin-top:111.427pt;mso-position-vertical-relative:top-margin-area;mso-position-horizontal-relative:right-margin-area;width:7.5pt;height:7.5pt;z-index:253189120;" fillcolor="#00C0AE" filled="true" stroked="false"/>
              </w:pict>
            </w:r>
            <w:r>
              <w:pict>
                <v:shape id="_x0000_s1094" style="position:absolute;margin-left:-435.05pt;margin-top:5.03003pt;mso-position-vertical-relative:top-margin-area;mso-position-horizontal-relative:right-margin-area;width:2.65pt;height:126.75pt;z-index:253192192;" filled="false" strokecolor="#000000" strokeweight="0.75pt" coordsize="53,2535" coordorigin="0,0" path="m0,2527l52,2527m0,2105l52,2105m0,1687l52,1687m0,1269l52,1269m0,847l52,847m0,429l52,429m0,7l52,7e">
                  <v:stroke miterlimit="10"/>
                </v:shape>
              </w:pict>
            </w:r>
            <w:r>
              <w:pict>
                <v:shape id="_x0000_s1096" style="position:absolute;margin-left:-1.84998pt;margin-top:5.03003pt;mso-position-vertical-relative:top-margin-area;mso-position-horizontal-relative:right-margin-area;width:2.65pt;height:126.75pt;z-index:253191168;" filled="false" strokecolor="#868686" strokeweight="0.75pt" coordsize="53,2535" coordorigin="0,0" path="m0,2527l52,2527m0,2105l52,2105m0,1687l52,1687m0,1269l52,1269m0,847l52,847m0,429l52,429m0,7l52,7e">
                  <v:stroke miterlimit="10"/>
                </v:shape>
              </w:pict>
            </w:r>
            <w:r>
              <w:drawing>
                <wp:anchor distT="0" distB="0" distL="0" distR="0" simplePos="0" relativeHeight="253188096" behindDoc="0" locked="0" layoutInCell="1" allowOverlap="1">
                  <wp:simplePos x="0" y="0"/>
                  <wp:positionH relativeFrom="rightMargin">
                    <wp:posOffset>-3489705</wp:posOffset>
                  </wp:positionH>
                  <wp:positionV relativeFrom="topMargin">
                    <wp:posOffset>1637856</wp:posOffset>
                  </wp:positionV>
                  <wp:extent cx="94869" cy="216559"/>
                  <wp:effectExtent l="0" t="0" r="0" b="0"/>
                  <wp:wrapNone/>
                  <wp:docPr id="574" name="IM 574"/>
                  <wp:cNvGraphicFramePr/>
                  <a:graphic>
                    <a:graphicData uri="http://schemas.openxmlformats.org/drawingml/2006/picture">
                      <pic:pic>
                        <pic:nvPicPr>
                          <pic:cNvPr id="574" name="IM 574"/>
                          <pic:cNvPicPr/>
                        </pic:nvPicPr>
                        <pic:blipFill>
                          <a:blip r:embed="rId277"/>
                          <a:stretch>
                            <a:fillRect/>
                          </a:stretch>
                        </pic:blipFill>
                        <pic:spPr>
                          <a:xfrm rot="0">
                            <a:off x="0" y="0"/>
                            <a:ext cx="94869" cy="216559"/>
                          </a:xfrm>
                          <a:prstGeom prst="rect">
                            <a:avLst/>
                          </a:prstGeom>
                        </pic:spPr>
                      </pic:pic>
                    </a:graphicData>
                  </a:graphic>
                </wp:anchor>
              </w:drawing>
            </w:r>
            <w:r>
              <w:rPr>
                <w:position w:val="-4"/>
              </w:rPr>
              <w:pict>
                <v:shape id="_x0000_s1098" style="mso-position-vertical-relative:line;mso-position-horizontal-relative:char;width:5.5pt;height:10.65pt;" filled="false" strokecolor="#000000" strokeweight="0.75pt" coordsize="110,212" coordorigin="0,0" path="m6,3l102,209e">
                  <v:stroke miterlimit="10"/>
                </v:shape>
              </w:pict>
            </w:r>
          </w:p>
          <w:p>
            <w:pPr>
              <w:spacing w:line="246" w:lineRule="auto"/>
              <w:rPr>
                <w:rFonts w:ascii="Arial"/>
                <w:sz w:val="21"/>
              </w:rPr>
            </w:pPr>
            <w:r/>
          </w:p>
          <w:p>
            <w:pPr>
              <w:ind w:left="5196"/>
              <w:spacing w:before="52" w:line="196" w:lineRule="auto"/>
              <w:rPr>
                <w:rFonts w:ascii="Arial" w:hAnsi="Arial" w:eastAsia="Arial" w:cs="Arial"/>
                <w:sz w:val="18"/>
                <w:szCs w:val="18"/>
              </w:rPr>
            </w:pPr>
            <w:r>
              <w:pict>
                <v:shape id="_x0000_s1100" style="position:absolute;margin-left:366.711pt;margin-top:-10.8843pt;mso-position-vertical-relative:text;mso-position-horizontal-relative:text;width:33.3pt;height:23.75pt;z-index:253190144;" filled="false" stroked="false" type="#_x0000_t202">
                  <v:fill on="false"/>
                  <v:stroke on="false"/>
                  <v:path/>
                  <v:imagedata o:title=""/>
                  <o:lock v:ext="edit" aspectratio="false"/>
                  <v:textbox inset="0mm,0mm,0mm,0mm">
                    <w:txbxContent>
                      <w:p>
                        <w:pPr>
                          <w:spacing w:before="20" w:line="187" w:lineRule="auto"/>
                          <w:outlineLvl w:val="0"/>
                          <w:jc w:val="right"/>
                          <w:rPr>
                            <w:rFonts w:ascii="Trebuchet MS" w:hAnsi="Trebuchet MS" w:eastAsia="Trebuchet MS" w:cs="Trebuchet MS"/>
                            <w:sz w:val="48"/>
                            <w:szCs w:val="48"/>
                          </w:rPr>
                        </w:pPr>
                        <w:r>
                          <w:rPr>
                            <w:rFonts w:ascii="Trebuchet MS" w:hAnsi="Trebuchet MS" w:eastAsia="Trebuchet MS" w:cs="Trebuchet MS"/>
                            <w:sz w:val="48"/>
                            <w:szCs w:val="48"/>
                            <w:b/>
                            <w:bCs/>
                            <w:color w:val="00C0AE"/>
                            <w:spacing w:val="-24"/>
                            <w:w w:val="76"/>
                          </w:rPr>
                          <w:t>4</w:t>
                        </w:r>
                        <w:r>
                          <w:rPr>
                            <w:rFonts w:ascii="Trebuchet MS" w:hAnsi="Trebuchet MS" w:eastAsia="Trebuchet MS" w:cs="Trebuchet MS"/>
                            <w:sz w:val="48"/>
                            <w:szCs w:val="48"/>
                            <w:b/>
                            <w:bCs/>
                            <w:color w:val="00C0AE"/>
                            <w:spacing w:val="-23"/>
                            <w:w w:val="76"/>
                          </w:rPr>
                          <w:t>0</w:t>
                        </w:r>
                        <w:r>
                          <w:rPr>
                            <w:rFonts w:ascii="Trebuchet MS" w:hAnsi="Trebuchet MS" w:eastAsia="Trebuchet MS" w:cs="Trebuchet MS"/>
                            <w:sz w:val="48"/>
                            <w:szCs w:val="48"/>
                            <w:b/>
                            <w:bCs/>
                            <w:color w:val="00C0AE"/>
                            <w:spacing w:val="-13"/>
                            <w:w w:val="76"/>
                          </w:rPr>
                          <w:t>%</w:t>
                        </w:r>
                      </w:p>
                    </w:txbxContent>
                  </v:textbox>
                </v:shape>
              </w:pict>
            </w:r>
            <w:r>
              <w:pict>
                <v:shape id="_x0000_s1102" style="position:absolute;margin-left:162.285pt;margin-top:-23.9759pt;mso-position-vertical-relative:text;mso-position-horizontal-relative:text;width:217.3pt;height:137.65pt;z-index:-250141696;" filled="false" strokecolor="#00C0AE" strokeweight="2.25pt" coordsize="4346,2752" coordorigin="0,0" path="m22,2729l2172,2187l4323,22e">
                  <v:stroke endcap="round" miterlimit="10"/>
                </v:shape>
              </w:pict>
            </w:r>
            <w:r>
              <w:drawing>
                <wp:anchor distT="0" distB="0" distL="0" distR="0" simplePos="0" relativeHeight="253173760" behindDoc="1" locked="0" layoutInCell="1" allowOverlap="1">
                  <wp:simplePos x="0" y="0"/>
                  <wp:positionH relativeFrom="column">
                    <wp:posOffset>440054</wp:posOffset>
                  </wp:positionH>
                  <wp:positionV relativeFrom="paragraph">
                    <wp:posOffset>-337449</wp:posOffset>
                  </wp:positionV>
                  <wp:extent cx="4636007" cy="1892807"/>
                  <wp:effectExtent l="0" t="0" r="0" b="0"/>
                  <wp:wrapNone/>
                  <wp:docPr id="576" name="IM 576"/>
                  <wp:cNvGraphicFramePr/>
                  <a:graphic>
                    <a:graphicData uri="http://schemas.openxmlformats.org/drawingml/2006/picture">
                      <pic:pic>
                        <pic:nvPicPr>
                          <pic:cNvPr id="576" name="IM 576"/>
                          <pic:cNvPicPr/>
                        </pic:nvPicPr>
                        <pic:blipFill>
                          <a:blip r:embed="rId278"/>
                          <a:stretch>
                            <a:fillRect/>
                          </a:stretch>
                        </pic:blipFill>
                        <pic:spPr>
                          <a:xfrm rot="0">
                            <a:off x="0" y="0"/>
                            <a:ext cx="4636007" cy="1892807"/>
                          </a:xfrm>
                          <a:prstGeom prst="rect">
                            <a:avLst/>
                          </a:prstGeom>
                        </pic:spPr>
                      </pic:pic>
                    </a:graphicData>
                  </a:graphic>
                </wp:anchor>
              </w:drawing>
            </w:r>
            <w:r>
              <w:rPr>
                <w:rFonts w:ascii="Arial" w:hAnsi="Arial" w:eastAsia="Arial" w:cs="Arial"/>
                <w:sz w:val="18"/>
                <w:szCs w:val="18"/>
              </w:rPr>
              <w:t>254.5</w:t>
            </w:r>
          </w:p>
          <w:p>
            <w:pPr>
              <w:ind w:left="3044"/>
              <w:spacing w:before="90" w:line="131" w:lineRule="exact"/>
              <w:rPr>
                <w:rFonts w:ascii="Arial" w:hAnsi="Arial" w:eastAsia="Arial" w:cs="Arial"/>
                <w:sz w:val="18"/>
                <w:szCs w:val="18"/>
              </w:rPr>
            </w:pPr>
            <w:r>
              <w:rPr>
                <w:rFonts w:ascii="Arial" w:hAnsi="Arial" w:eastAsia="Arial" w:cs="Arial"/>
                <w:sz w:val="18"/>
                <w:szCs w:val="18"/>
                <w:position w:val="-2"/>
              </w:rPr>
              <w:t>223.6</w:t>
            </w:r>
          </w:p>
          <w:p>
            <w:pPr>
              <w:ind w:left="891"/>
              <w:spacing w:line="193" w:lineRule="auto"/>
              <w:rPr>
                <w:rFonts w:ascii="Arial" w:hAnsi="Arial" w:eastAsia="Arial" w:cs="Arial"/>
                <w:sz w:val="18"/>
                <w:szCs w:val="18"/>
              </w:rPr>
            </w:pPr>
            <w:r>
              <w:rPr>
                <w:rFonts w:ascii="Arial" w:hAnsi="Arial" w:eastAsia="Arial" w:cs="Arial"/>
                <w:sz w:val="18"/>
                <w:szCs w:val="18"/>
              </w:rPr>
              <w:t>208.3</w:t>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ind w:left="3039"/>
              <w:spacing w:before="139" w:line="328" w:lineRule="exact"/>
              <w:rPr>
                <w:rFonts w:ascii="Trebuchet MS" w:hAnsi="Trebuchet MS" w:eastAsia="Trebuchet MS" w:cs="Trebuchet MS"/>
                <w:sz w:val="48"/>
                <w:szCs w:val="48"/>
              </w:rPr>
            </w:pPr>
            <w:r>
              <w:rPr>
                <w:rFonts w:ascii="Trebuchet MS" w:hAnsi="Trebuchet MS" w:eastAsia="Trebuchet MS" w:cs="Trebuchet MS"/>
                <w:sz w:val="48"/>
                <w:szCs w:val="48"/>
                <w:b/>
                <w:bCs/>
                <w:color w:val="00C0AE"/>
                <w:spacing w:val="-16"/>
                <w:w w:val="90"/>
                <w:position w:val="-6"/>
              </w:rPr>
              <w:t>7%</w:t>
            </w:r>
          </w:p>
          <w:p>
            <w:pPr>
              <w:ind w:left="5144"/>
              <w:spacing w:before="2" w:line="184" w:lineRule="auto"/>
              <w:rPr>
                <w:rFonts w:ascii="Trebuchet MS" w:hAnsi="Trebuchet MS" w:eastAsia="Trebuchet MS" w:cs="Trebuchet MS"/>
                <w:sz w:val="48"/>
                <w:szCs w:val="48"/>
              </w:rPr>
            </w:pPr>
            <w:r>
              <w:rPr>
                <w:rFonts w:ascii="Trebuchet MS" w:hAnsi="Trebuchet MS" w:eastAsia="Trebuchet MS" w:cs="Trebuchet MS"/>
                <w:sz w:val="48"/>
                <w:szCs w:val="48"/>
                <w:b/>
                <w:bCs/>
                <w:color w:val="00C0AE"/>
                <w:spacing w:val="-54"/>
                <w:w w:val="94"/>
              </w:rPr>
              <w:t>14%</w:t>
            </w:r>
          </w:p>
          <w:p>
            <w:pPr>
              <w:ind w:firstLine="2185"/>
              <w:spacing w:before="125" w:line="32" w:lineRule="exact"/>
              <w:rPr/>
            </w:pPr>
            <w:r>
              <w:rPr>
                <w:position w:val="-2"/>
              </w:rPr>
              <w:pict>
                <v:shape id="_x0000_s1104" style="mso-position-vertical-relative:line;mso-position-horizontal-relative:char;width:215.8pt;height:2.65pt;" filled="false" strokecolor="#000000" strokeweight="0.50pt" coordsize="4316,53" coordorigin="0,0" path="m5,0l5,52m2155,0l2155,52m4310,0l4310,52e">
                  <v:stroke miterlimit="10"/>
                </v:shape>
              </w:pict>
            </w:r>
          </w:p>
        </w:tc>
      </w:tr>
    </w:tbl>
    <w:p>
      <w:pPr>
        <w:pStyle w:val="BodyText"/>
        <w:ind w:left="3086"/>
        <w:spacing w:before="87" w:line="196" w:lineRule="auto"/>
        <w:rPr>
          <w:sz w:val="18"/>
          <w:szCs w:val="18"/>
        </w:rPr>
      </w:pPr>
      <w:r>
        <w:pict>
          <v:shape id="_x0000_s1106" style="position:absolute;margin-left:45.6795pt;margin-top:3.36749pt;mso-position-vertical-relative:text;mso-position-horizontal-relative:text;width:21.95pt;height:10.5pt;z-index:253187072;" filled="false" stroked="false" type="#_x0000_t202">
            <v:fill on="false"/>
            <v:stroke on="false"/>
            <v:path/>
            <v:imagedata o:title=""/>
            <o:lock v:ext="edit" aspectratio="false"/>
            <v:textbox inset="0mm,0mm,0mm,0mm">
              <w:txbxContent>
                <w:p>
                  <w:pPr>
                    <w:pStyle w:val="BodyText"/>
                    <w:ind w:left="20"/>
                    <w:spacing w:before="20" w:line="196" w:lineRule="auto"/>
                    <w:rPr>
                      <w:sz w:val="18"/>
                      <w:szCs w:val="18"/>
                    </w:rPr>
                  </w:pPr>
                  <w:r>
                    <w:rPr>
                      <w:sz w:val="18"/>
                      <w:szCs w:val="18"/>
                      <w:spacing w:val="-1"/>
                    </w:rPr>
                    <w:t>2017</w:t>
                  </w:r>
                </w:p>
              </w:txbxContent>
            </v:textbox>
          </v:shape>
        </w:pict>
      </w:r>
      <w:r>
        <w:rPr>
          <w:sz w:val="18"/>
          <w:szCs w:val="18"/>
        </w:rPr>
        <w:t>2018                                   2019                                   2021</w:t>
      </w:r>
    </w:p>
    <w:p>
      <w:pPr>
        <w:ind w:left="1922"/>
        <w:spacing w:before="253" w:line="189" w:lineRule="exact"/>
        <w:rPr>
          <w:rFonts w:ascii="Microsoft YaHei" w:hAnsi="Microsoft YaHei" w:eastAsia="Microsoft YaHei" w:cs="Microsoft YaHei"/>
          <w:sz w:val="18"/>
          <w:szCs w:val="18"/>
        </w:rPr>
      </w:pPr>
      <w:r>
        <w:rPr>
          <w:rFonts w:ascii="Microsoft YaHei" w:hAnsi="Microsoft YaHei" w:eastAsia="Microsoft YaHei" w:cs="Microsoft YaHei"/>
          <w:sz w:val="18"/>
          <w:szCs w:val="18"/>
          <w:position w:val="1"/>
        </w:rPr>
        <w:drawing>
          <wp:inline distT="0" distB="0" distL="0" distR="0">
            <wp:extent cx="243839" cy="57911"/>
            <wp:effectExtent l="0" t="0" r="0" b="0"/>
            <wp:docPr id="578" name="IM 578"/>
            <wp:cNvGraphicFramePr/>
            <a:graphic>
              <a:graphicData uri="http://schemas.openxmlformats.org/drawingml/2006/picture">
                <pic:pic>
                  <pic:nvPicPr>
                    <pic:cNvPr id="578" name="IM 578"/>
                    <pic:cNvPicPr/>
                  </pic:nvPicPr>
                  <pic:blipFill>
                    <a:blip r:embed="rId279"/>
                    <a:stretch>
                      <a:fillRect/>
                    </a:stretch>
                  </pic:blipFill>
                  <pic:spPr>
                    <a:xfrm rot="0">
                      <a:off x="0" y="0"/>
                      <a:ext cx="243839" cy="57911"/>
                    </a:xfrm>
                    <a:prstGeom prst="rect">
                      <a:avLst/>
                    </a:prstGeom>
                  </pic:spPr>
                </pic:pic>
              </a:graphicData>
            </a:graphic>
          </wp:inline>
        </w:drawing>
      </w:r>
      <w:r>
        <w:rPr>
          <w:rFonts w:ascii="Microsoft YaHei" w:hAnsi="Microsoft YaHei" w:eastAsia="Microsoft YaHei" w:cs="Microsoft YaHei"/>
          <w:sz w:val="18"/>
          <w:szCs w:val="18"/>
          <w:spacing w:val="30"/>
          <w:w w:val="101"/>
          <w:position w:val="-1"/>
        </w:rPr>
        <w:t xml:space="preserve"> </w:t>
      </w:r>
      <w:r>
        <w:rPr>
          <w:rFonts w:ascii="Microsoft YaHei" w:hAnsi="Microsoft YaHei" w:eastAsia="Microsoft YaHei" w:cs="Microsoft YaHei"/>
          <w:sz w:val="18"/>
          <w:szCs w:val="18"/>
          <w:position w:val="-1"/>
        </w:rPr>
        <w:t>人均光伏装机量，瓦/每户               </w:t>
      </w:r>
      <w:r>
        <w:rPr>
          <w:sz w:val="18"/>
          <w:szCs w:val="18"/>
        </w:rPr>
        <w:drawing>
          <wp:inline distT="0" distB="0" distL="0" distR="0">
            <wp:extent cx="272415" cy="70484"/>
            <wp:effectExtent l="0" t="0" r="0" b="0"/>
            <wp:docPr id="580" name="IM 580"/>
            <wp:cNvGraphicFramePr/>
            <a:graphic>
              <a:graphicData uri="http://schemas.openxmlformats.org/drawingml/2006/picture">
                <pic:pic>
                  <pic:nvPicPr>
                    <pic:cNvPr id="580" name="IM 580"/>
                    <pic:cNvPicPr/>
                  </pic:nvPicPr>
                  <pic:blipFill>
                    <a:blip r:embed="rId280"/>
                    <a:stretch>
                      <a:fillRect/>
                    </a:stretch>
                  </pic:blipFill>
                  <pic:spPr>
                    <a:xfrm rot="0">
                      <a:off x="0" y="0"/>
                      <a:ext cx="272415" cy="70484"/>
                    </a:xfrm>
                    <a:prstGeom prst="rect">
                      <a:avLst/>
                    </a:prstGeom>
                  </pic:spPr>
                </pic:pic>
              </a:graphicData>
            </a:graphic>
          </wp:inline>
        </w:drawing>
      </w:r>
      <w:r>
        <w:rPr>
          <w:rFonts w:ascii="Microsoft YaHei" w:hAnsi="Microsoft YaHei" w:eastAsia="Microsoft YaHei" w:cs="Microsoft YaHei"/>
          <w:sz w:val="18"/>
          <w:szCs w:val="18"/>
          <w:spacing w:val="5"/>
          <w:position w:val="-1"/>
        </w:rPr>
        <w:t xml:space="preserve"> </w:t>
      </w:r>
      <w:r>
        <w:rPr>
          <w:rFonts w:ascii="Microsoft YaHei" w:hAnsi="Microsoft YaHei" w:eastAsia="Microsoft YaHei" w:cs="Microsoft YaHei"/>
          <w:sz w:val="18"/>
          <w:szCs w:val="18"/>
          <w:position w:val="-1"/>
        </w:rPr>
        <w:t>同比增速，右轴</w:t>
      </w:r>
    </w:p>
    <w:p>
      <w:pPr>
        <w:pStyle w:val="BodyText"/>
        <w:spacing w:line="14" w:lineRule="auto"/>
        <w:rPr>
          <w:sz w:val="2"/>
        </w:rPr>
      </w:pPr>
      <w:r>
        <w:rPr>
          <w:sz w:val="2"/>
          <w:szCs w:val="2"/>
        </w:rPr>
        <w:br w:type="column"/>
      </w:r>
    </w:p>
    <w:p>
      <w:pPr>
        <w:pStyle w:val="BodyText"/>
        <w:ind w:right="1328"/>
        <w:spacing w:before="5" w:line="484" w:lineRule="auto"/>
        <w:jc w:val="both"/>
        <w:rPr>
          <w:sz w:val="18"/>
          <w:szCs w:val="18"/>
        </w:rPr>
      </w:pPr>
      <w:r>
        <w:rPr>
          <w:sz w:val="18"/>
          <w:szCs w:val="18"/>
        </w:rPr>
        <w:t>45% </w:t>
      </w:r>
      <w:r>
        <w:rPr>
          <w:sz w:val="18"/>
          <w:szCs w:val="18"/>
        </w:rPr>
        <w:t>40% </w:t>
      </w:r>
      <w:r>
        <w:rPr>
          <w:sz w:val="18"/>
          <w:szCs w:val="18"/>
        </w:rPr>
        <w:t>35% </w:t>
      </w:r>
      <w:r>
        <w:rPr>
          <w:sz w:val="18"/>
          <w:szCs w:val="18"/>
        </w:rPr>
        <w:t>30% </w:t>
      </w:r>
      <w:r>
        <w:rPr>
          <w:sz w:val="18"/>
          <w:szCs w:val="18"/>
        </w:rPr>
        <w:t>25% </w:t>
      </w:r>
      <w:r>
        <w:rPr>
          <w:sz w:val="18"/>
          <w:szCs w:val="18"/>
        </w:rPr>
        <w:t>20% </w:t>
      </w:r>
      <w:r>
        <w:rPr>
          <w:sz w:val="18"/>
          <w:szCs w:val="18"/>
        </w:rPr>
        <w:t>15% </w:t>
      </w:r>
      <w:r>
        <w:rPr>
          <w:sz w:val="18"/>
          <w:szCs w:val="18"/>
        </w:rPr>
        <w:t>10% </w:t>
      </w:r>
      <w:r>
        <w:rPr>
          <w:sz w:val="18"/>
          <w:szCs w:val="18"/>
        </w:rPr>
        <w:t>5%</w:t>
      </w:r>
    </w:p>
    <w:p>
      <w:pPr>
        <w:spacing w:line="484" w:lineRule="auto"/>
        <w:sectPr>
          <w:type w:val="continuous"/>
          <w:pgSz w:w="12245" w:h="17180"/>
          <w:pgMar w:top="400" w:right="0" w:bottom="0" w:left="915" w:header="0" w:footer="0" w:gutter="0"/>
          <w:cols w:equalWidth="0" w:num="3">
            <w:col w:w="721" w:space="99"/>
            <w:col w:w="8720" w:space="100"/>
            <w:col w:w="1691" w:space="0"/>
          </w:cols>
        </w:sectPr>
        <w:rPr>
          <w:sz w:val="18"/>
          <w:szCs w:val="18"/>
        </w:rPr>
      </w:pPr>
    </w:p>
    <w:p>
      <w:pPr>
        <w:ind w:left="394"/>
        <w:spacing w:before="241" w:line="198" w:lineRule="auto"/>
        <w:rPr>
          <w:rFonts w:ascii="Microsoft YaHei" w:hAnsi="Microsoft YaHei" w:eastAsia="Microsoft YaHei" w:cs="Microsoft YaHei"/>
          <w:sz w:val="15"/>
          <w:szCs w:val="15"/>
        </w:rPr>
      </w:pPr>
      <w:r>
        <w:pict>
          <v:rect id="_x0000_s1108" style="position:absolute;margin-left:566.225pt;margin-top:-353.353pt;mso-position-vertical-relative:text;mso-position-horizontal-relative:text;width:0.25pt;height:859pt;z-index:253182976;" fillcolor="#000000" filled="true" stroked="false"/>
        </w:pict>
      </w:r>
      <w:r>
        <w:rPr>
          <w:rFonts w:ascii="Microsoft YaHei" w:hAnsi="Microsoft YaHei" w:eastAsia="Microsoft YaHei" w:cs="Microsoft YaHei"/>
          <w:sz w:val="15"/>
          <w:szCs w:val="15"/>
          <w:spacing w:val="7"/>
        </w:rPr>
        <w:t>数据来源： </w:t>
      </w:r>
      <w:r>
        <w:rPr>
          <w:rFonts w:ascii="Microsoft YaHei" w:hAnsi="Microsoft YaHei" w:eastAsia="Microsoft YaHei" w:cs="Microsoft YaHei"/>
          <w:sz w:val="15"/>
          <w:szCs w:val="15"/>
        </w:rPr>
        <w:t>EurObserv</w:t>
      </w:r>
      <w:r>
        <w:rPr>
          <w:rFonts w:ascii="Microsoft YaHei" w:hAnsi="Microsoft YaHei" w:eastAsia="Microsoft YaHei" w:cs="Microsoft YaHei"/>
          <w:sz w:val="15"/>
          <w:szCs w:val="15"/>
          <w:spacing w:val="7"/>
        </w:rPr>
        <w:t>’</w:t>
      </w:r>
      <w:r>
        <w:rPr>
          <w:rFonts w:ascii="Microsoft YaHei" w:hAnsi="Microsoft YaHei" w:eastAsia="Microsoft YaHei" w:cs="Microsoft YaHei"/>
          <w:sz w:val="15"/>
          <w:szCs w:val="15"/>
        </w:rPr>
        <w:t>ER</w:t>
      </w:r>
      <w:r>
        <w:rPr>
          <w:rFonts w:ascii="Microsoft YaHei" w:hAnsi="Microsoft YaHei" w:eastAsia="Microsoft YaHei" w:cs="Microsoft YaHei"/>
          <w:sz w:val="15"/>
          <w:szCs w:val="15"/>
          <w:spacing w:val="-19"/>
        </w:rPr>
        <w:t xml:space="preserve"> </w:t>
      </w:r>
      <w:r>
        <w:rPr>
          <w:rFonts w:ascii="Microsoft YaHei" w:hAnsi="Microsoft YaHei" w:eastAsia="Microsoft YaHei" w:cs="Microsoft YaHei"/>
          <w:sz w:val="15"/>
          <w:szCs w:val="15"/>
          <w:spacing w:val="7"/>
        </w:rPr>
        <w:t>，</w:t>
      </w:r>
      <w:r>
        <w:rPr>
          <w:rFonts w:ascii="Microsoft YaHei" w:hAnsi="Microsoft YaHei" w:eastAsia="Microsoft YaHei" w:cs="Microsoft YaHei"/>
          <w:sz w:val="15"/>
          <w:szCs w:val="15"/>
        </w:rPr>
        <w:t>Statista</w:t>
      </w:r>
      <w:r>
        <w:rPr>
          <w:rFonts w:ascii="Microsoft YaHei" w:hAnsi="Microsoft YaHei" w:eastAsia="Microsoft YaHei" w:cs="Microsoft YaHei"/>
          <w:sz w:val="15"/>
          <w:szCs w:val="15"/>
          <w:spacing w:val="7"/>
        </w:rPr>
        <w:t>,</w:t>
      </w:r>
      <w:r>
        <w:rPr>
          <w:rFonts w:ascii="Microsoft YaHei" w:hAnsi="Microsoft YaHei" w:eastAsia="Microsoft YaHei" w:cs="Microsoft YaHei"/>
          <w:sz w:val="15"/>
          <w:szCs w:val="15"/>
          <w:spacing w:val="26"/>
        </w:rPr>
        <w:t xml:space="preserve"> </w:t>
      </w:r>
      <w:r>
        <w:rPr>
          <w:rFonts w:ascii="Microsoft YaHei" w:hAnsi="Microsoft YaHei" w:eastAsia="Microsoft YaHei" w:cs="Microsoft YaHei"/>
          <w:sz w:val="15"/>
          <w:szCs w:val="15"/>
          <w:spacing w:val="7"/>
        </w:rPr>
        <w:t>毕马威分析</w:t>
      </w:r>
    </w:p>
    <w:p>
      <w:pPr>
        <w:pStyle w:val="BodyText"/>
        <w:spacing w:line="260" w:lineRule="auto"/>
        <w:rPr/>
      </w:pPr>
      <w:r/>
    </w:p>
    <w:p>
      <w:pPr>
        <w:pStyle w:val="BodyText"/>
        <w:spacing w:line="261" w:lineRule="auto"/>
        <w:rPr/>
      </w:pPr>
      <w:r/>
    </w:p>
    <w:p>
      <w:pPr>
        <w:pStyle w:val="BodyText"/>
        <w:spacing w:line="261" w:lineRule="auto"/>
        <w:rPr/>
      </w:pPr>
      <w:r/>
    </w:p>
    <w:p>
      <w:pPr>
        <w:ind w:left="395" w:right="2997"/>
        <w:spacing w:before="91" w:line="219"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典型家庭储能系统主要由储能电池、逆变器、光伏组件等</w:t>
      </w:r>
      <w:r>
        <w:rPr>
          <w:rFonts w:ascii="Microsoft YaHei" w:hAnsi="Microsoft YaHei" w:eastAsia="Microsoft YaHei" w:cs="Microsoft YaHei"/>
          <w:sz w:val="21"/>
          <w:szCs w:val="21"/>
          <w:spacing w:val="3"/>
        </w:rPr>
        <w:t>构成</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，其占设备成本的比重</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分别达48%、24%和22%左右。此外</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1"/>
        </w:rPr>
        <w:t>户用储能产品需安装商进行安装</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1"/>
        </w:rPr>
        <w:t>，预计设备安</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装费为设备成本比重的12%-30%。</w:t>
      </w:r>
      <w:r>
        <w:rPr>
          <w:rFonts w:ascii="Microsoft YaHei" w:hAnsi="Microsoft YaHei" w:eastAsia="Microsoft YaHei" w:cs="Microsoft YaHei"/>
          <w:sz w:val="21"/>
          <w:szCs w:val="21"/>
          <w:spacing w:val="-42"/>
        </w:rPr>
        <w:t xml:space="preserve"> </w:t>
      </w:r>
      <w:r>
        <w:rPr>
          <w:rFonts w:ascii="Microsoft YaHei" w:hAnsi="Microsoft YaHei" w:eastAsia="Microsoft YaHei" w:cs="Microsoft YaHei"/>
          <w:sz w:val="21"/>
          <w:szCs w:val="21"/>
          <w:spacing w:val="2"/>
        </w:rPr>
        <w:t>据彭</w:t>
      </w:r>
      <w:r>
        <w:rPr>
          <w:rFonts w:ascii="Microsoft YaHei" w:hAnsi="Microsoft YaHei" w:eastAsia="Microsoft YaHei" w:cs="Microsoft YaHei"/>
          <w:sz w:val="21"/>
          <w:szCs w:val="21"/>
          <w:spacing w:val="1"/>
        </w:rPr>
        <w:t>博新能源（</w:t>
      </w:r>
      <w:r>
        <w:rPr>
          <w:rFonts w:ascii="Microsoft YaHei" w:hAnsi="Microsoft YaHei" w:eastAsia="Microsoft YaHei" w:cs="Microsoft YaHei"/>
          <w:sz w:val="21"/>
          <w:szCs w:val="21"/>
        </w:rPr>
        <w:t>BNEF</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的数据显示</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1"/>
        </w:rPr>
        <w:t>，户储设备成</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5"/>
        </w:rPr>
        <w:t>本中占比最高、</w:t>
      </w:r>
      <w:r>
        <w:rPr>
          <w:rFonts w:ascii="Microsoft YaHei" w:hAnsi="Microsoft YaHei" w:eastAsia="Microsoft YaHei" w:cs="Microsoft YaHei"/>
          <w:sz w:val="21"/>
          <w:szCs w:val="21"/>
          <w:spacing w:val="-25"/>
        </w:rPr>
        <w:t xml:space="preserve"> </w:t>
      </w:r>
      <w:r>
        <w:rPr>
          <w:rFonts w:ascii="Microsoft YaHei" w:hAnsi="Microsoft YaHei" w:eastAsia="Microsoft YaHei" w:cs="Microsoft YaHei"/>
          <w:sz w:val="21"/>
          <w:szCs w:val="21"/>
          <w:spacing w:val="5"/>
        </w:rPr>
        <w:t>目前运用最广的锂电池包(</w:t>
      </w:r>
      <w:r>
        <w:rPr>
          <w:rFonts w:ascii="Microsoft YaHei" w:hAnsi="Microsoft YaHei" w:eastAsia="Microsoft YaHei" w:cs="Microsoft YaHei"/>
          <w:sz w:val="21"/>
          <w:szCs w:val="21"/>
        </w:rPr>
        <w:t>lithium</w:t>
      </w:r>
      <w:r>
        <w:rPr>
          <w:rFonts w:ascii="Microsoft YaHei" w:hAnsi="Microsoft YaHei" w:eastAsia="Microsoft YaHei" w:cs="Microsoft YaHei"/>
          <w:sz w:val="21"/>
          <w:szCs w:val="21"/>
          <w:spacing w:val="5"/>
        </w:rPr>
        <w:t>-</w:t>
      </w:r>
      <w:r>
        <w:rPr>
          <w:rFonts w:ascii="Microsoft YaHei" w:hAnsi="Microsoft YaHei" w:eastAsia="Microsoft YaHei" w:cs="Microsoft YaHei"/>
          <w:sz w:val="21"/>
          <w:szCs w:val="21"/>
        </w:rPr>
        <w:t>ion</w:t>
      </w:r>
      <w:r>
        <w:rPr>
          <w:rFonts w:ascii="Microsoft YaHei" w:hAnsi="Microsoft YaHei" w:eastAsia="Microsoft YaHei" w:cs="Microsoft YaHei"/>
          <w:sz w:val="21"/>
          <w:szCs w:val="21"/>
          <w:spacing w:val="5"/>
        </w:rPr>
        <w:t xml:space="preserve">  </w:t>
      </w:r>
      <w:r>
        <w:rPr>
          <w:rFonts w:ascii="Microsoft YaHei" w:hAnsi="Microsoft YaHei" w:eastAsia="Microsoft YaHei" w:cs="Microsoft YaHei"/>
          <w:sz w:val="21"/>
          <w:szCs w:val="21"/>
        </w:rPr>
        <w:t>battery</w:t>
      </w:r>
      <w:r>
        <w:rPr>
          <w:rFonts w:ascii="Microsoft YaHei" w:hAnsi="Microsoft YaHei" w:eastAsia="Microsoft YaHei" w:cs="Microsoft YaHei"/>
          <w:sz w:val="21"/>
          <w:szCs w:val="21"/>
          <w:spacing w:val="4"/>
        </w:rPr>
        <w:t xml:space="preserve">  </w:t>
      </w:r>
      <w:r>
        <w:rPr>
          <w:rFonts w:ascii="Microsoft YaHei" w:hAnsi="Microsoft YaHei" w:eastAsia="Microsoft YaHei" w:cs="Microsoft YaHei"/>
          <w:sz w:val="21"/>
          <w:szCs w:val="21"/>
        </w:rPr>
        <w:t>packs</w:t>
      </w:r>
      <w:r>
        <w:rPr>
          <w:rFonts w:ascii="Microsoft YaHei" w:hAnsi="Microsoft YaHei" w:eastAsia="Microsoft YaHei" w:cs="Microsoft YaHei"/>
          <w:sz w:val="21"/>
          <w:szCs w:val="21"/>
          <w:spacing w:val="4"/>
        </w:rPr>
        <w:t>)  的价格已由</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2013年的684美元/kWh 逐年下降到了2021年的132美元/kWh, 降幅为81%，与2020年</w:t>
      </w:r>
      <w:r>
        <w:rPr>
          <w:rFonts w:ascii="Microsoft YaHei" w:hAnsi="Microsoft YaHei" w:eastAsia="Microsoft YaHei" w:cs="Microsoft YaHei"/>
          <w:sz w:val="21"/>
          <w:szCs w:val="21"/>
          <w:spacing w:val="15"/>
          <w:w w:val="101"/>
        </w:rPr>
        <w:t xml:space="preserve"> </w:t>
      </w:r>
      <w:r>
        <w:rPr>
          <w:rFonts w:ascii="Microsoft YaHei" w:hAnsi="Microsoft YaHei" w:eastAsia="Microsoft YaHei" w:cs="Microsoft YaHei"/>
          <w:sz w:val="21"/>
          <w:szCs w:val="21"/>
          <w:spacing w:val="8"/>
        </w:rPr>
        <w:t>相比也有6%的降幅。</w:t>
      </w:r>
      <w:r>
        <w:rPr>
          <w:rFonts w:ascii="Microsoft YaHei" w:hAnsi="Microsoft YaHei" w:eastAsia="Microsoft YaHei" w:cs="Microsoft YaHei"/>
          <w:sz w:val="21"/>
          <w:szCs w:val="21"/>
          <w:spacing w:val="-17"/>
        </w:rPr>
        <w:t xml:space="preserve"> </w:t>
      </w:r>
      <w:r>
        <w:rPr>
          <w:rFonts w:ascii="Microsoft YaHei" w:hAnsi="Microsoft YaHei" w:eastAsia="Microsoft YaHei" w:cs="Microsoft YaHei"/>
          <w:sz w:val="21"/>
          <w:szCs w:val="21"/>
          <w:spacing w:val="8"/>
        </w:rPr>
        <w:t>由于近期上游原材料</w:t>
      </w:r>
      <w:r>
        <w:rPr>
          <w:rFonts w:ascii="Microsoft YaHei" w:hAnsi="Microsoft YaHei" w:eastAsia="Microsoft YaHei" w:cs="Microsoft YaHei"/>
          <w:sz w:val="21"/>
          <w:szCs w:val="21"/>
          <w:spacing w:val="7"/>
        </w:rPr>
        <w:t>锂价格的快速上涨</w:t>
      </w:r>
      <w:r>
        <w:rPr>
          <w:rFonts w:ascii="Microsoft YaHei" w:hAnsi="Microsoft YaHei" w:eastAsia="Microsoft YaHei" w:cs="Microsoft YaHei"/>
          <w:sz w:val="21"/>
          <w:szCs w:val="21"/>
          <w:spacing w:val="-24"/>
        </w:rPr>
        <w:t xml:space="preserve"> </w:t>
      </w:r>
      <w:r>
        <w:rPr>
          <w:rFonts w:ascii="Microsoft YaHei" w:hAnsi="Microsoft YaHei" w:eastAsia="Microsoft YaHei" w:cs="Microsoft YaHei"/>
          <w:sz w:val="21"/>
          <w:szCs w:val="21"/>
          <w:spacing w:val="7"/>
        </w:rPr>
        <w:t>，</w:t>
      </w:r>
      <w:r>
        <w:rPr>
          <w:rFonts w:ascii="Microsoft YaHei" w:hAnsi="Microsoft YaHei" w:eastAsia="Microsoft YaHei" w:cs="Microsoft YaHei"/>
          <w:sz w:val="21"/>
          <w:szCs w:val="21"/>
          <w:spacing w:val="-36"/>
        </w:rPr>
        <w:t xml:space="preserve"> </w:t>
      </w:r>
      <w:r>
        <w:rPr>
          <w:rFonts w:ascii="Microsoft YaHei" w:hAnsi="Microsoft YaHei" w:eastAsia="Microsoft YaHei" w:cs="Microsoft YaHei"/>
          <w:sz w:val="21"/>
          <w:szCs w:val="21"/>
        </w:rPr>
        <w:t>BNEF</w:t>
      </w:r>
      <w:r>
        <w:rPr>
          <w:rFonts w:ascii="Microsoft YaHei" w:hAnsi="Microsoft YaHei" w:eastAsia="Microsoft YaHei" w:cs="Microsoft YaHei"/>
          <w:sz w:val="21"/>
          <w:szCs w:val="21"/>
          <w:spacing w:val="7"/>
        </w:rPr>
        <w:t>将原本预测的</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2024年电池包价格跌落100美元/kWh的节点往后调了两年到2026年(</w:t>
      </w:r>
      <w:r>
        <w:rPr>
          <w:rFonts w:ascii="Microsoft YaHei" w:hAnsi="Microsoft YaHei" w:eastAsia="Microsoft YaHei" w:cs="Microsoft YaHei"/>
          <w:sz w:val="21"/>
          <w:szCs w:val="21"/>
          <w:spacing w:val="-4"/>
        </w:rPr>
        <w:t>图 21)。</w:t>
      </w:r>
    </w:p>
    <w:p>
      <w:pPr>
        <w:pStyle w:val="BodyText"/>
        <w:spacing w:line="386" w:lineRule="auto"/>
        <w:rPr/>
      </w:pPr>
      <w:r>
        <w:pict>
          <v:rect id="_x0000_s1110" style="position:absolute;margin-left:19.3953pt;margin-top:12.6847pt;mso-position-vertical-relative:text;mso-position-horizontal-relative:text;width:30.5pt;height:5pt;z-index:253186048;" fillcolor="#00C0AE" filled="true" stroked="false"/>
        </w:pict>
      </w:r>
      <w:r/>
    </w:p>
    <w:p>
      <w:pPr>
        <w:ind w:left="1304"/>
        <w:spacing w:before="90" w:line="193" w:lineRule="auto"/>
        <w:rPr>
          <w:rFonts w:ascii="Microsoft YaHei" w:hAnsi="Microsoft YaHei" w:eastAsia="Microsoft YaHei" w:cs="Microsoft YaHei"/>
          <w:sz w:val="21"/>
          <w:szCs w:val="21"/>
        </w:rPr>
      </w:pPr>
      <w:r>
        <mc:AlternateContent xmlns:mc="http://schemas.openxmlformats.org/markup-compatibility/2006">
          <mc:Choice Requires="wps">
            <w:drawing>
              <wp:anchor distT="0" distB="0" distL="0" distR="0" simplePos="0" relativeHeight="253176832" behindDoc="1" locked="0" layoutInCell="1" allowOverlap="1">
                <wp:simplePos x="0" y="0"/>
                <wp:positionH relativeFrom="column">
                  <wp:posOffset>244796</wp:posOffset>
                </wp:positionH>
                <wp:positionV relativeFrom="paragraph">
                  <wp:posOffset>-40061</wp:posOffset>
                </wp:positionV>
                <wp:extent cx="6123940" cy="329565"/>
                <wp:effectExtent l="0" t="0" r="0" b="0"/>
                <wp:wrapNone/>
                <wp:docPr id="582" name="Rect 582"/>
                <wp:cNvGraphicFramePr/>
                <a:graphic>
                  <a:graphicData uri="http://schemas.microsoft.com/office/word/2010/wordprocessingShape">
                    <wps:wsp>
                      <wps:cNvPr id="582" name="Rect 582"/>
                      <wps:cNvSpPr/>
                      <wps:spPr>
                        <a:xfrm>
                          <a:off x="244796" y="-40061"/>
                          <a:ext cx="6123940" cy="329565"/>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112" style="position:absolute;margin-left:19.2753pt;margin-top:-3.15443pt;mso-position-vertical-relative:text;mso-position-horizontal-relative:text;width:482.2pt;height:25.95pt;z-index:-250139648;" fillcolor="#F1F1F1" filled="true" stroked="false"/>
            </w:pict>
          </mc:Fallback>
        </mc:AlternateContent>
      </w:r>
      <w:r>
        <w:pict>
          <v:shape id="_x0000_s1114" style="position:absolute;margin-left:26.2844pt;margin-top:1.84557pt;mso-position-vertical-relative:text;mso-position-horizontal-relative:text;width:31.5pt;height:18.2pt;z-index:253180928;" filled="false" stroked="false" type="#_x0000_t202">
            <v:fill on="false"/>
            <v:stroke on="false"/>
            <v:path/>
            <v:imagedata o:title=""/>
            <o:lock v:ext="edit" aspectratio="false"/>
            <v:textbox inset="0mm,0mm,0mm,0mm">
              <w:txbxContent>
                <w:p>
                  <w:pPr>
                    <w:ind w:left="20"/>
                    <w:spacing w:before="20" w:line="215" w:lineRule="auto"/>
                    <w:rPr>
                      <w:sz w:val="21"/>
                      <w:szCs w:val="21"/>
                    </w:rPr>
                  </w:pPr>
                  <w:r>
                    <w:rPr>
                      <w:rFonts w:ascii="Microsoft YaHei" w:hAnsi="Microsoft YaHei" w:eastAsia="Microsoft YaHei" w:cs="Microsoft YaHei"/>
                      <w:sz w:val="21"/>
                      <w:szCs w:val="21"/>
                      <w:b/>
                      <w:bCs/>
                      <w:color w:val="00C0AE"/>
                      <w:spacing w:val="-11"/>
                    </w:rPr>
                    <w:t>图</w:t>
                  </w:r>
                  <w:r>
                    <w:rPr>
                      <w:rFonts w:ascii="Microsoft YaHei" w:hAnsi="Microsoft YaHei" w:eastAsia="Microsoft YaHei" w:cs="Microsoft YaHei"/>
                      <w:sz w:val="21"/>
                      <w:szCs w:val="21"/>
                      <w:b/>
                      <w:bCs/>
                      <w:color w:val="00C0AE"/>
                      <w:spacing w:val="-7"/>
                    </w:rPr>
                    <w:t xml:space="preserve"> </w:t>
                  </w:r>
                  <w:r>
                    <w:rPr>
                      <w:rFonts w:ascii="Microsoft YaHei" w:hAnsi="Microsoft YaHei" w:eastAsia="Microsoft YaHei" w:cs="Microsoft YaHei"/>
                      <w:sz w:val="21"/>
                      <w:szCs w:val="21"/>
                      <w:b/>
                      <w:bCs/>
                      <w:color w:val="00C0AE"/>
                      <w:spacing w:val="-11"/>
                    </w:rPr>
                    <w:t>21</w:t>
                  </w:r>
                  <w:r>
                    <w:rPr>
                      <w:rFonts w:ascii="Microsoft YaHei" w:hAnsi="Microsoft YaHei" w:eastAsia="Microsoft YaHei" w:cs="Microsoft YaHei"/>
                      <w:sz w:val="21"/>
                      <w:szCs w:val="21"/>
                      <w:b/>
                      <w:bCs/>
                      <w:color w:val="00C0AE"/>
                      <w:spacing w:val="13"/>
                    </w:rPr>
                    <w:t xml:space="preserve"> </w:t>
                  </w:r>
                  <w:r>
                    <w:rPr>
                      <w:sz w:val="21"/>
                      <w:szCs w:val="21"/>
                      <w:position w:val="-5"/>
                    </w:rPr>
                    <w:drawing>
                      <wp:inline distT="0" distB="0" distL="0" distR="0">
                        <wp:extent cx="12700" cy="175666"/>
                        <wp:effectExtent l="0" t="0" r="0" b="0"/>
                        <wp:docPr id="584" name="IM 584"/>
                        <wp:cNvGraphicFramePr/>
                        <a:graphic>
                          <a:graphicData uri="http://schemas.openxmlformats.org/drawingml/2006/picture">
                            <pic:pic>
                              <pic:nvPicPr>
                                <pic:cNvPr id="584" name="IM 584"/>
                                <pic:cNvPicPr/>
                              </pic:nvPicPr>
                              <pic:blipFill>
                                <a:blip r:embed="rId281"/>
                                <a:stretch>
                                  <a:fillRect/>
                                </a:stretch>
                              </pic:blipFill>
                              <pic:spPr>
                                <a:xfrm rot="0">
                                  <a:off x="0" y="0"/>
                                  <a:ext cx="12700" cy="175666"/>
                                </a:xfrm>
                                <a:prstGeom prst="rect">
                                  <a:avLst/>
                                </a:prstGeom>
                              </pic:spPr>
                            </pic:pic>
                          </a:graphicData>
                        </a:graphic>
                      </wp:inline>
                    </w:drawing>
                  </w:r>
                </w:p>
              </w:txbxContent>
            </v:textbox>
          </v:shape>
        </w:pict>
      </w:r>
      <w:r>
        <w:rPr>
          <w:rFonts w:ascii="Microsoft YaHei" w:hAnsi="Microsoft YaHei" w:eastAsia="Microsoft YaHei" w:cs="Microsoft YaHei"/>
          <w:sz w:val="21"/>
          <w:szCs w:val="21"/>
          <w:b/>
          <w:bCs/>
          <w:color w:val="00C0AE"/>
          <w:spacing w:val="-2"/>
        </w:rPr>
        <w:t>成交量加权平均后锂电池包价格，</w:t>
      </w:r>
      <w:r>
        <w:rPr>
          <w:rFonts w:ascii="Microsoft YaHei" w:hAnsi="Microsoft YaHei" w:eastAsia="Microsoft YaHei" w:cs="Microsoft YaHei"/>
          <w:sz w:val="21"/>
          <w:szCs w:val="21"/>
          <w:b/>
          <w:bCs/>
          <w:color w:val="00C0AE"/>
          <w:spacing w:val="-14"/>
        </w:rPr>
        <w:t xml:space="preserve"> </w:t>
      </w:r>
      <w:r>
        <w:rPr>
          <w:rFonts w:ascii="Microsoft YaHei" w:hAnsi="Microsoft YaHei" w:eastAsia="Microsoft YaHei" w:cs="Microsoft YaHei"/>
          <w:sz w:val="21"/>
          <w:szCs w:val="21"/>
          <w:b/>
          <w:bCs/>
          <w:color w:val="00C0AE"/>
          <w:spacing w:val="-2"/>
        </w:rPr>
        <w:t>美元/kWh</w:t>
      </w:r>
    </w:p>
    <w:p>
      <w:pPr>
        <w:pStyle w:val="BodyText"/>
        <w:spacing w:line="461" w:lineRule="auto"/>
        <w:rPr/>
      </w:pPr>
      <w:r/>
    </w:p>
    <w:p>
      <w:pPr>
        <w:pStyle w:val="BodyText"/>
        <w:ind w:left="465"/>
        <w:spacing w:before="52" w:line="196" w:lineRule="auto"/>
        <w:rPr>
          <w:sz w:val="18"/>
          <w:szCs w:val="18"/>
        </w:rPr>
      </w:pPr>
      <w:r>
        <w:pict>
          <v:shape id="_x0000_s1116" style="position:absolute;margin-left:43.2853pt;margin-top:6.25166pt;mso-position-vertical-relative:text;mso-position-horizontal-relative:text;width:2.9pt;height:169.7pt;z-index:253179904;" filled="false" strokecolor="#000000" strokeweight="0.50pt" coordsize="58,3393" coordorigin="0,0" path="m52,3341l52,5m0,3341l52,3341m0,2923l52,2923m0,2505l52,2505m0,2088l52,2088m0,1675l52,1675m0,1257l52,1257m0,840l52,840m0,422l52,422m0,5l52,5m52,3341l52,3393e">
            <v:stroke miterlimit="10"/>
          </v:shape>
        </w:pict>
      </w:r>
      <w:r>
        <w:rPr>
          <w:sz w:val="18"/>
          <w:szCs w:val="18"/>
          <w:spacing w:val="-2"/>
        </w:rPr>
        <w:t>800</w:t>
      </w:r>
    </w:p>
    <w:p>
      <w:pPr>
        <w:ind w:left="1188"/>
        <w:spacing w:before="45" w:line="213" w:lineRule="exact"/>
        <w:rPr>
          <w:rFonts w:ascii="Trebuchet MS" w:hAnsi="Trebuchet MS" w:eastAsia="Trebuchet MS" w:cs="Trebuchet MS"/>
          <w:sz w:val="32"/>
          <w:szCs w:val="32"/>
        </w:rPr>
      </w:pPr>
      <w:r>
        <w:rPr>
          <w:rFonts w:ascii="Trebuchet MS" w:hAnsi="Trebuchet MS" w:eastAsia="Trebuchet MS" w:cs="Trebuchet MS"/>
          <w:sz w:val="32"/>
          <w:szCs w:val="32"/>
          <w:b/>
          <w:bCs/>
          <w:color w:val="00C0AE"/>
          <w:spacing w:val="-27"/>
          <w:w w:val="90"/>
          <w:position w:val="-4"/>
        </w:rPr>
        <w:t>684</w:t>
      </w:r>
    </w:p>
    <w:p>
      <w:pPr>
        <w:pStyle w:val="BodyText"/>
        <w:ind w:left="466"/>
        <w:spacing w:line="115" w:lineRule="exact"/>
        <w:rPr>
          <w:sz w:val="18"/>
          <w:szCs w:val="18"/>
        </w:rPr>
      </w:pPr>
      <w:r>
        <w:rPr>
          <w:sz w:val="18"/>
          <w:szCs w:val="18"/>
          <w:spacing w:val="-2"/>
          <w:position w:val="-2"/>
        </w:rPr>
        <w:t>700</w:t>
      </w:r>
    </w:p>
    <w:p>
      <w:pPr>
        <w:pStyle w:val="BodyText"/>
        <w:ind w:firstLine="1139"/>
        <w:spacing w:line="2865" w:lineRule="exact"/>
        <w:rPr/>
      </w:pPr>
      <w:r>
        <w:pict>
          <v:shape id="_x0000_s1118" style="position:absolute;margin-left:22.0351pt;margin-top:13.5673pt;mso-position-vertical-relative:text;mso-position-horizontal-relative:text;width:17.05pt;height:135.5pt;z-index:253178880;" filled="false" stroked="false" type="#_x0000_t202">
            <v:fill on="false"/>
            <v:stroke on="false"/>
            <v:path/>
            <v:imagedata o:title=""/>
            <o:lock v:ext="edit" aspectratio="false"/>
            <v:textbox inset="0mm,0mm,0mm,0mm">
              <w:txbxContent>
                <w:p>
                  <w:pPr>
                    <w:pStyle w:val="BodyText"/>
                    <w:ind w:left="24"/>
                    <w:spacing w:before="20" w:line="196" w:lineRule="auto"/>
                    <w:rPr>
                      <w:sz w:val="18"/>
                      <w:szCs w:val="18"/>
                    </w:rPr>
                  </w:pPr>
                  <w:r>
                    <w:rPr>
                      <w:sz w:val="18"/>
                      <w:szCs w:val="18"/>
                      <w:spacing w:val="-1"/>
                    </w:rPr>
                    <w:t>600</w:t>
                  </w:r>
                </w:p>
                <w:p>
                  <w:pPr>
                    <w:pStyle w:val="BodyText"/>
                    <w:ind w:left="25"/>
                    <w:spacing w:before="247" w:line="196" w:lineRule="auto"/>
                    <w:rPr>
                      <w:sz w:val="18"/>
                      <w:szCs w:val="18"/>
                    </w:rPr>
                  </w:pPr>
                  <w:r>
                    <w:rPr>
                      <w:sz w:val="18"/>
                      <w:szCs w:val="18"/>
                      <w:spacing w:val="-2"/>
                    </w:rPr>
                    <w:t>500</w:t>
                  </w:r>
                </w:p>
                <w:p>
                  <w:pPr>
                    <w:pStyle w:val="BodyText"/>
                    <w:ind w:left="20"/>
                    <w:spacing w:before="247" w:line="196" w:lineRule="auto"/>
                    <w:rPr>
                      <w:sz w:val="18"/>
                      <w:szCs w:val="18"/>
                    </w:rPr>
                  </w:pPr>
                  <w:r>
                    <w:rPr>
                      <w:sz w:val="18"/>
                      <w:szCs w:val="18"/>
                    </w:rPr>
                    <w:t>400</w:t>
                  </w:r>
                </w:p>
                <w:p>
                  <w:pPr>
                    <w:pStyle w:val="BodyText"/>
                    <w:ind w:left="25"/>
                    <w:spacing w:before="247" w:line="196" w:lineRule="auto"/>
                    <w:rPr>
                      <w:sz w:val="18"/>
                      <w:szCs w:val="18"/>
                    </w:rPr>
                  </w:pPr>
                  <w:r>
                    <w:rPr>
                      <w:sz w:val="18"/>
                      <w:szCs w:val="18"/>
                      <w:spacing w:val="-2"/>
                    </w:rPr>
                    <w:t>300</w:t>
                  </w:r>
                </w:p>
                <w:p>
                  <w:pPr>
                    <w:pStyle w:val="BodyText"/>
                    <w:ind w:left="22"/>
                    <w:spacing w:before="248" w:line="196" w:lineRule="auto"/>
                    <w:rPr>
                      <w:sz w:val="18"/>
                      <w:szCs w:val="18"/>
                    </w:rPr>
                  </w:pPr>
                  <w:r>
                    <w:rPr>
                      <w:sz w:val="18"/>
                      <w:szCs w:val="18"/>
                      <w:spacing w:val="-1"/>
                    </w:rPr>
                    <w:t>200</w:t>
                  </w:r>
                </w:p>
                <w:p>
                  <w:pPr>
                    <w:pStyle w:val="BodyText"/>
                    <w:ind w:left="37"/>
                    <w:spacing w:before="247" w:line="196" w:lineRule="auto"/>
                    <w:rPr>
                      <w:sz w:val="18"/>
                      <w:szCs w:val="18"/>
                    </w:rPr>
                  </w:pPr>
                  <w:r>
                    <w:rPr>
                      <w:sz w:val="18"/>
                      <w:szCs w:val="18"/>
                      <w:spacing w:val="-4"/>
                    </w:rPr>
                    <w:t>100</w:t>
                  </w:r>
                </w:p>
                <w:p>
                  <w:pPr>
                    <w:pStyle w:val="BodyText"/>
                    <w:ind w:right="15"/>
                    <w:spacing w:before="248" w:line="196" w:lineRule="auto"/>
                    <w:jc w:val="right"/>
                    <w:rPr>
                      <w:sz w:val="18"/>
                      <w:szCs w:val="18"/>
                    </w:rPr>
                  </w:pPr>
                  <w:r>
                    <w:rPr>
                      <w:sz w:val="18"/>
                      <w:szCs w:val="18"/>
                    </w:rPr>
                    <w:t>0</w:t>
                  </w:r>
                </w:p>
              </w:txbxContent>
            </v:textbox>
          </v:shape>
        </w:pict>
      </w:r>
      <w:r>
        <w:pict>
          <v:shape id="_x0000_s1120" style="position:absolute;margin-left:468.136pt;margin-top:104.26pt;mso-position-vertical-relative:text;mso-position-horizontal-relative:text;width:18.55pt;height:16.55pt;z-index:253184000;" filled="false" stroked="false" type="#_x0000_t202">
            <v:fill on="false"/>
            <v:stroke on="false"/>
            <v:path/>
            <v:imagedata o:title=""/>
            <o:lock v:ext="edit" aspectratio="false"/>
            <v:textbox inset="0mm,0mm,0mm,0mm">
              <w:txbxContent>
                <w:p>
                  <w:pPr>
                    <w:spacing w:before="19" w:line="188" w:lineRule="auto"/>
                    <w:jc w:val="right"/>
                    <w:rPr>
                      <w:rFonts w:ascii="Trebuchet MS" w:hAnsi="Trebuchet MS" w:eastAsia="Trebuchet MS" w:cs="Trebuchet MS"/>
                      <w:sz w:val="32"/>
                      <w:szCs w:val="32"/>
                    </w:rPr>
                  </w:pPr>
                  <w:r>
                    <w:rPr>
                      <w:rFonts w:ascii="Trebuchet MS" w:hAnsi="Trebuchet MS" w:eastAsia="Trebuchet MS" w:cs="Trebuchet MS"/>
                      <w:sz w:val="32"/>
                      <w:szCs w:val="32"/>
                      <w:b/>
                      <w:bCs/>
                      <w:color w:val="00C0AE"/>
                      <w:spacing w:val="-44"/>
                      <w:w w:val="76"/>
                    </w:rPr>
                    <w:t>1</w:t>
                  </w:r>
                  <w:r>
                    <w:rPr>
                      <w:rFonts w:ascii="Trebuchet MS" w:hAnsi="Trebuchet MS" w:eastAsia="Trebuchet MS" w:cs="Trebuchet MS"/>
                      <w:sz w:val="32"/>
                      <w:szCs w:val="32"/>
                      <w:b/>
                      <w:bCs/>
                      <w:color w:val="00C0AE"/>
                      <w:spacing w:val="-43"/>
                      <w:w w:val="76"/>
                    </w:rPr>
                    <w:t>0</w:t>
                  </w:r>
                  <w:r>
                    <w:rPr>
                      <w:rFonts w:ascii="Trebuchet MS" w:hAnsi="Trebuchet MS" w:eastAsia="Trebuchet MS" w:cs="Trebuchet MS"/>
                      <w:sz w:val="32"/>
                      <w:szCs w:val="32"/>
                      <w:b/>
                      <w:bCs/>
                      <w:color w:val="00C0AE"/>
                      <w:spacing w:val="-12"/>
                      <w:w w:val="76"/>
                    </w:rPr>
                    <w:t>0</w:t>
                  </w:r>
                </w:p>
              </w:txbxContent>
            </v:textbox>
          </v:shape>
        </w:pict>
      </w:r>
      <w:r>
        <w:rPr>
          <w:position w:val="-57"/>
        </w:rPr>
        <w:pict>
          <v:group id="_x0000_s1122" style="mso-position-vertical-relative:line;mso-position-horizontal-relative:char;width:386.2pt;height:143.35pt;" filled="false" stroked="false" coordsize="7724,2867" coordorigin="0,0">
            <v:shape id="_x0000_s1124" style="position:absolute;left:0;top:15;width:7724;height:2852;" filled="false" stroked="false" type="#_x0000_t75">
              <v:imagedata o:title="" r:id="rId282"/>
            </v:shape>
            <v:shape id="_x0000_s1126" style="position:absolute;left:947;top:-27;width:6730;height:2243;" filled="false" stroked="false" type="#_x0000_t202">
              <v:fill on="false"/>
              <v:stroke on="false"/>
              <v:path/>
              <v:imagedata o:title=""/>
              <o:lock v:ext="edit" aspectratio="false"/>
              <v:textbox inset="0mm,0mm,0mm,0mm">
                <w:txbxContent>
                  <w:p>
                    <w:pPr>
                      <w:ind w:left="20"/>
                      <w:spacing w:before="19" w:line="188" w:lineRule="auto"/>
                      <w:rPr>
                        <w:rFonts w:ascii="Trebuchet MS" w:hAnsi="Trebuchet MS" w:eastAsia="Trebuchet MS" w:cs="Trebuchet MS"/>
                        <w:sz w:val="32"/>
                        <w:szCs w:val="32"/>
                      </w:rPr>
                    </w:pPr>
                    <w:r>
                      <w:rPr>
                        <w:rFonts w:ascii="Trebuchet MS" w:hAnsi="Trebuchet MS" w:eastAsia="Trebuchet MS" w:cs="Trebuchet MS"/>
                        <w:sz w:val="32"/>
                        <w:szCs w:val="32"/>
                        <w:b/>
                        <w:bCs/>
                        <w:color w:val="00C0AE"/>
                        <w:spacing w:val="-19"/>
                        <w:w w:val="84"/>
                      </w:rPr>
                      <w:t>607</w:t>
                    </w:r>
                  </w:p>
                  <w:p>
                    <w:pPr>
                      <w:spacing w:line="252" w:lineRule="auto"/>
                      <w:rPr>
                        <w:rFonts w:ascii="Arial"/>
                        <w:sz w:val="21"/>
                      </w:rPr>
                    </w:pPr>
                    <w:r/>
                  </w:p>
                  <w:p>
                    <w:pPr>
                      <w:spacing w:line="253" w:lineRule="auto"/>
                      <w:rPr>
                        <w:rFonts w:ascii="Arial"/>
                        <w:sz w:val="21"/>
                      </w:rPr>
                    </w:pPr>
                    <w:r/>
                  </w:p>
                  <w:p>
                    <w:pPr>
                      <w:ind w:left="922"/>
                      <w:spacing w:before="92" w:line="187" w:lineRule="auto"/>
                      <w:rPr>
                        <w:rFonts w:ascii="Trebuchet MS" w:hAnsi="Trebuchet MS" w:eastAsia="Trebuchet MS" w:cs="Trebuchet MS"/>
                        <w:sz w:val="32"/>
                        <w:szCs w:val="32"/>
                      </w:rPr>
                    </w:pPr>
                    <w:r>
                      <w:rPr>
                        <w:rFonts w:ascii="Trebuchet MS" w:hAnsi="Trebuchet MS" w:eastAsia="Trebuchet MS" w:cs="Trebuchet MS"/>
                        <w:sz w:val="32"/>
                        <w:szCs w:val="32"/>
                        <w:b/>
                        <w:bCs/>
                        <w:color w:val="00C0AE"/>
                        <w:spacing w:val="-40"/>
                        <w:w w:val="96"/>
                      </w:rPr>
                      <w:t>393</w:t>
                    </w:r>
                  </w:p>
                  <w:p>
                    <w:pPr>
                      <w:ind w:left="1830"/>
                      <w:spacing w:before="85" w:line="188" w:lineRule="auto"/>
                      <w:rPr>
                        <w:rFonts w:ascii="Trebuchet MS" w:hAnsi="Trebuchet MS" w:eastAsia="Trebuchet MS" w:cs="Trebuchet MS"/>
                        <w:sz w:val="32"/>
                        <w:szCs w:val="32"/>
                      </w:rPr>
                    </w:pPr>
                    <w:r>
                      <w:rPr>
                        <w:rFonts w:ascii="Trebuchet MS" w:hAnsi="Trebuchet MS" w:eastAsia="Trebuchet MS" w:cs="Trebuchet MS"/>
                        <w:sz w:val="32"/>
                        <w:szCs w:val="32"/>
                        <w:b/>
                        <w:bCs/>
                        <w:color w:val="00C0AE"/>
                        <w:spacing w:val="-34"/>
                        <w:w w:val="93"/>
                      </w:rPr>
                      <w:t>303</w:t>
                    </w:r>
                  </w:p>
                  <w:p>
                    <w:pPr>
                      <w:ind w:left="2744"/>
                      <w:spacing w:before="30" w:line="196" w:lineRule="exact"/>
                      <w:rPr>
                        <w:rFonts w:ascii="Trebuchet MS" w:hAnsi="Trebuchet MS" w:eastAsia="Trebuchet MS" w:cs="Trebuchet MS"/>
                        <w:sz w:val="32"/>
                        <w:szCs w:val="32"/>
                      </w:rPr>
                    </w:pPr>
                    <w:r>
                      <w:rPr>
                        <w:rFonts w:ascii="Trebuchet MS" w:hAnsi="Trebuchet MS" w:eastAsia="Trebuchet MS" w:cs="Trebuchet MS"/>
                        <w:sz w:val="32"/>
                        <w:szCs w:val="32"/>
                        <w:b/>
                        <w:bCs/>
                        <w:color w:val="00C0AE"/>
                        <w:spacing w:val="-24"/>
                        <w:w w:val="87"/>
                        <w:position w:val="-8"/>
                      </w:rPr>
                      <w:t>226</w:t>
                    </w:r>
                  </w:p>
                  <w:p>
                    <w:pPr>
                      <w:ind w:left="3666"/>
                      <w:spacing w:line="179" w:lineRule="exact"/>
                      <w:rPr>
                        <w:rFonts w:ascii="Trebuchet MS" w:hAnsi="Trebuchet MS" w:eastAsia="Trebuchet MS" w:cs="Trebuchet MS"/>
                        <w:sz w:val="32"/>
                        <w:szCs w:val="32"/>
                      </w:rPr>
                    </w:pPr>
                    <w:r>
                      <w:rPr>
                        <w:rFonts w:ascii="Trebuchet MS" w:hAnsi="Trebuchet MS" w:eastAsia="Trebuchet MS" w:cs="Trebuchet MS"/>
                        <w:sz w:val="32"/>
                        <w:szCs w:val="32"/>
                        <w:b/>
                        <w:bCs/>
                        <w:color w:val="00C0AE"/>
                        <w:spacing w:val="-52"/>
                        <w:w w:val="96"/>
                        <w:position w:val="-3"/>
                      </w:rPr>
                      <w:t>185</w:t>
                    </w:r>
                  </w:p>
                  <w:p>
                    <w:pPr>
                      <w:spacing w:before="1" w:line="185" w:lineRule="auto"/>
                      <w:jc w:val="right"/>
                      <w:rPr>
                        <w:rFonts w:ascii="Trebuchet MS" w:hAnsi="Trebuchet MS" w:eastAsia="Trebuchet MS" w:cs="Trebuchet MS"/>
                        <w:sz w:val="32"/>
                        <w:szCs w:val="32"/>
                      </w:rPr>
                    </w:pPr>
                    <w:r>
                      <w:rPr>
                        <w:rFonts w:ascii="Trebuchet MS" w:hAnsi="Trebuchet MS" w:eastAsia="Trebuchet MS" w:cs="Trebuchet MS"/>
                        <w:sz w:val="32"/>
                        <w:szCs w:val="32"/>
                        <w:b/>
                        <w:bCs/>
                        <w:color w:val="00C0AE"/>
                        <w:spacing w:val="-40"/>
                        <w:w w:val="75"/>
                        <w:position w:val="1"/>
                      </w:rPr>
                      <w:t>1</w:t>
                    </w:r>
                    <w:r>
                      <w:rPr>
                        <w:rFonts w:ascii="Trebuchet MS" w:hAnsi="Trebuchet MS" w:eastAsia="Trebuchet MS" w:cs="Trebuchet MS"/>
                        <w:sz w:val="32"/>
                        <w:szCs w:val="32"/>
                        <w:b/>
                        <w:bCs/>
                        <w:color w:val="00C0AE"/>
                        <w:spacing w:val="-39"/>
                        <w:w w:val="75"/>
                        <w:position w:val="1"/>
                      </w:rPr>
                      <w:t>40</w:t>
                    </w:r>
                    <w:r>
                      <w:rPr>
                        <w:rFonts w:ascii="Trebuchet MS" w:hAnsi="Trebuchet MS" w:eastAsia="Trebuchet MS" w:cs="Trebuchet MS"/>
                        <w:sz w:val="32"/>
                        <w:szCs w:val="32"/>
                        <w:b/>
                        <w:bCs/>
                        <w:color w:val="00C0AE"/>
                        <w:spacing w:val="2"/>
                        <w:position w:val="1"/>
                      </w:rPr>
                      <w:t xml:space="preserve">      </w:t>
                    </w:r>
                    <w:r>
                      <w:rPr>
                        <w:rFonts w:ascii="Trebuchet MS" w:hAnsi="Trebuchet MS" w:eastAsia="Trebuchet MS" w:cs="Trebuchet MS"/>
                        <w:sz w:val="32"/>
                        <w:szCs w:val="32"/>
                        <w:b/>
                        <w:bCs/>
                        <w:color w:val="00C0AE"/>
                        <w:spacing w:val="-39"/>
                        <w:w w:val="75"/>
                        <w:position w:val="-1"/>
                      </w:rPr>
                      <w:t>13</w:t>
                    </w:r>
                    <w:r>
                      <w:rPr>
                        <w:rFonts w:ascii="Trebuchet MS" w:hAnsi="Trebuchet MS" w:eastAsia="Trebuchet MS" w:cs="Trebuchet MS"/>
                        <w:sz w:val="32"/>
                        <w:szCs w:val="32"/>
                        <w:b/>
                        <w:bCs/>
                        <w:color w:val="00C0AE"/>
                        <w:spacing w:val="-14"/>
                        <w:w w:val="75"/>
                        <w:position w:val="-1"/>
                      </w:rPr>
                      <w:t>2</w:t>
                    </w:r>
                  </w:p>
                </w:txbxContent>
              </v:textbox>
            </v:shape>
            <v:shape id="_x0000_s1128" style="position:absolute;left:5517;top:1830;width:329;height:262;" filled="false" stroked="false" type="#_x0000_t202">
              <v:fill on="false"/>
              <v:stroke on="false"/>
              <v:path/>
              <v:imagedata o:title=""/>
              <o:lock v:ext="edit" aspectratio="false"/>
              <v:textbox inset="0mm,0mm,0mm,0mm">
                <w:txbxContent>
                  <w:p>
                    <w:pPr>
                      <w:spacing w:before="19" w:line="188" w:lineRule="auto"/>
                      <w:jc w:val="right"/>
                      <w:rPr>
                        <w:rFonts w:ascii="Trebuchet MS" w:hAnsi="Trebuchet MS" w:eastAsia="Trebuchet MS" w:cs="Trebuchet MS"/>
                        <w:sz w:val="32"/>
                        <w:szCs w:val="32"/>
                      </w:rPr>
                    </w:pPr>
                    <w:r>
                      <w:rPr>
                        <w:rFonts w:ascii="Trebuchet MS" w:hAnsi="Trebuchet MS" w:eastAsia="Trebuchet MS" w:cs="Trebuchet MS"/>
                        <w:sz w:val="32"/>
                        <w:szCs w:val="32"/>
                        <w:b/>
                        <w:bCs/>
                        <w:color w:val="00C0AE"/>
                        <w:spacing w:val="-53"/>
                        <w:w w:val="79"/>
                      </w:rPr>
                      <w:t>161</w:t>
                    </w:r>
                  </w:p>
                </w:txbxContent>
              </v:textbox>
            </v:shape>
          </v:group>
        </w:pict>
      </w:r>
    </w:p>
    <w:p>
      <w:pPr>
        <w:ind w:left="913"/>
        <w:spacing w:line="55" w:lineRule="exact"/>
        <w:rPr/>
      </w:pPr>
      <w:r>
        <w:drawing>
          <wp:anchor distT="0" distB="0" distL="0" distR="0" simplePos="0" relativeHeight="253177856" behindDoc="1" locked="0" layoutInCell="1" allowOverlap="1">
            <wp:simplePos x="0" y="0"/>
            <wp:positionH relativeFrom="column">
              <wp:posOffset>5917124</wp:posOffset>
            </wp:positionH>
            <wp:positionV relativeFrom="paragraph">
              <wp:posOffset>-263588</wp:posOffset>
            </wp:positionV>
            <wp:extent cx="289559" cy="265175"/>
            <wp:effectExtent l="0" t="0" r="0" b="0"/>
            <wp:wrapNone/>
            <wp:docPr id="586" name="IM 586"/>
            <wp:cNvGraphicFramePr/>
            <a:graphic>
              <a:graphicData uri="http://schemas.openxmlformats.org/drawingml/2006/picture">
                <pic:pic>
                  <pic:nvPicPr>
                    <pic:cNvPr id="586" name="IM 586"/>
                    <pic:cNvPicPr/>
                  </pic:nvPicPr>
                  <pic:blipFill>
                    <a:blip r:embed="rId283"/>
                    <a:stretch>
                      <a:fillRect/>
                    </a:stretch>
                  </pic:blipFill>
                  <pic:spPr>
                    <a:xfrm rot="0">
                      <a:off x="0" y="0"/>
                      <a:ext cx="289559" cy="265175"/>
                    </a:xfrm>
                    <a:prstGeom prst="rect">
                      <a:avLst/>
                    </a:prstGeom>
                  </pic:spPr>
                </pic:pic>
              </a:graphicData>
            </a:graphic>
          </wp:anchor>
        </w:drawing>
      </w:r>
      <w:r>
        <w:rPr>
          <w:position w:val="-1"/>
        </w:rPr>
        <w:drawing>
          <wp:inline distT="0" distB="0" distL="0" distR="0">
            <wp:extent cx="5773038" cy="35115"/>
            <wp:effectExtent l="0" t="0" r="0" b="0"/>
            <wp:docPr id="588" name="IM 588"/>
            <wp:cNvGraphicFramePr/>
            <a:graphic>
              <a:graphicData uri="http://schemas.openxmlformats.org/drawingml/2006/picture">
                <pic:pic>
                  <pic:nvPicPr>
                    <pic:cNvPr id="588" name="IM 588"/>
                    <pic:cNvPicPr/>
                  </pic:nvPicPr>
                  <pic:blipFill>
                    <a:blip r:embed="rId284"/>
                    <a:stretch>
                      <a:fillRect/>
                    </a:stretch>
                  </pic:blipFill>
                  <pic:spPr>
                    <a:xfrm rot="0">
                      <a:off x="0" y="0"/>
                      <a:ext cx="5773038" cy="35115"/>
                    </a:xfrm>
                    <a:prstGeom prst="rect">
                      <a:avLst/>
                    </a:prstGeom>
                  </pic:spPr>
                </pic:pic>
              </a:graphicData>
            </a:graphic>
          </wp:inline>
        </w:drawing>
      </w:r>
    </w:p>
    <w:p>
      <w:pPr>
        <w:pStyle w:val="BodyText"/>
        <w:ind w:left="1172"/>
        <w:spacing w:before="86" w:line="196" w:lineRule="auto"/>
        <w:rPr>
          <w:sz w:val="18"/>
          <w:szCs w:val="18"/>
        </w:rPr>
      </w:pPr>
      <w:r>
        <w:rPr>
          <w:sz w:val="18"/>
          <w:szCs w:val="18"/>
        </w:rPr>
        <w:t>2013          2014          2015          2016          2017           2018          2019          2020          2021         2026E</w:t>
      </w:r>
    </w:p>
    <w:p>
      <w:pPr>
        <w:ind w:left="394"/>
        <w:spacing w:before="244" w:line="197"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3"/>
        </w:rPr>
        <w:t>数据来源： </w:t>
      </w:r>
      <w:r>
        <w:rPr>
          <w:rFonts w:ascii="Microsoft YaHei" w:hAnsi="Microsoft YaHei" w:eastAsia="Microsoft YaHei" w:cs="Microsoft YaHei"/>
          <w:sz w:val="15"/>
          <w:szCs w:val="15"/>
        </w:rPr>
        <w:t>BNEF</w:t>
      </w:r>
      <w:r>
        <w:rPr>
          <w:rFonts w:ascii="Microsoft YaHei" w:hAnsi="Microsoft YaHei" w:eastAsia="Microsoft YaHei" w:cs="Microsoft YaHei"/>
          <w:sz w:val="15"/>
          <w:szCs w:val="15"/>
          <w:spacing w:val="3"/>
        </w:rPr>
        <w:t>, 毕马威分析</w:t>
      </w:r>
    </w:p>
    <w:p>
      <w:pPr>
        <w:pStyle w:val="BodyText"/>
        <w:spacing w:line="242" w:lineRule="auto"/>
        <w:rPr/>
      </w:pPr>
      <w:r/>
    </w:p>
    <w:p>
      <w:pPr>
        <w:pStyle w:val="BodyText"/>
        <w:spacing w:line="242" w:lineRule="auto"/>
        <w:rPr/>
      </w:pPr>
      <w:r/>
    </w:p>
    <w:p>
      <w:pPr>
        <w:ind w:left="890" w:right="1241" w:hanging="411"/>
        <w:spacing w:before="48" w:line="150"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50" w:lineRule="auto"/>
        <w:sectPr>
          <w:type w:val="continuous"/>
          <w:pgSz w:w="12245" w:h="17180"/>
          <w:pgMar w:top="400" w:right="0" w:bottom="0" w:left="915" w:header="0" w:footer="0" w:gutter="0"/>
          <w:cols w:equalWidth="0" w:num="1">
            <w:col w:w="11330" w:space="0"/>
          </w:cols>
        </w:sectPr>
        <w:rPr>
          <w:rFonts w:ascii="Microsoft YaHei" w:hAnsi="Microsoft YaHei" w:eastAsia="Microsoft YaHei" w:cs="Microsoft YaHei"/>
          <w:sz w:val="11"/>
          <w:szCs w:val="11"/>
        </w:rPr>
      </w:pPr>
    </w:p>
    <w:p>
      <w:pPr>
        <w:ind w:left="963"/>
        <w:spacing w:before="314" w:line="193" w:lineRule="auto"/>
        <w:rPr>
          <w:rFonts w:ascii="Microsoft YaHei" w:hAnsi="Microsoft YaHei" w:eastAsia="Microsoft YaHei" w:cs="Microsoft YaHei"/>
          <w:sz w:val="18"/>
          <w:szCs w:val="18"/>
        </w:rPr>
      </w:pPr>
      <w:r>
        <w:drawing>
          <wp:anchor distT="0" distB="0" distL="0" distR="0" simplePos="0" relativeHeight="253217792" behindDoc="1" locked="0" layoutInCell="1" allowOverlap="1">
            <wp:simplePos x="0" y="0"/>
            <wp:positionH relativeFrom="column">
              <wp:posOffset>0</wp:posOffset>
            </wp:positionH>
            <wp:positionV relativeFrom="paragraph">
              <wp:posOffset>-254387</wp:posOffset>
            </wp:positionV>
            <wp:extent cx="7775447" cy="6888478"/>
            <wp:effectExtent l="0" t="0" r="0" b="0"/>
            <wp:wrapNone/>
            <wp:docPr id="590" name="IM 590"/>
            <wp:cNvGraphicFramePr/>
            <a:graphic>
              <a:graphicData uri="http://schemas.openxmlformats.org/drawingml/2006/picture">
                <pic:pic>
                  <pic:nvPicPr>
                    <pic:cNvPr id="590" name="IM 590"/>
                    <pic:cNvPicPr/>
                  </pic:nvPicPr>
                  <pic:blipFill>
                    <a:blip r:embed="rId285"/>
                    <a:stretch>
                      <a:fillRect/>
                    </a:stretch>
                  </pic:blipFill>
                  <pic:spPr>
                    <a:xfrm rot="0">
                      <a:off x="0" y="0"/>
                      <a:ext cx="7775447" cy="6888478"/>
                    </a:xfrm>
                    <a:prstGeom prst="rect">
                      <a:avLst/>
                    </a:prstGeom>
                  </pic:spPr>
                </pic:pic>
              </a:graphicData>
            </a:graphic>
          </wp:anchor>
        </w:drawing>
      </w:r>
      <w:r>
        <w:rPr>
          <w:rFonts w:ascii="Microsoft YaHei" w:hAnsi="Microsoft YaHei" w:eastAsia="Microsoft YaHei" w:cs="Microsoft YaHei"/>
          <w:sz w:val="18"/>
          <w:szCs w:val="18"/>
          <w:b/>
          <w:bCs/>
          <w:color w:val="A8A8A8"/>
          <w:spacing w:val="-1"/>
        </w:rPr>
        <w:t>57</w:t>
      </w:r>
      <w:r>
        <w:rPr>
          <w:rFonts w:ascii="Microsoft YaHei" w:hAnsi="Microsoft YaHei" w:eastAsia="Microsoft YaHei" w:cs="Microsoft YaHei"/>
          <w:sz w:val="18"/>
          <w:szCs w:val="18"/>
          <w:b/>
          <w:bCs/>
          <w:color w:val="A8A8A8"/>
          <w:spacing w:val="15"/>
        </w:rPr>
        <w:t xml:space="preserve">  </w:t>
      </w:r>
      <w:r>
        <w:rPr>
          <w:sz w:val="18"/>
          <w:szCs w:val="18"/>
          <w:position w:val="-4"/>
        </w:rPr>
        <w:drawing>
          <wp:inline distT="0" distB="0" distL="0" distR="0">
            <wp:extent cx="6350" cy="130175"/>
            <wp:effectExtent l="0" t="0" r="0" b="0"/>
            <wp:docPr id="592" name="IM 592"/>
            <wp:cNvGraphicFramePr/>
            <a:graphic>
              <a:graphicData uri="http://schemas.openxmlformats.org/drawingml/2006/picture">
                <pic:pic>
                  <pic:nvPicPr>
                    <pic:cNvPr id="592" name="IM 592"/>
                    <pic:cNvPicPr/>
                  </pic:nvPicPr>
                  <pic:blipFill>
                    <a:blip r:embed="rId286"/>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A8A8A8"/>
          <w:spacing w:val="26"/>
        </w:rPr>
        <w:t xml:space="preserve">  </w:t>
      </w:r>
      <w:r>
        <w:rPr>
          <w:rFonts w:ascii="Microsoft YaHei" w:hAnsi="Microsoft YaHei" w:eastAsia="Microsoft YaHei" w:cs="Microsoft YaHei"/>
          <w:sz w:val="18"/>
          <w:szCs w:val="18"/>
          <w:color w:val="A8A8A8"/>
          <w:spacing w:val="-1"/>
        </w:rPr>
        <w:t>新型储能助力能源转型</w:t>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left="1394"/>
        <w:spacing w:before="116" w:line="183" w:lineRule="auto"/>
        <w:outlineLvl w:val="0"/>
        <w:rPr>
          <w:rFonts w:ascii="Microsoft YaHei" w:hAnsi="Microsoft YaHei" w:eastAsia="Microsoft YaHei" w:cs="Microsoft YaHei"/>
          <w:sz w:val="27"/>
          <w:szCs w:val="27"/>
        </w:rPr>
      </w:pPr>
      <w:r>
        <mc:AlternateContent xmlns:mc="http://schemas.openxmlformats.org/markup-compatibility/2006">
          <mc:Choice Requires="wps">
            <w:drawing>
              <wp:anchor distT="0" distB="0" distL="0" distR="0" simplePos="0" relativeHeight="253218816" behindDoc="1" locked="0" layoutInCell="1" allowOverlap="1">
                <wp:simplePos x="0" y="0"/>
                <wp:positionH relativeFrom="column">
                  <wp:posOffset>826008</wp:posOffset>
                </wp:positionH>
                <wp:positionV relativeFrom="paragraph">
                  <wp:posOffset>7372</wp:posOffset>
                </wp:positionV>
                <wp:extent cx="5041900" cy="323215"/>
                <wp:effectExtent l="0" t="0" r="0" b="0"/>
                <wp:wrapNone/>
                <wp:docPr id="594" name="Rect 594"/>
                <wp:cNvGraphicFramePr/>
                <a:graphic>
                  <a:graphicData uri="http://schemas.microsoft.com/office/word/2010/wordprocessingShape">
                    <wps:wsp>
                      <wps:cNvPr id="594" name="Rect 594"/>
                      <wps:cNvSpPr/>
                      <wps:spPr>
                        <a:xfrm>
                          <a:off x="826008" y="7372"/>
                          <a:ext cx="5041900" cy="323215"/>
                        </a:xfrm>
                        <a:prstGeom prst="rect">
                          <a:avLst/>
                        </a:prstGeom>
                        <a:solidFill>
                          <a:srgbClr val="00C0AE"/>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130" style="position:absolute;margin-left:65.04pt;margin-top:0.580535pt;mso-position-vertical-relative:text;mso-position-horizontal-relative:text;width:397pt;height:25.45pt;z-index:-250097664;" fillcolor="#00C0AE" filled="true" stroked="false"/>
            </w:pict>
          </mc:Fallback>
        </mc:AlternateContent>
      </w:r>
      <w:r>
        <w:rPr>
          <w:rFonts w:ascii="Microsoft YaHei" w:hAnsi="Microsoft YaHei" w:eastAsia="Microsoft YaHei" w:cs="Microsoft YaHei"/>
          <w:sz w:val="27"/>
          <w:szCs w:val="27"/>
          <w:b/>
          <w:bCs/>
          <w:color w:val="FFFFFF"/>
          <w:spacing w:val="7"/>
        </w:rPr>
        <w:t>案例分析：家庭储能经济性分析</w:t>
      </w:r>
    </w:p>
    <w:p>
      <w:pPr>
        <w:ind w:left="1311" w:right="3156"/>
        <w:spacing w:before="305" w:line="21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澳大利亚由于光照条件好、同时地广人稀且山火和极端天气情况频发，发展分布式能</w:t>
      </w:r>
      <w:r>
        <w:rPr>
          <w:rFonts w:ascii="Microsoft YaHei" w:hAnsi="Microsoft YaHei" w:eastAsia="Microsoft YaHei" w:cs="Microsoft YaHei"/>
          <w:sz w:val="21"/>
          <w:szCs w:val="21"/>
          <w:spacing w:val="5"/>
        </w:rPr>
        <w:t xml:space="preserve"> </w:t>
      </w:r>
      <w:r>
        <w:rPr>
          <w:rFonts w:ascii="Microsoft YaHei" w:hAnsi="Microsoft YaHei" w:eastAsia="Microsoft YaHei" w:cs="Microsoft YaHei"/>
          <w:sz w:val="21"/>
          <w:szCs w:val="21"/>
          <w:spacing w:val="-1"/>
        </w:rPr>
        <w:t>源和储能的市场条件充分，未来有较大的发展空间。</w:t>
      </w:r>
    </w:p>
    <w:p>
      <w:pPr>
        <w:ind w:left="1309" w:right="3151" w:firstLine="15"/>
        <w:spacing w:before="206" w:line="21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以悉尼的一户父母均为工薪阶层的四口之家为例</w:t>
      </w:r>
      <w:r>
        <w:rPr>
          <w:rFonts w:ascii="Microsoft YaHei" w:hAnsi="Microsoft YaHei" w:eastAsia="Microsoft YaHei" w:cs="Microsoft YaHei"/>
          <w:sz w:val="21"/>
          <w:szCs w:val="21"/>
          <w:spacing w:val="-20"/>
        </w:rPr>
        <w:t xml:space="preserve"> </w:t>
      </w:r>
      <w:r>
        <w:rPr>
          <w:rFonts w:ascii="Microsoft YaHei" w:hAnsi="Microsoft YaHei" w:eastAsia="Microsoft YaHei" w:cs="Microsoft YaHei"/>
          <w:sz w:val="13"/>
          <w:szCs w:val="13"/>
          <w:spacing w:val="-1"/>
          <w:position w:val="6"/>
        </w:rPr>
        <w:t>61</w:t>
      </w:r>
      <w:r>
        <w:rPr>
          <w:rFonts w:ascii="Microsoft YaHei" w:hAnsi="Microsoft YaHei" w:eastAsia="Microsoft YaHei" w:cs="Microsoft YaHei"/>
          <w:sz w:val="21"/>
          <w:szCs w:val="21"/>
          <w:spacing w:val="-1"/>
        </w:rPr>
        <w:t>, 假设家庭每日电量消耗为22kWh,</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所安装的家庭储能系统为7kW光伏组件+13.3kWh储</w:t>
      </w:r>
      <w:r>
        <w:rPr>
          <w:rFonts w:ascii="Microsoft YaHei" w:hAnsi="Microsoft YaHei" w:eastAsia="Microsoft YaHei" w:cs="Microsoft YaHei"/>
          <w:sz w:val="21"/>
          <w:szCs w:val="21"/>
          <w:spacing w:val="-4"/>
        </w:rPr>
        <w:t>能电池。储能电池主要在04:00-</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18:00日照充足时利用光伏进行充电，在下班后到夜间电价高峰时</w:t>
      </w:r>
      <w:r>
        <w:rPr>
          <w:rFonts w:ascii="Microsoft YaHei" w:hAnsi="Microsoft YaHei" w:eastAsia="Microsoft YaHei" w:cs="Microsoft YaHei"/>
          <w:sz w:val="21"/>
          <w:szCs w:val="21"/>
          <w:spacing w:val="-2"/>
        </w:rPr>
        <w:t>段（通常为14:00-</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20:00）放电。与此同时，储能电池也可利用光伏组件不工作，但电</w:t>
      </w:r>
      <w:r>
        <w:rPr>
          <w:rFonts w:ascii="Microsoft YaHei" w:hAnsi="Microsoft YaHei" w:eastAsia="Microsoft YaHei" w:cs="Microsoft YaHei"/>
          <w:sz w:val="21"/>
          <w:szCs w:val="21"/>
          <w:spacing w:val="-1"/>
        </w:rPr>
        <w:t>价处于波谷时段</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（通常为22:00-07:00点）时进行充电（图22）。光伏+储能系统</w:t>
      </w:r>
      <w:r>
        <w:rPr>
          <w:rFonts w:ascii="Microsoft YaHei" w:hAnsi="Microsoft YaHei" w:eastAsia="Microsoft YaHei" w:cs="Microsoft YaHei"/>
          <w:sz w:val="21"/>
          <w:szCs w:val="21"/>
          <w:spacing w:val="-3"/>
        </w:rPr>
        <w:t>的使用使得家庭对电</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网供电的依靠减少了71%，且几乎不需要支付波峰电价。家庭的年碳减排量相当于每 </w:t>
      </w:r>
      <w:r>
        <w:rPr>
          <w:rFonts w:ascii="Microsoft YaHei" w:hAnsi="Microsoft YaHei" w:eastAsia="Microsoft YaHei" w:cs="Microsoft YaHei"/>
          <w:sz w:val="21"/>
          <w:szCs w:val="21"/>
          <w:spacing w:val="-3"/>
        </w:rPr>
        <w:t>年减少2.2辆燃油车上路。</w:t>
      </w:r>
    </w:p>
    <w:p>
      <w:pPr>
        <w:pStyle w:val="BodyText"/>
        <w:spacing w:line="291" w:lineRule="auto"/>
        <w:rPr/>
      </w:pPr>
      <w:r/>
    </w:p>
    <w:p>
      <w:pPr>
        <w:ind w:firstLine="1300"/>
        <w:spacing w:line="585" w:lineRule="exact"/>
        <w:rPr/>
      </w:pPr>
      <w:r>
        <w:rPr>
          <w:position w:val="-11"/>
        </w:rPr>
        <w:pict>
          <v:group id="_x0000_s1132" style="mso-position-vertical-relative:line;mso-position-horizontal-relative:char;width:482.2pt;height:29.3pt;" filled="false" stroked="false" coordsize="9644,585" coordorigin="0,0">
            <v:group id="_x0000_s1134" style="position:absolute;left:0;top:0;width:9644;height:585;" filled="false" stroked="false" coordsize="9644,585" coordorigin="0,0">
              <v:shape id="_x0000_s1136" style="position:absolute;left:0;top:66;width:9644;height:519;" fillcolor="#F1F1F1" filled="true" stroked="false" coordsize="9644,519" coordorigin="0,0" path="m,l9643,0l9643,518l0,518l0,0xe"/>
              <v:shape id="_x0000_s1138" style="position:absolute;left:2;top:0;width:610;height:100;" filled="false" strokecolor="#00C0AE" strokeweight="5.00pt" coordsize="610,100" coordorigin="0,0" path="m0,50l610,50e">
                <v:stroke joinstyle="miter"/>
              </v:shape>
            </v:group>
            <v:shape id="_x0000_s1140" style="position:absolute;left:-20;top:-20;width:9684;height:625;" filled="false" stroked="false" type="#_x0000_t202">
              <v:fill on="false"/>
              <v:stroke on="false"/>
              <v:path/>
              <v:imagedata o:title=""/>
              <o:lock v:ext="edit" aspectratio="false"/>
              <v:textbox inset="0mm,0mm,0mm,0mm">
                <w:txbxContent>
                  <w:p>
                    <w:pPr>
                      <w:ind w:left="180"/>
                      <w:spacing w:before="207" w:line="21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C0AE"/>
                        <w:spacing w:val="-3"/>
                      </w:rPr>
                      <w:t>图 22 </w:t>
                    </w:r>
                    <w:r>
                      <w:rPr>
                        <w:sz w:val="21"/>
                        <w:szCs w:val="21"/>
                        <w:position w:val="-5"/>
                      </w:rPr>
                      <w:drawing>
                        <wp:inline distT="0" distB="0" distL="0" distR="0">
                          <wp:extent cx="12700" cy="175666"/>
                          <wp:effectExtent l="0" t="0" r="0" b="0"/>
                          <wp:docPr id="596" name="IM 596"/>
                          <wp:cNvGraphicFramePr/>
                          <a:graphic>
                            <a:graphicData uri="http://schemas.openxmlformats.org/drawingml/2006/picture">
                              <pic:pic>
                                <pic:nvPicPr>
                                  <pic:cNvPr id="596" name="IM 596"/>
                                  <pic:cNvPicPr/>
                                </pic:nvPicPr>
                                <pic:blipFill>
                                  <a:blip r:embed="rId287"/>
                                  <a:stretch>
                                    <a:fillRect/>
                                  </a:stretch>
                                </pic:blipFill>
                                <pic:spPr>
                                  <a:xfrm rot="0">
                                    <a:off x="0" y="0"/>
                                    <a:ext cx="12700" cy="175666"/>
                                  </a:xfrm>
                                  <a:prstGeom prst="rect">
                                    <a:avLst/>
                                  </a:prstGeom>
                                </pic:spPr>
                              </pic:pic>
                            </a:graphicData>
                          </a:graphic>
                        </wp:inline>
                      </w:drawing>
                    </w:r>
                    <w:r>
                      <w:rPr>
                        <w:rFonts w:ascii="Microsoft YaHei" w:hAnsi="Microsoft YaHei" w:eastAsia="Microsoft YaHei" w:cs="Microsoft YaHei"/>
                        <w:sz w:val="21"/>
                        <w:szCs w:val="21"/>
                        <w:b/>
                        <w:bCs/>
                        <w:color w:val="00C0AE"/>
                        <w:spacing w:val="30"/>
                      </w:rPr>
                      <w:t xml:space="preserve">  </w:t>
                    </w:r>
                    <w:r>
                      <w:rPr>
                        <w:rFonts w:ascii="Microsoft YaHei" w:hAnsi="Microsoft YaHei" w:eastAsia="Microsoft YaHei" w:cs="Microsoft YaHei"/>
                        <w:sz w:val="21"/>
                        <w:szCs w:val="21"/>
                        <w:b/>
                        <w:bCs/>
                        <w:color w:val="00C0AE"/>
                        <w:spacing w:val="-3"/>
                      </w:rPr>
                      <w:t>户储光伏+储能系统的充放电工作时间表示意图，kWh</w:t>
                    </w:r>
                  </w:p>
                </w:txbxContent>
              </v:textbox>
            </v:shape>
          </v:group>
        </w:pict>
      </w:r>
    </w:p>
    <w:p>
      <w:pPr>
        <w:spacing w:before="56"/>
        <w:rPr/>
      </w:pPr>
      <w:r/>
    </w:p>
    <w:p>
      <w:pPr>
        <w:sectPr>
          <w:pgSz w:w="12245" w:h="17180"/>
          <w:pgMar w:top="400" w:right="0" w:bottom="0" w:left="0" w:header="0" w:footer="0" w:gutter="0"/>
          <w:cols w:equalWidth="0" w:num="1">
            <w:col w:w="12245" w:space="0"/>
          </w:cols>
        </w:sectPr>
        <w:rPr/>
      </w:pPr>
    </w:p>
    <w:p>
      <w:pPr>
        <w:ind w:left="1393" w:right="104" w:hanging="1"/>
        <w:spacing w:before="73" w:line="247" w:lineRule="auto"/>
        <w:jc w:val="both"/>
        <w:rPr>
          <w:rFonts w:ascii="Microsoft YaHei" w:hAnsi="Microsoft YaHei" w:eastAsia="Microsoft YaHei" w:cs="Microsoft YaHei"/>
          <w:sz w:val="18"/>
          <w:szCs w:val="18"/>
        </w:rPr>
      </w:pPr>
      <w:r>
        <w:rPr>
          <w:rFonts w:ascii="Microsoft YaHei" w:hAnsi="Microsoft YaHei" w:eastAsia="Microsoft YaHei" w:cs="Microsoft YaHei"/>
          <w:sz w:val="18"/>
          <w:szCs w:val="18"/>
          <w:spacing w:val="-2"/>
        </w:rPr>
        <w:t>4.0</w:t>
      </w:r>
      <w:r>
        <w:rPr>
          <w:rFonts w:ascii="Microsoft YaHei" w:hAnsi="Microsoft YaHei" w:eastAsia="Microsoft YaHei" w:cs="Microsoft YaHei"/>
          <w:sz w:val="18"/>
          <w:szCs w:val="18"/>
          <w:spacing w:val="1"/>
        </w:rPr>
        <w:t xml:space="preserve"> </w:t>
      </w:r>
      <w:r>
        <w:rPr>
          <w:rFonts w:ascii="Microsoft YaHei" w:hAnsi="Microsoft YaHei" w:eastAsia="Microsoft YaHei" w:cs="Microsoft YaHei"/>
          <w:sz w:val="18"/>
          <w:szCs w:val="18"/>
          <w:spacing w:val="-2"/>
        </w:rPr>
        <w:t>3.5</w:t>
      </w:r>
      <w:r>
        <w:rPr>
          <w:rFonts w:ascii="Microsoft YaHei" w:hAnsi="Microsoft YaHei" w:eastAsia="Microsoft YaHei" w:cs="Microsoft YaHei"/>
          <w:sz w:val="18"/>
          <w:szCs w:val="18"/>
        </w:rPr>
        <w:t xml:space="preserve"> </w:t>
      </w:r>
      <w:r>
        <w:rPr>
          <w:rFonts w:ascii="Microsoft YaHei" w:hAnsi="Microsoft YaHei" w:eastAsia="Microsoft YaHei" w:cs="Microsoft YaHei"/>
          <w:sz w:val="18"/>
          <w:szCs w:val="18"/>
          <w:spacing w:val="-2"/>
        </w:rPr>
        <w:t>3.0</w:t>
      </w:r>
      <w:r>
        <w:rPr>
          <w:rFonts w:ascii="Microsoft YaHei" w:hAnsi="Microsoft YaHei" w:eastAsia="Microsoft YaHei" w:cs="Microsoft YaHei"/>
          <w:sz w:val="18"/>
          <w:szCs w:val="18"/>
        </w:rPr>
        <w:t xml:space="preserve"> </w:t>
      </w:r>
      <w:r>
        <w:rPr>
          <w:rFonts w:ascii="Microsoft YaHei" w:hAnsi="Microsoft YaHei" w:eastAsia="Microsoft YaHei" w:cs="Microsoft YaHei"/>
          <w:sz w:val="18"/>
          <w:szCs w:val="18"/>
          <w:spacing w:val="-2"/>
        </w:rPr>
        <w:t>2.5</w:t>
      </w:r>
      <w:r>
        <w:rPr>
          <w:rFonts w:ascii="Microsoft YaHei" w:hAnsi="Microsoft YaHei" w:eastAsia="Microsoft YaHei" w:cs="Microsoft YaHei"/>
          <w:sz w:val="18"/>
          <w:szCs w:val="18"/>
        </w:rPr>
        <w:t xml:space="preserve"> </w:t>
      </w:r>
      <w:r>
        <w:rPr>
          <w:rFonts w:ascii="Microsoft YaHei" w:hAnsi="Microsoft YaHei" w:eastAsia="Microsoft YaHei" w:cs="Microsoft YaHei"/>
          <w:sz w:val="18"/>
          <w:szCs w:val="18"/>
          <w:spacing w:val="-2"/>
        </w:rPr>
        <w:t>2.0</w:t>
      </w:r>
      <w:r>
        <w:rPr>
          <w:rFonts w:ascii="Microsoft YaHei" w:hAnsi="Microsoft YaHei" w:eastAsia="Microsoft YaHei" w:cs="Microsoft YaHei"/>
          <w:sz w:val="18"/>
          <w:szCs w:val="18"/>
        </w:rPr>
        <w:t xml:space="preserve"> </w:t>
      </w:r>
      <w:r>
        <w:rPr>
          <w:rFonts w:ascii="Microsoft YaHei" w:hAnsi="Microsoft YaHei" w:eastAsia="Microsoft YaHei" w:cs="Microsoft YaHei"/>
          <w:sz w:val="18"/>
          <w:szCs w:val="18"/>
          <w:spacing w:val="-2"/>
        </w:rPr>
        <w:t>2.0</w:t>
      </w:r>
      <w:r>
        <w:rPr>
          <w:rFonts w:ascii="Microsoft YaHei" w:hAnsi="Microsoft YaHei" w:eastAsia="Microsoft YaHei" w:cs="Microsoft YaHei"/>
          <w:sz w:val="18"/>
          <w:szCs w:val="18"/>
        </w:rPr>
        <w:t xml:space="preserve"> </w:t>
      </w:r>
      <w:r>
        <w:rPr>
          <w:rFonts w:ascii="Microsoft YaHei" w:hAnsi="Microsoft YaHei" w:eastAsia="Microsoft YaHei" w:cs="Microsoft YaHei"/>
          <w:sz w:val="18"/>
          <w:szCs w:val="18"/>
          <w:spacing w:val="-2"/>
        </w:rPr>
        <w:t>1.5</w:t>
      </w:r>
      <w:r>
        <w:rPr>
          <w:rFonts w:ascii="Microsoft YaHei" w:hAnsi="Microsoft YaHei" w:eastAsia="Microsoft YaHei" w:cs="Microsoft YaHei"/>
          <w:sz w:val="18"/>
          <w:szCs w:val="18"/>
        </w:rPr>
        <w:t xml:space="preserve"> </w:t>
      </w:r>
      <w:r>
        <w:rPr>
          <w:rFonts w:ascii="Microsoft YaHei" w:hAnsi="Microsoft YaHei" w:eastAsia="Microsoft YaHei" w:cs="Microsoft YaHei"/>
          <w:sz w:val="18"/>
          <w:szCs w:val="18"/>
          <w:spacing w:val="-2"/>
        </w:rPr>
        <w:t>1.0</w:t>
      </w:r>
      <w:r>
        <w:rPr>
          <w:rFonts w:ascii="Microsoft YaHei" w:hAnsi="Microsoft YaHei" w:eastAsia="Microsoft YaHei" w:cs="Microsoft YaHei"/>
          <w:sz w:val="18"/>
          <w:szCs w:val="18"/>
        </w:rPr>
        <w:t xml:space="preserve"> </w:t>
      </w:r>
      <w:r>
        <w:rPr>
          <w:rFonts w:ascii="Microsoft YaHei" w:hAnsi="Microsoft YaHei" w:eastAsia="Microsoft YaHei" w:cs="Microsoft YaHei"/>
          <w:sz w:val="18"/>
          <w:szCs w:val="18"/>
          <w:spacing w:val="-2"/>
        </w:rPr>
        <w:t>0.5</w:t>
      </w:r>
      <w:r>
        <w:rPr>
          <w:rFonts w:ascii="Microsoft YaHei" w:hAnsi="Microsoft YaHei" w:eastAsia="Microsoft YaHei" w:cs="Microsoft YaHei"/>
          <w:sz w:val="18"/>
          <w:szCs w:val="18"/>
        </w:rPr>
        <w:t xml:space="preserve"> </w:t>
      </w:r>
      <w:r>
        <w:rPr>
          <w:rFonts w:ascii="Microsoft YaHei" w:hAnsi="Microsoft YaHei" w:eastAsia="Microsoft YaHei" w:cs="Microsoft YaHei"/>
          <w:sz w:val="18"/>
          <w:szCs w:val="18"/>
          <w:spacing w:val="-2"/>
        </w:rPr>
        <w:t>0.0</w:t>
      </w:r>
    </w:p>
    <w:p>
      <w:pPr>
        <w:pStyle w:val="BodyText"/>
        <w:spacing w:line="14" w:lineRule="auto"/>
        <w:rPr>
          <w:sz w:val="2"/>
        </w:rPr>
      </w:pPr>
      <w:r>
        <w:rPr>
          <w:sz w:val="2"/>
          <w:szCs w:val="2"/>
        </w:rPr>
        <w:br w:type="column"/>
      </w:r>
    </w:p>
    <w:p>
      <w:pPr>
        <w:pStyle w:val="BodyText"/>
        <w:spacing w:line="274" w:lineRule="auto"/>
        <w:rPr/>
      </w:pPr>
      <w:r>
        <w:pict>
          <v:shape id="_x0000_s1142" style="position:absolute;margin-left:0.25pt;margin-top:1.88644pt;mso-position-vertical-relative:text;mso-position-horizontal-relative:text;width:0.5pt;height:150.7pt;z-index:253222912;" filled="false" strokecolor="#000000" strokeweight="0.50pt" coordsize="10,3013" coordorigin="0,0" path="m5,0l5,3013e">
            <v:stroke joinstyle="miter"/>
          </v:shape>
        </w:pict>
      </w:r>
      <w:r/>
    </w:p>
    <w:p>
      <w:pPr>
        <w:pStyle w:val="BodyText"/>
        <w:spacing w:line="275" w:lineRule="auto"/>
        <w:rPr/>
      </w:pPr>
      <w:r/>
    </w:p>
    <w:p>
      <w:pPr>
        <w:ind w:left="3506" w:right="5478" w:firstLine="4"/>
        <w:spacing w:before="77" w:line="197" w:lineRule="exact"/>
        <w:rPr>
          <w:rFonts w:ascii="Microsoft YaHei" w:hAnsi="Microsoft YaHei" w:eastAsia="Microsoft YaHei" w:cs="Microsoft YaHei"/>
          <w:sz w:val="18"/>
          <w:szCs w:val="18"/>
        </w:rPr>
      </w:pPr>
      <w:r>
        <w:pict>
          <v:shape id="_x0000_s1144" style="position:absolute;margin-left:17.1479pt;margin-top:11.473pt;mso-position-vertical-relative:text;mso-position-horizontal-relative:text;width:87.65pt;height:56.65pt;z-index:253220864;" filled="false" stroked="false" type="#_x0000_t202">
            <v:fill on="false"/>
            <v:stroke on="false"/>
            <v:path/>
            <v:imagedata o:title=""/>
            <o:lock v:ext="edit" aspectratio="false"/>
            <v:textbox inset="0mm,0mm,0mm,0mm">
              <w:txbxContent>
                <w:p>
                  <w:pPr>
                    <w:ind w:left="20" w:right="20" w:firstLine="2"/>
                    <w:spacing w:before="18" w:line="170" w:lineRule="auto"/>
                    <w:jc w:val="both"/>
                    <w:rPr>
                      <w:rFonts w:ascii="Microsoft YaHei" w:hAnsi="Microsoft YaHei" w:eastAsia="Microsoft YaHei" w:cs="Microsoft YaHei"/>
                      <w:sz w:val="18"/>
                      <w:szCs w:val="18"/>
                    </w:rPr>
                  </w:pPr>
                  <w:r>
                    <w:rPr>
                      <w:rFonts w:ascii="Microsoft YaHei" w:hAnsi="Microsoft YaHei" w:eastAsia="Microsoft YaHei" w:cs="Microsoft YaHei"/>
                      <w:sz w:val="18"/>
                      <w:szCs w:val="18"/>
                      <w:color w:val="00C0AE"/>
                      <w:spacing w:val="1"/>
                    </w:rPr>
                    <w:t>在太阳能发电无法支</w:t>
                  </w:r>
                  <w:r>
                    <w:rPr>
                      <w:rFonts w:ascii="Microsoft YaHei" w:hAnsi="Microsoft YaHei" w:eastAsia="Microsoft YaHei" w:cs="Microsoft YaHei"/>
                      <w:sz w:val="18"/>
                      <w:szCs w:val="18"/>
                      <w:color w:val="00C0AE"/>
                    </w:rPr>
                    <w:t xml:space="preserve">  </w:t>
                  </w:r>
                  <w:r>
                    <w:rPr>
                      <w:rFonts w:ascii="Microsoft YaHei" w:hAnsi="Microsoft YaHei" w:eastAsia="Microsoft YaHei" w:cs="Microsoft YaHei"/>
                      <w:sz w:val="18"/>
                      <w:szCs w:val="18"/>
                      <w:color w:val="00C0AE"/>
                      <w:spacing w:val="1"/>
                    </w:rPr>
                    <w:t>撑储能电池工作的情</w:t>
                  </w:r>
                  <w:r>
                    <w:rPr>
                      <w:rFonts w:ascii="Microsoft YaHei" w:hAnsi="Microsoft YaHei" w:eastAsia="Microsoft YaHei" w:cs="Microsoft YaHei"/>
                      <w:sz w:val="18"/>
                      <w:szCs w:val="18"/>
                      <w:color w:val="00C0AE"/>
                    </w:rPr>
                    <w:t xml:space="preserve">  </w:t>
                  </w:r>
                  <w:r>
                    <w:rPr>
                      <w:rFonts w:ascii="Microsoft YaHei" w:hAnsi="Microsoft YaHei" w:eastAsia="Microsoft YaHei" w:cs="Microsoft YaHei"/>
                      <w:sz w:val="18"/>
                      <w:szCs w:val="18"/>
                      <w:color w:val="00C0AE"/>
                      <w:spacing w:val="-1"/>
                    </w:rPr>
                    <w:t>况下，电池会在晚10</w:t>
                  </w:r>
                  <w:r>
                    <w:rPr>
                      <w:rFonts w:ascii="Microsoft YaHei" w:hAnsi="Microsoft YaHei" w:eastAsia="Microsoft YaHei" w:cs="Microsoft YaHei"/>
                      <w:sz w:val="18"/>
                      <w:szCs w:val="18"/>
                      <w:color w:val="00C0AE"/>
                      <w:spacing w:val="4"/>
                    </w:rPr>
                    <w:t xml:space="preserve">  </w:t>
                  </w:r>
                  <w:r>
                    <w:rPr>
                      <w:rFonts w:ascii="Microsoft YaHei" w:hAnsi="Microsoft YaHei" w:eastAsia="Microsoft YaHei" w:cs="Microsoft YaHei"/>
                      <w:sz w:val="18"/>
                      <w:szCs w:val="18"/>
                      <w:color w:val="00C0AE"/>
                      <w:spacing w:val="-3"/>
                    </w:rPr>
                    <w:t>点—早7点电价波谷时</w:t>
                  </w:r>
                  <w:r>
                    <w:rPr>
                      <w:rFonts w:ascii="Microsoft YaHei" w:hAnsi="Microsoft YaHei" w:eastAsia="Microsoft YaHei" w:cs="Microsoft YaHei"/>
                      <w:sz w:val="18"/>
                      <w:szCs w:val="18"/>
                      <w:color w:val="00C0AE"/>
                      <w:spacing w:val="1"/>
                    </w:rPr>
                    <w:t xml:space="preserve"> </w:t>
                  </w:r>
                  <w:r>
                    <w:rPr>
                      <w:rFonts w:ascii="Microsoft YaHei" w:hAnsi="Microsoft YaHei" w:eastAsia="Microsoft YaHei" w:cs="Microsoft YaHei"/>
                      <w:sz w:val="18"/>
                      <w:szCs w:val="18"/>
                      <w:color w:val="00C0AE"/>
                      <w:spacing w:val="-5"/>
                    </w:rPr>
                    <w:t>段充电。</w:t>
                  </w:r>
                </w:p>
              </w:txbxContent>
            </v:textbox>
          </v:shape>
        </w:pict>
      </w:r>
      <w:r>
        <w:drawing>
          <wp:anchor distT="0" distB="0" distL="0" distR="0" simplePos="0" relativeHeight="253219840" behindDoc="1" locked="0" layoutInCell="1" allowOverlap="1">
            <wp:simplePos x="0" y="0"/>
            <wp:positionH relativeFrom="column">
              <wp:posOffset>135285</wp:posOffset>
            </wp:positionH>
            <wp:positionV relativeFrom="paragraph">
              <wp:posOffset>-298978</wp:posOffset>
            </wp:positionV>
            <wp:extent cx="5210917" cy="1892071"/>
            <wp:effectExtent l="0" t="0" r="0" b="0"/>
            <wp:wrapNone/>
            <wp:docPr id="598" name="IM 598"/>
            <wp:cNvGraphicFramePr/>
            <a:graphic>
              <a:graphicData uri="http://schemas.openxmlformats.org/drawingml/2006/picture">
                <pic:pic>
                  <pic:nvPicPr>
                    <pic:cNvPr id="598" name="IM 598"/>
                    <pic:cNvPicPr/>
                  </pic:nvPicPr>
                  <pic:blipFill>
                    <a:blip r:embed="rId288"/>
                    <a:stretch>
                      <a:fillRect/>
                    </a:stretch>
                  </pic:blipFill>
                  <pic:spPr>
                    <a:xfrm rot="0">
                      <a:off x="0" y="0"/>
                      <a:ext cx="5210917" cy="1892071"/>
                    </a:xfrm>
                    <a:prstGeom prst="rect">
                      <a:avLst/>
                    </a:prstGeom>
                  </pic:spPr>
                </pic:pic>
              </a:graphicData>
            </a:graphic>
          </wp:anchor>
        </w:drawing>
      </w:r>
      <w:r>
        <w:rPr>
          <w:rFonts w:ascii="Microsoft YaHei" w:hAnsi="Microsoft YaHei" w:eastAsia="Microsoft YaHei" w:cs="Microsoft YaHei"/>
          <w:sz w:val="18"/>
          <w:szCs w:val="18"/>
          <w:color w:val="00C0AE"/>
          <w:spacing w:val="1"/>
          <w:position w:val="1"/>
        </w:rPr>
        <w:t>此时段电池主要</w:t>
      </w:r>
      <w:r>
        <w:rPr>
          <w:rFonts w:ascii="Microsoft YaHei" w:hAnsi="Microsoft YaHei" w:eastAsia="Microsoft YaHei" w:cs="Microsoft YaHei"/>
          <w:sz w:val="18"/>
          <w:szCs w:val="18"/>
          <w:color w:val="00C0AE"/>
          <w:position w:val="1"/>
        </w:rPr>
        <w:t xml:space="preserve">   </w:t>
      </w:r>
      <w:r>
        <w:rPr>
          <w:rFonts w:ascii="Microsoft YaHei" w:hAnsi="Microsoft YaHei" w:eastAsia="Microsoft YaHei" w:cs="Microsoft YaHei"/>
          <w:sz w:val="18"/>
          <w:szCs w:val="18"/>
          <w:color w:val="00C0AE"/>
          <w:spacing w:val="-4"/>
          <w:position w:val="-1"/>
        </w:rPr>
        <w:t>使用太阳能充电。</w:t>
      </w:r>
    </w:p>
    <w:p>
      <w:pPr>
        <w:ind w:left="6578" w:right="1941"/>
        <w:spacing w:before="2" w:line="172"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00C0AE"/>
          <w:spacing w:val="-3"/>
        </w:rPr>
        <w:t>电池在下午2点-8点这一</w:t>
      </w:r>
      <w:r>
        <w:rPr>
          <w:rFonts w:ascii="Microsoft YaHei" w:hAnsi="Microsoft YaHei" w:eastAsia="Microsoft YaHei" w:cs="Microsoft YaHei"/>
          <w:sz w:val="18"/>
          <w:szCs w:val="18"/>
          <w:color w:val="00C0AE"/>
          <w:spacing w:val="3"/>
        </w:rPr>
        <w:t xml:space="preserve"> </w:t>
      </w:r>
      <w:r>
        <w:rPr>
          <w:rFonts w:ascii="Microsoft YaHei" w:hAnsi="Microsoft YaHei" w:eastAsia="Microsoft YaHei" w:cs="Microsoft YaHei"/>
          <w:sz w:val="18"/>
          <w:szCs w:val="18"/>
          <w:color w:val="00C0AE"/>
          <w:spacing w:val="-1"/>
        </w:rPr>
        <w:t>电价波峰时段放电。</w:t>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
        <w:spacing w:before="1" w:line="25" w:lineRule="exact"/>
        <w:rPr/>
      </w:pPr>
      <w:r>
        <w:rPr/>
        <w:pict>
          <v:shape id="_x0000_s1146" style="mso-position-vertical-relative:line;mso-position-horizontal-relative:char;width:452.8pt;height:1.3pt;" filled="false" strokecolor="#000000" strokeweight="0.50pt" coordsize="9055,25" coordorigin="0,0" path="m0,20l9055,5e">
            <v:stroke joinstyle="miter"/>
          </v:shape>
        </w:pict>
      </w:r>
    </w:p>
    <w:p>
      <w:pPr>
        <w:ind w:left="34"/>
        <w:spacing w:before="57" w:line="140" w:lineRule="exact"/>
        <w:rPr>
          <w:rFonts w:ascii="Microsoft YaHei" w:hAnsi="Microsoft YaHei" w:eastAsia="Microsoft YaHei" w:cs="Microsoft YaHei"/>
          <w:sz w:val="18"/>
          <w:szCs w:val="18"/>
        </w:rPr>
      </w:pPr>
      <w:r>
        <w:rPr>
          <w:rFonts w:ascii="Microsoft YaHei" w:hAnsi="Microsoft YaHei" w:eastAsia="Microsoft YaHei" w:cs="Microsoft YaHei"/>
          <w:sz w:val="18"/>
          <w:szCs w:val="18"/>
          <w:spacing w:val="-2"/>
          <w:position w:val="-3"/>
        </w:rPr>
        <w:t>00:00            03:00             06:00            09:00</w:t>
      </w:r>
      <w:r>
        <w:rPr>
          <w:rFonts w:ascii="Microsoft YaHei" w:hAnsi="Microsoft YaHei" w:eastAsia="Microsoft YaHei" w:cs="Microsoft YaHei"/>
          <w:sz w:val="18"/>
          <w:szCs w:val="18"/>
          <w:spacing w:val="-3"/>
          <w:position w:val="-3"/>
        </w:rPr>
        <w:t xml:space="preserve">             12:00             15:00             18:00            21:00</w:t>
      </w:r>
    </w:p>
    <w:p>
      <w:pPr>
        <w:spacing w:line="140" w:lineRule="exact"/>
        <w:sectPr>
          <w:type w:val="continuous"/>
          <w:pgSz w:w="12245" w:h="17180"/>
          <w:pgMar w:top="400" w:right="0" w:bottom="0" w:left="0" w:header="0" w:footer="0" w:gutter="0"/>
          <w:cols w:equalWidth="0" w:num="2">
            <w:col w:w="1748" w:space="100"/>
            <w:col w:w="10397" w:space="0"/>
          </w:cols>
        </w:sectPr>
        <w:rPr>
          <w:rFonts w:ascii="Microsoft YaHei" w:hAnsi="Microsoft YaHei" w:eastAsia="Microsoft YaHei" w:cs="Microsoft YaHei"/>
          <w:sz w:val="18"/>
          <w:szCs w:val="18"/>
        </w:rPr>
      </w:pPr>
    </w:p>
    <w:p>
      <w:pPr>
        <w:ind w:left="1864"/>
        <w:spacing w:before="297" w:line="190" w:lineRule="auto"/>
        <w:rPr>
          <w:rFonts w:ascii="Microsoft YaHei" w:hAnsi="Microsoft YaHei" w:eastAsia="Microsoft YaHei" w:cs="Microsoft YaHei"/>
          <w:sz w:val="18"/>
          <w:szCs w:val="18"/>
        </w:rPr>
      </w:pPr>
      <w:r>
        <mc:AlternateContent xmlns:mc="http://schemas.openxmlformats.org/markup-compatibility/2006">
          <mc:Choice Requires="wps">
            <w:drawing>
              <wp:anchor distT="0" distB="0" distL="0" distR="0" simplePos="0" relativeHeight="253216768" behindDoc="1" locked="0" layoutInCell="1" allowOverlap="1">
                <wp:simplePos x="0" y="0"/>
                <wp:positionH relativeFrom="column">
                  <wp:posOffset>7772272</wp:posOffset>
                </wp:positionH>
                <wp:positionV relativeFrom="paragraph">
                  <wp:posOffset>-9285093</wp:posOffset>
                </wp:positionV>
                <wp:extent cx="3175" cy="10909300"/>
                <wp:effectExtent l="0" t="0" r="0" b="0"/>
                <wp:wrapNone/>
                <wp:docPr id="600" name="Rect 600"/>
                <wp:cNvGraphicFramePr/>
                <a:graphic>
                  <a:graphicData uri="http://schemas.microsoft.com/office/word/2010/wordprocessingShape">
                    <wps:wsp>
                      <wps:cNvPr id="600" name="Rect 600"/>
                      <wps:cNvSpPr/>
                      <wps:spPr>
                        <a:xfrm>
                          <a:off x="7772272" y="-9285093"/>
                          <a:ext cx="3175" cy="109093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148" style="position:absolute;margin-left:611.99pt;margin-top:-731.11pt;mso-position-vertical-relative:text;mso-position-horizontal-relative:text;width:0.25pt;height:859pt;z-index:-250099712;" fillcolor="#000000" filled="true" stroked="false"/>
            </w:pict>
          </mc:Fallback>
        </mc:AlternateContent>
      </w:r>
      <w:r>
        <w:rPr>
          <w:rFonts w:ascii="Microsoft YaHei" w:hAnsi="Microsoft YaHei" w:eastAsia="Microsoft YaHei" w:cs="Microsoft YaHei"/>
          <w:sz w:val="18"/>
          <w:szCs w:val="18"/>
          <w:position w:val="4"/>
        </w:rPr>
        <w:drawing>
          <wp:inline distT="0" distB="0" distL="0" distR="0">
            <wp:extent cx="287997" cy="38100"/>
            <wp:effectExtent l="0" t="0" r="0" b="0"/>
            <wp:docPr id="602" name="IM 602"/>
            <wp:cNvGraphicFramePr/>
            <a:graphic>
              <a:graphicData uri="http://schemas.openxmlformats.org/drawingml/2006/picture">
                <pic:pic>
                  <pic:nvPicPr>
                    <pic:cNvPr id="602" name="IM 602"/>
                    <pic:cNvPicPr/>
                  </pic:nvPicPr>
                  <pic:blipFill>
                    <a:blip r:embed="rId289"/>
                    <a:stretch>
                      <a:fillRect/>
                    </a:stretch>
                  </pic:blipFill>
                  <pic:spPr>
                    <a:xfrm rot="0">
                      <a:off x="0" y="0"/>
                      <a:ext cx="287997" cy="38100"/>
                    </a:xfrm>
                    <a:prstGeom prst="rect">
                      <a:avLst/>
                    </a:prstGeom>
                  </pic:spPr>
                </pic:pic>
              </a:graphicData>
            </a:graphic>
          </wp:inline>
        </w:drawing>
      </w:r>
      <w:r>
        <w:rPr>
          <w:rFonts w:ascii="Microsoft YaHei" w:hAnsi="Microsoft YaHei" w:eastAsia="Microsoft YaHei" w:cs="Microsoft YaHei"/>
          <w:sz w:val="18"/>
          <w:szCs w:val="18"/>
          <w:spacing w:val="49"/>
          <w:w w:val="101"/>
        </w:rPr>
        <w:t xml:space="preserve"> </w:t>
      </w:r>
      <w:r>
        <w:rPr>
          <w:rFonts w:ascii="Microsoft YaHei" w:hAnsi="Microsoft YaHei" w:eastAsia="Microsoft YaHei" w:cs="Microsoft YaHei"/>
          <w:sz w:val="18"/>
          <w:szCs w:val="18"/>
          <w:spacing w:val="2"/>
        </w:rPr>
        <w:t>不使用储能电池的能量消耗       </w:t>
      </w:r>
      <w:r>
        <w:rPr>
          <w:sz w:val="18"/>
          <w:szCs w:val="18"/>
          <w:position w:val="4"/>
        </w:rPr>
        <w:drawing>
          <wp:inline distT="0" distB="0" distL="0" distR="0">
            <wp:extent cx="287997" cy="38100"/>
            <wp:effectExtent l="0" t="0" r="0" b="0"/>
            <wp:docPr id="604" name="IM 604"/>
            <wp:cNvGraphicFramePr/>
            <a:graphic>
              <a:graphicData uri="http://schemas.openxmlformats.org/drawingml/2006/picture">
                <pic:pic>
                  <pic:nvPicPr>
                    <pic:cNvPr id="604" name="IM 604"/>
                    <pic:cNvPicPr/>
                  </pic:nvPicPr>
                  <pic:blipFill>
                    <a:blip r:embed="rId290"/>
                    <a:stretch>
                      <a:fillRect/>
                    </a:stretch>
                  </pic:blipFill>
                  <pic:spPr>
                    <a:xfrm rot="0">
                      <a:off x="0" y="0"/>
                      <a:ext cx="287997" cy="38100"/>
                    </a:xfrm>
                    <a:prstGeom prst="rect">
                      <a:avLst/>
                    </a:prstGeom>
                  </pic:spPr>
                </pic:pic>
              </a:graphicData>
            </a:graphic>
          </wp:inline>
        </w:drawing>
      </w:r>
      <w:r>
        <w:rPr>
          <w:rFonts w:ascii="Microsoft YaHei" w:hAnsi="Microsoft YaHei" w:eastAsia="Microsoft YaHei" w:cs="Microsoft YaHei"/>
          <w:sz w:val="18"/>
          <w:szCs w:val="18"/>
          <w:spacing w:val="3"/>
        </w:rPr>
        <w:t xml:space="preserve">  </w:t>
      </w:r>
      <w:r>
        <w:rPr>
          <w:rFonts w:ascii="Microsoft YaHei" w:hAnsi="Microsoft YaHei" w:eastAsia="Microsoft YaHei" w:cs="Microsoft YaHei"/>
          <w:sz w:val="18"/>
          <w:szCs w:val="18"/>
          <w:spacing w:val="2"/>
        </w:rPr>
        <w:t>太阳能发</w:t>
      </w:r>
      <w:r>
        <w:rPr>
          <w:rFonts w:ascii="Microsoft YaHei" w:hAnsi="Microsoft YaHei" w:eastAsia="Microsoft YaHei" w:cs="Microsoft YaHei"/>
          <w:sz w:val="18"/>
          <w:szCs w:val="18"/>
          <w:spacing w:val="1"/>
        </w:rPr>
        <w:t>电          </w:t>
      </w:r>
      <w:r>
        <w:rPr>
          <w:sz w:val="18"/>
          <w:szCs w:val="18"/>
          <w:position w:val="4"/>
        </w:rPr>
        <w:drawing>
          <wp:inline distT="0" distB="0" distL="0" distR="0">
            <wp:extent cx="287997" cy="38100"/>
            <wp:effectExtent l="0" t="0" r="0" b="0"/>
            <wp:docPr id="606" name="IM 606"/>
            <wp:cNvGraphicFramePr/>
            <a:graphic>
              <a:graphicData uri="http://schemas.openxmlformats.org/drawingml/2006/picture">
                <pic:pic>
                  <pic:nvPicPr>
                    <pic:cNvPr id="606" name="IM 606"/>
                    <pic:cNvPicPr/>
                  </pic:nvPicPr>
                  <pic:blipFill>
                    <a:blip r:embed="rId291"/>
                    <a:stretch>
                      <a:fillRect/>
                    </a:stretch>
                  </pic:blipFill>
                  <pic:spPr>
                    <a:xfrm rot="0">
                      <a:off x="0" y="0"/>
                      <a:ext cx="287997" cy="38100"/>
                    </a:xfrm>
                    <a:prstGeom prst="rect">
                      <a:avLst/>
                    </a:prstGeom>
                  </pic:spPr>
                </pic:pic>
              </a:graphicData>
            </a:graphic>
          </wp:inline>
        </w:drawing>
      </w:r>
      <w:r>
        <w:rPr>
          <w:rFonts w:ascii="Microsoft YaHei" w:hAnsi="Microsoft YaHei" w:eastAsia="Microsoft YaHei" w:cs="Microsoft YaHei"/>
          <w:sz w:val="18"/>
          <w:szCs w:val="18"/>
          <w:spacing w:val="7"/>
        </w:rPr>
        <w:t xml:space="preserve">  </w:t>
      </w:r>
      <w:r>
        <w:rPr>
          <w:rFonts w:ascii="Microsoft YaHei" w:hAnsi="Microsoft YaHei" w:eastAsia="Microsoft YaHei" w:cs="Microsoft YaHei"/>
          <w:sz w:val="18"/>
          <w:szCs w:val="18"/>
          <w:spacing w:val="1"/>
        </w:rPr>
        <w:t>使用储能电池后的能量消耗</w:t>
      </w:r>
    </w:p>
    <w:p>
      <w:pPr>
        <w:ind w:left="1309"/>
        <w:spacing w:before="184" w:line="197"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3"/>
        </w:rPr>
        <w:t>数据来源： </w:t>
      </w:r>
      <w:r>
        <w:rPr>
          <w:rFonts w:ascii="Microsoft YaHei" w:hAnsi="Microsoft YaHei" w:eastAsia="Microsoft YaHei" w:cs="Microsoft YaHei"/>
          <w:sz w:val="15"/>
          <w:szCs w:val="15"/>
        </w:rPr>
        <w:t>Zcar</w:t>
      </w:r>
      <w:r>
        <w:rPr>
          <w:rFonts w:ascii="Microsoft YaHei" w:hAnsi="Microsoft YaHei" w:eastAsia="Microsoft YaHei" w:cs="Microsoft YaHei"/>
          <w:sz w:val="15"/>
          <w:szCs w:val="15"/>
          <w:spacing w:val="3"/>
        </w:rPr>
        <w:t>, 毕马威分析</w:t>
      </w:r>
    </w:p>
    <w:p>
      <w:pPr>
        <w:pStyle w:val="BodyText"/>
        <w:spacing w:line="272" w:lineRule="auto"/>
        <w:rPr/>
      </w:pPr>
      <w:r/>
    </w:p>
    <w:p>
      <w:pPr>
        <w:pStyle w:val="BodyText"/>
        <w:spacing w:line="272" w:lineRule="auto"/>
        <w:rPr/>
      </w:pPr>
      <w:r>
        <w:pict>
          <v:shape id="_x0000_s1150" style="position:absolute;margin-left:65.29pt;margin-top:5.65464pt;mso-position-vertical-relative:text;mso-position-horizontal-relative:text;width:81.3pt;height:0.5pt;z-index:253221888;" filled="false" strokecolor="#000000" strokeweight="0.50pt" coordsize="1626,10" coordorigin="0,0" path="m0,5l1625,5e">
            <v:stroke joinstyle="miter"/>
          </v:shape>
        </w:pict>
      </w:r>
      <w:r/>
    </w:p>
    <w:p>
      <w:pPr>
        <w:ind w:left="1314" w:right="3410" w:hanging="7"/>
        <w:spacing w:before="57" w:line="187"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10"/>
          <w:position w:val="4"/>
        </w:rPr>
        <w:t>61</w:t>
      </w:r>
      <w:r>
        <w:rPr>
          <w:rFonts w:ascii="Microsoft YaHei" w:hAnsi="Microsoft YaHei" w:eastAsia="Microsoft YaHei" w:cs="Microsoft YaHei"/>
          <w:sz w:val="9"/>
          <w:szCs w:val="9"/>
          <w:spacing w:val="16"/>
          <w:w w:val="102"/>
          <w:position w:val="4"/>
        </w:rPr>
        <w:t xml:space="preserve"> </w:t>
      </w:r>
      <w:r>
        <w:rPr>
          <w:rFonts w:ascii="Microsoft YaHei" w:hAnsi="Microsoft YaHei" w:eastAsia="Microsoft YaHei" w:cs="Microsoft YaHei"/>
          <w:sz w:val="13"/>
          <w:szCs w:val="13"/>
          <w:spacing w:val="10"/>
        </w:rPr>
        <w:t>该案例中的阶梯电价、储能设备成本等参数主要参考</w:t>
      </w:r>
      <w:r>
        <w:rPr>
          <w:rFonts w:ascii="Microsoft YaHei" w:hAnsi="Microsoft YaHei" w:eastAsia="Microsoft YaHei" w:cs="Microsoft YaHei"/>
          <w:sz w:val="13"/>
          <w:szCs w:val="13"/>
        </w:rPr>
        <w:t>Do</w:t>
      </w:r>
      <w:r>
        <w:rPr>
          <w:rFonts w:ascii="Microsoft YaHei" w:hAnsi="Microsoft YaHei" w:eastAsia="Microsoft YaHei" w:cs="Microsoft YaHei"/>
          <w:sz w:val="13"/>
          <w:szCs w:val="13"/>
          <w:spacing w:val="25"/>
          <w:w w:val="101"/>
        </w:rPr>
        <w:t xml:space="preserve"> </w:t>
      </w:r>
      <w:r>
        <w:rPr>
          <w:rFonts w:ascii="Microsoft YaHei" w:hAnsi="Microsoft YaHei" w:eastAsia="Microsoft YaHei" w:cs="Microsoft YaHei"/>
          <w:sz w:val="13"/>
          <w:szCs w:val="13"/>
        </w:rPr>
        <w:t>Home</w:t>
      </w:r>
      <w:r>
        <w:rPr>
          <w:rFonts w:ascii="Microsoft YaHei" w:hAnsi="Microsoft YaHei" w:eastAsia="Microsoft YaHei" w:cs="Microsoft YaHei"/>
          <w:sz w:val="13"/>
          <w:szCs w:val="13"/>
          <w:spacing w:val="10"/>
        </w:rPr>
        <w:t xml:space="preserve"> </w:t>
      </w:r>
      <w:r>
        <w:rPr>
          <w:rFonts w:ascii="Microsoft YaHei" w:hAnsi="Microsoft YaHei" w:eastAsia="Microsoft YaHei" w:cs="Microsoft YaHei"/>
          <w:sz w:val="13"/>
          <w:szCs w:val="13"/>
        </w:rPr>
        <w:t>Battery</w:t>
      </w:r>
      <w:r>
        <w:rPr>
          <w:rFonts w:ascii="Microsoft YaHei" w:hAnsi="Microsoft YaHei" w:eastAsia="Microsoft YaHei" w:cs="Microsoft YaHei"/>
          <w:sz w:val="13"/>
          <w:szCs w:val="13"/>
          <w:spacing w:val="10"/>
        </w:rPr>
        <w:t xml:space="preserve"> </w:t>
      </w:r>
      <w:r>
        <w:rPr>
          <w:rFonts w:ascii="Microsoft YaHei" w:hAnsi="Microsoft YaHei" w:eastAsia="Microsoft YaHei" w:cs="Microsoft YaHei"/>
          <w:sz w:val="13"/>
          <w:szCs w:val="13"/>
        </w:rPr>
        <w:t>Storage</w:t>
      </w:r>
      <w:r>
        <w:rPr>
          <w:rFonts w:ascii="Microsoft YaHei" w:hAnsi="Microsoft YaHei" w:eastAsia="Microsoft YaHei" w:cs="Microsoft YaHei"/>
          <w:sz w:val="13"/>
          <w:szCs w:val="13"/>
          <w:spacing w:val="10"/>
        </w:rPr>
        <w:t xml:space="preserve"> </w:t>
      </w:r>
      <w:r>
        <w:rPr>
          <w:rFonts w:ascii="Microsoft YaHei" w:hAnsi="Microsoft YaHei" w:eastAsia="Microsoft YaHei" w:cs="Microsoft YaHei"/>
          <w:sz w:val="13"/>
          <w:szCs w:val="13"/>
        </w:rPr>
        <w:t>Systems</w:t>
      </w:r>
      <w:r>
        <w:rPr>
          <w:rFonts w:ascii="Microsoft YaHei" w:hAnsi="Microsoft YaHei" w:eastAsia="Microsoft YaHei" w:cs="Microsoft YaHei"/>
          <w:sz w:val="13"/>
          <w:szCs w:val="13"/>
          <w:spacing w:val="9"/>
        </w:rPr>
        <w:t xml:space="preserve"> </w:t>
      </w:r>
      <w:r>
        <w:rPr>
          <w:rFonts w:ascii="Microsoft YaHei" w:hAnsi="Microsoft YaHei" w:eastAsia="Microsoft YaHei" w:cs="Microsoft YaHei"/>
          <w:sz w:val="13"/>
          <w:szCs w:val="13"/>
        </w:rPr>
        <w:t>Make</w:t>
      </w:r>
      <w:r>
        <w:rPr>
          <w:rFonts w:ascii="Microsoft YaHei" w:hAnsi="Microsoft YaHei" w:eastAsia="Microsoft YaHei" w:cs="Microsoft YaHei"/>
          <w:sz w:val="13"/>
          <w:szCs w:val="13"/>
          <w:spacing w:val="9"/>
        </w:rPr>
        <w:t xml:space="preserve"> </w:t>
      </w:r>
      <w:r>
        <w:rPr>
          <w:rFonts w:ascii="Microsoft YaHei" w:hAnsi="Microsoft YaHei" w:eastAsia="Microsoft YaHei" w:cs="Microsoft YaHei"/>
          <w:sz w:val="13"/>
          <w:szCs w:val="13"/>
        </w:rPr>
        <w:t>Financial</w:t>
      </w:r>
      <w:r>
        <w:rPr>
          <w:rFonts w:ascii="Microsoft YaHei" w:hAnsi="Microsoft YaHei" w:eastAsia="Microsoft YaHei" w:cs="Microsoft YaHei"/>
          <w:sz w:val="13"/>
          <w:szCs w:val="13"/>
          <w:spacing w:val="9"/>
        </w:rPr>
        <w:t xml:space="preserve"> </w:t>
      </w:r>
      <w:r>
        <w:rPr>
          <w:rFonts w:ascii="Microsoft YaHei" w:hAnsi="Microsoft YaHei" w:eastAsia="Microsoft YaHei" w:cs="Microsoft YaHei"/>
          <w:sz w:val="13"/>
          <w:szCs w:val="13"/>
        </w:rPr>
        <w:t>Sense</w:t>
      </w:r>
      <w:r>
        <w:rPr>
          <w:rFonts w:ascii="Microsoft YaHei" w:hAnsi="Microsoft YaHei" w:eastAsia="Microsoft YaHei" w:cs="Microsoft YaHei"/>
          <w:sz w:val="13"/>
          <w:szCs w:val="13"/>
          <w:spacing w:val="9"/>
        </w:rPr>
        <w:t>?, </w:t>
      </w:r>
      <w:r>
        <w:rPr>
          <w:rFonts w:ascii="Microsoft YaHei" w:hAnsi="Microsoft YaHei" w:eastAsia="Microsoft YaHei" w:cs="Microsoft YaHei"/>
          <w:sz w:val="13"/>
          <w:szCs w:val="13"/>
        </w:rPr>
        <w:t>Zecar</w:t>
      </w:r>
      <w:r>
        <w:rPr>
          <w:rFonts w:ascii="Microsoft YaHei" w:hAnsi="Microsoft YaHei" w:eastAsia="Microsoft YaHei" w:cs="Microsoft YaHei"/>
          <w:sz w:val="13"/>
          <w:szCs w:val="13"/>
          <w:spacing w:val="9"/>
        </w:rPr>
        <w:t>,</w:t>
      </w:r>
      <w:r>
        <w:rPr>
          <w:rFonts w:ascii="Microsoft YaHei" w:hAnsi="Microsoft YaHei" w:eastAsia="Microsoft YaHei" w:cs="Microsoft YaHei"/>
          <w:sz w:val="13"/>
          <w:szCs w:val="13"/>
        </w:rPr>
        <w:t xml:space="preserve"> </w:t>
      </w:r>
      <w:hyperlink w:history="true" r:id="rId292">
        <w:r>
          <w:rPr>
            <w:rFonts w:ascii="Microsoft YaHei" w:hAnsi="Microsoft YaHei" w:eastAsia="Microsoft YaHei" w:cs="Microsoft YaHei"/>
            <w:sz w:val="13"/>
            <w:szCs w:val="13"/>
          </w:rPr>
          <w:t>https</w:t>
        </w:r>
        <w:r>
          <w:rPr>
            <w:rFonts w:ascii="Microsoft YaHei" w:hAnsi="Microsoft YaHei" w:eastAsia="Microsoft YaHei" w:cs="Microsoft YaHei"/>
            <w:sz w:val="13"/>
            <w:szCs w:val="13"/>
            <w:spacing w:val="15"/>
          </w:rPr>
          <w:t>://</w:t>
        </w:r>
        <w:r>
          <w:rPr>
            <w:rFonts w:ascii="Microsoft YaHei" w:hAnsi="Microsoft YaHei" w:eastAsia="Microsoft YaHei" w:cs="Microsoft YaHei"/>
            <w:sz w:val="13"/>
            <w:szCs w:val="13"/>
          </w:rPr>
          <w:t>zecar</w:t>
        </w:r>
        <w:r>
          <w:rPr>
            <w:rFonts w:ascii="Microsoft YaHei" w:hAnsi="Microsoft YaHei" w:eastAsia="Microsoft YaHei" w:cs="Microsoft YaHei"/>
            <w:sz w:val="13"/>
            <w:szCs w:val="13"/>
            <w:spacing w:val="15"/>
          </w:rPr>
          <w:t>.</w:t>
        </w:r>
        <w:r>
          <w:rPr>
            <w:rFonts w:ascii="Microsoft YaHei" w:hAnsi="Microsoft YaHei" w:eastAsia="Microsoft YaHei" w:cs="Microsoft YaHei"/>
            <w:sz w:val="13"/>
            <w:szCs w:val="13"/>
          </w:rPr>
          <w:t>com</w:t>
        </w:r>
        <w:r>
          <w:rPr>
            <w:rFonts w:ascii="Microsoft YaHei" w:hAnsi="Microsoft YaHei" w:eastAsia="Microsoft YaHei" w:cs="Microsoft YaHei"/>
            <w:sz w:val="13"/>
            <w:szCs w:val="13"/>
            <w:spacing w:val="15"/>
          </w:rPr>
          <w:t>/</w:t>
        </w:r>
        <w:r>
          <w:rPr>
            <w:rFonts w:ascii="Microsoft YaHei" w:hAnsi="Microsoft YaHei" w:eastAsia="Microsoft YaHei" w:cs="Microsoft YaHei"/>
            <w:sz w:val="13"/>
            <w:szCs w:val="13"/>
          </w:rPr>
          <w:t>resources</w:t>
        </w:r>
        <w:r>
          <w:rPr>
            <w:rFonts w:ascii="Microsoft YaHei" w:hAnsi="Microsoft YaHei" w:eastAsia="Microsoft YaHei" w:cs="Microsoft YaHei"/>
            <w:sz w:val="13"/>
            <w:szCs w:val="13"/>
            <w:spacing w:val="15"/>
          </w:rPr>
          <w:t>/</w:t>
        </w:r>
        <w:r>
          <w:rPr>
            <w:rFonts w:ascii="Microsoft YaHei" w:hAnsi="Microsoft YaHei" w:eastAsia="Microsoft YaHei" w:cs="Microsoft YaHei"/>
            <w:sz w:val="13"/>
            <w:szCs w:val="13"/>
          </w:rPr>
          <w:t>do</w:t>
        </w:r>
        <w:r>
          <w:rPr>
            <w:rFonts w:ascii="Microsoft YaHei" w:hAnsi="Microsoft YaHei" w:eastAsia="Microsoft YaHei" w:cs="Microsoft YaHei"/>
            <w:sz w:val="13"/>
            <w:szCs w:val="13"/>
            <w:spacing w:val="15"/>
          </w:rPr>
          <w:t>-</w:t>
        </w:r>
        <w:r>
          <w:rPr>
            <w:rFonts w:ascii="Microsoft YaHei" w:hAnsi="Microsoft YaHei" w:eastAsia="Microsoft YaHei" w:cs="Microsoft YaHei"/>
            <w:sz w:val="13"/>
            <w:szCs w:val="13"/>
          </w:rPr>
          <w:t>home</w:t>
        </w:r>
        <w:r>
          <w:rPr>
            <w:rFonts w:ascii="Microsoft YaHei" w:hAnsi="Microsoft YaHei" w:eastAsia="Microsoft YaHei" w:cs="Microsoft YaHei"/>
            <w:sz w:val="13"/>
            <w:szCs w:val="13"/>
            <w:spacing w:val="15"/>
          </w:rPr>
          <w:t>-</w:t>
        </w:r>
        <w:r>
          <w:rPr>
            <w:rFonts w:ascii="Microsoft YaHei" w:hAnsi="Microsoft YaHei" w:eastAsia="Microsoft YaHei" w:cs="Microsoft YaHei"/>
            <w:sz w:val="13"/>
            <w:szCs w:val="13"/>
          </w:rPr>
          <w:t>battery</w:t>
        </w:r>
        <w:r>
          <w:rPr>
            <w:rFonts w:ascii="Microsoft YaHei" w:hAnsi="Microsoft YaHei" w:eastAsia="Microsoft YaHei" w:cs="Microsoft YaHei"/>
            <w:sz w:val="13"/>
            <w:szCs w:val="13"/>
            <w:spacing w:val="15"/>
          </w:rPr>
          <w:t>-</w:t>
        </w:r>
        <w:r>
          <w:rPr>
            <w:rFonts w:ascii="Microsoft YaHei" w:hAnsi="Microsoft YaHei" w:eastAsia="Microsoft YaHei" w:cs="Microsoft YaHei"/>
            <w:sz w:val="13"/>
            <w:szCs w:val="13"/>
          </w:rPr>
          <w:t>storage</w:t>
        </w:r>
        <w:r>
          <w:rPr>
            <w:rFonts w:ascii="Microsoft YaHei" w:hAnsi="Microsoft YaHei" w:eastAsia="Microsoft YaHei" w:cs="Microsoft YaHei"/>
            <w:sz w:val="13"/>
            <w:szCs w:val="13"/>
            <w:spacing w:val="15"/>
          </w:rPr>
          <w:t>-</w:t>
        </w:r>
        <w:r>
          <w:rPr>
            <w:rFonts w:ascii="Microsoft YaHei" w:hAnsi="Microsoft YaHei" w:eastAsia="Microsoft YaHei" w:cs="Microsoft YaHei"/>
            <w:sz w:val="13"/>
            <w:szCs w:val="13"/>
          </w:rPr>
          <w:t>systems</w:t>
        </w:r>
        <w:r>
          <w:rPr>
            <w:rFonts w:ascii="Microsoft YaHei" w:hAnsi="Microsoft YaHei" w:eastAsia="Microsoft YaHei" w:cs="Microsoft YaHei"/>
            <w:sz w:val="13"/>
            <w:szCs w:val="13"/>
            <w:spacing w:val="15"/>
          </w:rPr>
          <w:t>-</w:t>
        </w:r>
        <w:r>
          <w:rPr>
            <w:rFonts w:ascii="Microsoft YaHei" w:hAnsi="Microsoft YaHei" w:eastAsia="Microsoft YaHei" w:cs="Microsoft YaHei"/>
            <w:sz w:val="13"/>
            <w:szCs w:val="13"/>
          </w:rPr>
          <w:t>make</w:t>
        </w:r>
        <w:r>
          <w:rPr>
            <w:rFonts w:ascii="Microsoft YaHei" w:hAnsi="Microsoft YaHei" w:eastAsia="Microsoft YaHei" w:cs="Microsoft YaHei"/>
            <w:sz w:val="13"/>
            <w:szCs w:val="13"/>
            <w:spacing w:val="15"/>
          </w:rPr>
          <w:t>-</w:t>
        </w:r>
        <w:r>
          <w:rPr>
            <w:rFonts w:ascii="Microsoft YaHei" w:hAnsi="Microsoft YaHei" w:eastAsia="Microsoft YaHei" w:cs="Microsoft YaHei"/>
            <w:sz w:val="13"/>
            <w:szCs w:val="13"/>
          </w:rPr>
          <w:t>financial</w:t>
        </w:r>
        <w:r>
          <w:rPr>
            <w:rFonts w:ascii="Microsoft YaHei" w:hAnsi="Microsoft YaHei" w:eastAsia="Microsoft YaHei" w:cs="Microsoft YaHei"/>
            <w:sz w:val="13"/>
            <w:szCs w:val="13"/>
            <w:spacing w:val="15"/>
          </w:rPr>
          <w:t>-</w:t>
        </w:r>
        <w:r>
          <w:rPr>
            <w:rFonts w:ascii="Microsoft YaHei" w:hAnsi="Microsoft YaHei" w:eastAsia="Microsoft YaHei" w:cs="Microsoft YaHei"/>
            <w:sz w:val="13"/>
            <w:szCs w:val="13"/>
          </w:rPr>
          <w:t>sense</w:t>
        </w:r>
      </w:hyperlink>
    </w:p>
    <w:p>
      <w:pPr>
        <w:ind w:left="1805" w:right="1241" w:hanging="411"/>
        <w:spacing w:before="180" w:line="150"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50" w:lineRule="auto"/>
        <w:sectPr>
          <w:type w:val="continuous"/>
          <w:pgSz w:w="12245" w:h="17180"/>
          <w:pgMar w:top="400" w:right="0" w:bottom="0" w:left="0" w:header="0" w:footer="0" w:gutter="0"/>
          <w:cols w:equalWidth="0" w:num="1">
            <w:col w:w="12245" w:space="0"/>
          </w:cols>
        </w:sectPr>
        <w:rPr>
          <w:rFonts w:ascii="Microsoft YaHei" w:hAnsi="Microsoft YaHei" w:eastAsia="Microsoft YaHei" w:cs="Microsoft YaHei"/>
          <w:sz w:val="11"/>
          <w:szCs w:val="11"/>
        </w:rPr>
      </w:pPr>
    </w:p>
    <w:p>
      <w:pPr>
        <w:ind w:left="8975"/>
        <w:spacing w:before="314" w:line="193" w:lineRule="auto"/>
        <w:outlineLvl w:val="0"/>
        <w:rPr>
          <w:rFonts w:ascii="Microsoft YaHei" w:hAnsi="Microsoft YaHei" w:eastAsia="Microsoft YaHei" w:cs="Microsoft YaHei"/>
          <w:sz w:val="18"/>
          <w:szCs w:val="18"/>
        </w:rPr>
      </w:pPr>
      <w:r>
        <mc:AlternateContent xmlns:mc="http://schemas.openxmlformats.org/markup-compatibility/2006">
          <mc:Choice Requires="wps">
            <w:drawing>
              <wp:anchor distT="0" distB="0" distL="0" distR="0" simplePos="0" relativeHeight="253258752" behindDoc="1" locked="0" layoutInCell="0" allowOverlap="1">
                <wp:simplePos x="0" y="0"/>
                <wp:positionH relativeFrom="page">
                  <wp:posOffset>7772272</wp:posOffset>
                </wp:positionH>
                <wp:positionV relativeFrom="page">
                  <wp:posOffset>0</wp:posOffset>
                </wp:positionV>
                <wp:extent cx="3175" cy="10909300"/>
                <wp:effectExtent l="0" t="0" r="0" b="0"/>
                <wp:wrapNone/>
                <wp:docPr id="608" name="Rect 608"/>
                <wp:cNvGraphicFramePr/>
                <a:graphic>
                  <a:graphicData uri="http://schemas.microsoft.com/office/word/2010/wordprocessingShape">
                    <wps:wsp>
                      <wps:cNvPr id="608" name="Rect 608"/>
                      <wps:cNvSpPr/>
                      <wps:spPr>
                        <a:xfrm>
                          <a:off x="7772272" y="0"/>
                          <a:ext cx="3175" cy="109093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152" style="position:absolute;margin-left:611.99pt;margin-top:0pt;mso-position-vertical-relative:page;mso-position-horizontal-relative:page;width:0.25pt;height:859pt;z-index:-250057728;" o:allowincell="f" fillcolor="#000000" filled="true" stroked="false"/>
            </w:pict>
          </mc:Fallback>
        </mc:AlternateContent>
      </w:r>
      <w:r>
        <w:drawing>
          <wp:anchor distT="0" distB="0" distL="0" distR="0" simplePos="0" relativeHeight="253259776" behindDoc="1" locked="0" layoutInCell="1" allowOverlap="1">
            <wp:simplePos x="0" y="0"/>
            <wp:positionH relativeFrom="column">
              <wp:posOffset>0</wp:posOffset>
            </wp:positionH>
            <wp:positionV relativeFrom="paragraph">
              <wp:posOffset>-254387</wp:posOffset>
            </wp:positionV>
            <wp:extent cx="7775447" cy="5718046"/>
            <wp:effectExtent l="0" t="0" r="0" b="0"/>
            <wp:wrapNone/>
            <wp:docPr id="610" name="IM 610"/>
            <wp:cNvGraphicFramePr/>
            <a:graphic>
              <a:graphicData uri="http://schemas.openxmlformats.org/drawingml/2006/picture">
                <pic:pic>
                  <pic:nvPicPr>
                    <pic:cNvPr id="610" name="IM 610"/>
                    <pic:cNvPicPr/>
                  </pic:nvPicPr>
                  <pic:blipFill>
                    <a:blip r:embed="rId293"/>
                    <a:stretch>
                      <a:fillRect/>
                    </a:stretch>
                  </pic:blipFill>
                  <pic:spPr>
                    <a:xfrm rot="0">
                      <a:off x="0" y="0"/>
                      <a:ext cx="7775447" cy="5718046"/>
                    </a:xfrm>
                    <a:prstGeom prst="rect">
                      <a:avLst/>
                    </a:prstGeom>
                  </pic:spPr>
                </pic:pic>
              </a:graphicData>
            </a:graphic>
          </wp:anchor>
        </w:drawing>
      </w:r>
      <w:r>
        <w:rPr>
          <w:rFonts w:ascii="Microsoft YaHei" w:hAnsi="Microsoft YaHei" w:eastAsia="Microsoft YaHei" w:cs="Microsoft YaHei"/>
          <w:sz w:val="18"/>
          <w:szCs w:val="18"/>
          <w:color w:val="A8A8A8"/>
        </w:rPr>
        <w:t>新型储能助力能源转型</w:t>
      </w:r>
      <w:r>
        <w:rPr>
          <w:rFonts w:ascii="Microsoft YaHei" w:hAnsi="Microsoft YaHei" w:eastAsia="Microsoft YaHei" w:cs="Microsoft YaHei"/>
          <w:sz w:val="18"/>
          <w:szCs w:val="18"/>
          <w:color w:val="A8A8A8"/>
          <w:spacing w:val="20"/>
        </w:rPr>
        <w:t xml:space="preserve">  </w:t>
      </w:r>
      <w:r>
        <w:rPr>
          <w:sz w:val="18"/>
          <w:szCs w:val="18"/>
          <w:position w:val="-4"/>
        </w:rPr>
        <w:drawing>
          <wp:inline distT="0" distB="0" distL="0" distR="0">
            <wp:extent cx="6350" cy="130175"/>
            <wp:effectExtent l="0" t="0" r="0" b="0"/>
            <wp:docPr id="612" name="IM 612"/>
            <wp:cNvGraphicFramePr/>
            <a:graphic>
              <a:graphicData uri="http://schemas.openxmlformats.org/drawingml/2006/picture">
                <pic:pic>
                  <pic:nvPicPr>
                    <pic:cNvPr id="612" name="IM 612"/>
                    <pic:cNvPicPr/>
                  </pic:nvPicPr>
                  <pic:blipFill>
                    <a:blip r:embed="rId294"/>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spacing w:val="15"/>
          <w:w w:val="101"/>
        </w:rPr>
        <w:t xml:space="preserve">  </w:t>
      </w:r>
      <w:r>
        <w:rPr>
          <w:rFonts w:ascii="Microsoft YaHei" w:hAnsi="Microsoft YaHei" w:eastAsia="Microsoft YaHei" w:cs="Microsoft YaHei"/>
          <w:sz w:val="18"/>
          <w:szCs w:val="18"/>
          <w:b/>
          <w:bCs/>
          <w:color w:val="A8A8A8"/>
        </w:rPr>
        <w:t>58</w:t>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1309" w:right="3084"/>
        <w:spacing w:before="90" w:line="216"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rPr>
        <w:t>据测算，由于光伏系统近年来成本下降较快，澳大利亚家庭仅安装光伏系统的投资回</w:t>
      </w:r>
      <w:r>
        <w:rPr>
          <w:rFonts w:ascii="Microsoft YaHei" w:hAnsi="Microsoft YaHei" w:eastAsia="Microsoft YaHei" w:cs="Microsoft YaHei"/>
          <w:sz w:val="21"/>
          <w:szCs w:val="21"/>
          <w:spacing w:val="3"/>
        </w:rPr>
        <w:t xml:space="preserve">  </w:t>
      </w:r>
      <w:r>
        <w:rPr>
          <w:rFonts w:ascii="Microsoft YaHei" w:hAnsi="Microsoft YaHei" w:eastAsia="Microsoft YaHei" w:cs="Microsoft YaHei"/>
          <w:sz w:val="21"/>
          <w:szCs w:val="21"/>
          <w:spacing w:val="-1"/>
        </w:rPr>
        <w:t>报周期最快，约5.5年；安装光伏+储能电池的回报周期约为7.4年。预计未来如电价进</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一步上涨，且伴随储能电池的成本下降和寿命的增长，其回报周期将进一步缩短</w:t>
      </w:r>
      <w:r>
        <w:rPr>
          <w:rFonts w:ascii="Microsoft YaHei" w:hAnsi="Microsoft YaHei" w:eastAsia="Microsoft YaHei" w:cs="Microsoft YaHei"/>
          <w:sz w:val="21"/>
          <w:szCs w:val="21"/>
          <w:spacing w:val="-1"/>
        </w:rPr>
        <w:t>（表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0"/>
        </w:rPr>
        <w:t>17）。</w:t>
      </w:r>
    </w:p>
    <w:p>
      <w:pPr>
        <w:ind w:left="1307"/>
        <w:spacing w:before="264" w:line="19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C0AE"/>
          <w:spacing w:val="-3"/>
        </w:rPr>
        <w:t>表 17 | 户用光储系统经济性分析，美元</w:t>
      </w:r>
    </w:p>
    <w:p>
      <w:pPr>
        <w:ind w:firstLine="3712"/>
        <w:spacing w:before="140" w:line="680" w:lineRule="exact"/>
        <w:rPr/>
      </w:pPr>
      <w:r>
        <w:rPr>
          <w:position w:val="-15"/>
        </w:rPr>
        <w:pict>
          <v:group id="_x0000_s1154" style="mso-position-vertical-relative:line;mso-position-horizontal-relative:char;width:361.5pt;height:34.8pt;" filled="false" stroked="false" coordsize="7230,695" coordorigin="0,0">
            <v:rect id="_x0000_s1156" style="position:absolute;left:0;top:0;width:7230;height:680;" fillcolor="#00C0AE" filled="true" stroked="false"/>
            <v:shape id="_x0000_s1158" style="position:absolute;left:5314;top:208;width:1425;height:242;" filled="false" stroked="false" type="#_x0000_t202">
              <v:fill on="false"/>
              <v:stroke on="false"/>
              <v:path/>
              <v:imagedata o:title=""/>
              <o:lock v:ext="edit" aspectratio="false"/>
              <v:textbox inset="0mm,0mm,0mm,0mm">
                <w:txbxContent>
                  <w:p>
                    <w:pPr>
                      <w:ind w:left="20"/>
                      <w:spacing w:before="19"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FFFFFF"/>
                        <w:spacing w:val="-6"/>
                      </w:rPr>
                      <w:t>光伏+储能电池</w:t>
                    </w:r>
                  </w:p>
                </w:txbxContent>
              </v:textbox>
            </v:shape>
            <v:shape id="_x0000_s1160" style="position:absolute;left:3174;top:208;width:880;height:241;" filled="false" stroked="false" type="#_x0000_t202">
              <v:fill on="false"/>
              <v:stroke on="false"/>
              <v:path/>
              <v:imagedata o:title=""/>
              <o:lock v:ext="edit" aspectratio="false"/>
              <v:textbox inset="0mm,0mm,0mm,0mm">
                <w:txbxContent>
                  <w:p>
                    <w:pPr>
                      <w:ind w:left="20"/>
                      <w:spacing w:before="19"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FFFFFF"/>
                      </w:rPr>
                      <w:t>储能电池</w:t>
                    </w:r>
                  </w:p>
                </w:txbxContent>
              </v:textbox>
            </v:shape>
            <v:shape id="_x0000_s1162" style="position:absolute;left:979;top:208;width:455;height:242;" filled="false" stroked="false" type="#_x0000_t202">
              <v:fill on="false"/>
              <v:stroke on="false"/>
              <v:path/>
              <v:imagedata o:title=""/>
              <o:lock v:ext="edit" aspectratio="false"/>
              <v:textbox inset="0mm,0mm,0mm,0mm">
                <w:txbxContent>
                  <w:p>
                    <w:pPr>
                      <w:ind w:left="20"/>
                      <w:spacing w:before="20" w:line="17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FFFFFF"/>
                        <w:spacing w:val="-2"/>
                      </w:rPr>
                      <w:t>光伏</w:t>
                    </w:r>
                  </w:p>
                </w:txbxContent>
              </v:textbox>
            </v:shape>
            <v:shape id="_x0000_s1164" style="position:absolute;left:2400;top:0;width:20;height:695;" filled="false" strokecolor="#FFFFFF" strokeweight="1.00pt" coordsize="20,695" coordorigin="0,0" path="m10,0l10,695e">
              <v:stroke miterlimit="10"/>
            </v:shape>
            <v:shape id="_x0000_s1166" style="position:absolute;left:4810;top:0;width:20;height:695;" filled="false" strokecolor="#FFFFFF" strokeweight="1.00pt" coordsize="20,695" coordorigin="0,0" path="m10,0l10,695e">
              <v:stroke miterlimit="10"/>
            </v:shape>
          </v:group>
        </w:pict>
      </w:r>
    </w:p>
    <w:tbl>
      <w:tblPr>
        <w:tblStyle w:val="TableNormal"/>
        <w:tblW w:w="9639" w:type="dxa"/>
        <w:tblInd w:w="1302"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2806"/>
        <w:gridCol w:w="1998"/>
        <w:gridCol w:w="2395"/>
        <w:gridCol w:w="2440"/>
      </w:tblGrid>
      <w:tr>
        <w:trPr>
          <w:trHeight w:val="654" w:hRule="atLeast"/>
        </w:trPr>
        <w:tc>
          <w:tcPr>
            <w:tcW w:w="2806" w:type="dxa"/>
            <w:vAlign w:val="top"/>
            <w:tcBorders>
              <w:bottom w:val="single" w:color="BFBFBF" w:sz="2" w:space="0"/>
              <w:top w:val="single" w:color="00C0AE" w:sz="12" w:space="0"/>
            </w:tcBorders>
          </w:tcPr>
          <w:p>
            <w:pPr>
              <w:pStyle w:val="TableText"/>
              <w:ind w:left="119"/>
              <w:spacing w:before="201" w:line="176" w:lineRule="auto"/>
              <w:rPr>
                <w:sz w:val="21"/>
                <w:szCs w:val="21"/>
              </w:rPr>
            </w:pPr>
            <w:r>
              <w:rPr>
                <w:sz w:val="21"/>
                <w:szCs w:val="21"/>
                <w:b/>
                <w:bCs/>
                <w:color w:val="00C0AE"/>
                <w:spacing w:val="-2"/>
              </w:rPr>
              <w:t>开支</w:t>
            </w:r>
          </w:p>
        </w:tc>
        <w:tc>
          <w:tcPr>
            <w:tcW w:w="1998" w:type="dxa"/>
            <w:vAlign w:val="top"/>
            <w:tcBorders>
              <w:bottom w:val="single" w:color="BFBFBF" w:sz="2" w:space="0"/>
              <w:top w:val="single" w:color="00C0AE" w:sz="12" w:space="0"/>
            </w:tcBorders>
          </w:tcPr>
          <w:p>
            <w:pPr>
              <w:pStyle w:val="TableText"/>
              <w:ind w:left="552"/>
              <w:spacing w:before="221" w:line="178" w:lineRule="auto"/>
              <w:rPr>
                <w:sz w:val="21"/>
                <w:szCs w:val="21"/>
              </w:rPr>
            </w:pPr>
            <w:r>
              <w:rPr>
                <w:sz w:val="21"/>
                <w:szCs w:val="21"/>
                <w:spacing w:val="-4"/>
              </w:rPr>
              <w:t>4,269</w:t>
            </w:r>
          </w:p>
        </w:tc>
        <w:tc>
          <w:tcPr>
            <w:tcW w:w="2395" w:type="dxa"/>
            <w:vAlign w:val="top"/>
            <w:tcBorders>
              <w:bottom w:val="single" w:color="BFBFBF" w:sz="2" w:space="0"/>
              <w:top w:val="single" w:color="00C0AE" w:sz="12" w:space="0"/>
            </w:tcBorders>
          </w:tcPr>
          <w:p>
            <w:pPr>
              <w:pStyle w:val="TableText"/>
              <w:ind w:left="943"/>
              <w:spacing w:before="221" w:line="178" w:lineRule="auto"/>
              <w:rPr>
                <w:sz w:val="21"/>
                <w:szCs w:val="21"/>
              </w:rPr>
            </w:pPr>
            <w:r>
              <w:rPr>
                <w:sz w:val="21"/>
                <w:szCs w:val="21"/>
                <w:spacing w:val="-6"/>
              </w:rPr>
              <w:t>6,300</w:t>
            </w:r>
          </w:p>
        </w:tc>
        <w:tc>
          <w:tcPr>
            <w:tcW w:w="2440" w:type="dxa"/>
            <w:vAlign w:val="top"/>
            <w:tcBorders>
              <w:bottom w:val="single" w:color="BFBFBF" w:sz="2" w:space="0"/>
              <w:top w:val="single" w:color="00C0AE" w:sz="12" w:space="0"/>
            </w:tcBorders>
          </w:tcPr>
          <w:p>
            <w:pPr>
              <w:pStyle w:val="TableText"/>
              <w:ind w:left="936"/>
              <w:spacing w:before="221" w:line="178" w:lineRule="auto"/>
              <w:rPr>
                <w:sz w:val="21"/>
                <w:szCs w:val="21"/>
              </w:rPr>
            </w:pPr>
            <w:r>
              <w:rPr>
                <w:sz w:val="21"/>
                <w:szCs w:val="21"/>
                <w:spacing w:val="-7"/>
              </w:rPr>
              <w:t>10,569</w:t>
            </w:r>
          </w:p>
        </w:tc>
      </w:tr>
      <w:tr>
        <w:trPr>
          <w:trHeight w:val="664" w:hRule="atLeast"/>
        </w:trPr>
        <w:tc>
          <w:tcPr>
            <w:tcW w:w="2806" w:type="dxa"/>
            <w:vAlign w:val="top"/>
            <w:tcBorders>
              <w:bottom w:val="single" w:color="BFBFBF" w:sz="2" w:space="0"/>
              <w:top w:val="single" w:color="BFBFBF" w:sz="2" w:space="0"/>
            </w:tcBorders>
          </w:tcPr>
          <w:p>
            <w:pPr>
              <w:pStyle w:val="TableText"/>
              <w:ind w:left="118"/>
              <w:spacing w:before="221" w:line="177" w:lineRule="auto"/>
              <w:rPr>
                <w:sz w:val="21"/>
                <w:szCs w:val="21"/>
              </w:rPr>
            </w:pPr>
            <w:r>
              <w:rPr>
                <w:sz w:val="21"/>
                <w:szCs w:val="21"/>
                <w:b/>
                <w:bCs/>
                <w:color w:val="00C0AE"/>
                <w:spacing w:val="4"/>
              </w:rPr>
              <w:t>第一年所节省电费开支</w:t>
            </w:r>
          </w:p>
        </w:tc>
        <w:tc>
          <w:tcPr>
            <w:tcW w:w="1998" w:type="dxa"/>
            <w:vAlign w:val="top"/>
            <w:tcBorders>
              <w:bottom w:val="single" w:color="BFBFBF" w:sz="2" w:space="0"/>
              <w:top w:val="single" w:color="BFBFBF" w:sz="2" w:space="0"/>
            </w:tcBorders>
          </w:tcPr>
          <w:p>
            <w:pPr>
              <w:pStyle w:val="TableText"/>
              <w:ind w:left="622"/>
              <w:spacing w:before="241" w:line="171" w:lineRule="auto"/>
              <w:rPr>
                <w:sz w:val="21"/>
                <w:szCs w:val="21"/>
              </w:rPr>
            </w:pPr>
            <w:r>
              <w:rPr>
                <w:sz w:val="21"/>
                <w:szCs w:val="21"/>
                <w:spacing w:val="-9"/>
              </w:rPr>
              <w:t>696</w:t>
            </w:r>
          </w:p>
        </w:tc>
        <w:tc>
          <w:tcPr>
            <w:tcW w:w="2395" w:type="dxa"/>
            <w:vAlign w:val="top"/>
            <w:tcBorders>
              <w:bottom w:val="single" w:color="BFBFBF" w:sz="2" w:space="0"/>
              <w:top w:val="single" w:color="BFBFBF" w:sz="2" w:space="0"/>
            </w:tcBorders>
          </w:tcPr>
          <w:p>
            <w:pPr>
              <w:pStyle w:val="TableText"/>
              <w:ind w:left="1058"/>
              <w:spacing w:before="241" w:line="171" w:lineRule="auto"/>
              <w:rPr>
                <w:sz w:val="21"/>
                <w:szCs w:val="21"/>
              </w:rPr>
            </w:pPr>
            <w:r>
              <w:rPr>
                <w:sz w:val="21"/>
                <w:szCs w:val="21"/>
                <w:spacing w:val="-9"/>
              </w:rPr>
              <w:t>638</w:t>
            </w:r>
          </w:p>
        </w:tc>
        <w:tc>
          <w:tcPr>
            <w:tcW w:w="2440" w:type="dxa"/>
            <w:vAlign w:val="top"/>
            <w:tcBorders>
              <w:bottom w:val="single" w:color="BFBFBF" w:sz="2" w:space="0"/>
              <w:top w:val="single" w:color="BFBFBF" w:sz="2" w:space="0"/>
            </w:tcBorders>
          </w:tcPr>
          <w:p>
            <w:pPr>
              <w:pStyle w:val="TableText"/>
              <w:ind w:left="964"/>
              <w:spacing w:before="242" w:line="178" w:lineRule="auto"/>
              <w:rPr>
                <w:sz w:val="21"/>
                <w:szCs w:val="21"/>
              </w:rPr>
            </w:pPr>
            <w:r>
              <w:rPr>
                <w:sz w:val="21"/>
                <w:szCs w:val="21"/>
                <w:spacing w:val="-7"/>
              </w:rPr>
              <w:t>1,334</w:t>
            </w:r>
          </w:p>
        </w:tc>
      </w:tr>
      <w:tr>
        <w:trPr>
          <w:trHeight w:val="664" w:hRule="atLeast"/>
        </w:trPr>
        <w:tc>
          <w:tcPr>
            <w:tcW w:w="2806" w:type="dxa"/>
            <w:vAlign w:val="top"/>
            <w:tcBorders>
              <w:bottom w:val="single" w:color="BFBFBF" w:sz="2" w:space="0"/>
              <w:top w:val="single" w:color="BFBFBF" w:sz="2" w:space="0"/>
            </w:tcBorders>
          </w:tcPr>
          <w:p>
            <w:pPr>
              <w:pStyle w:val="TableText"/>
              <w:ind w:left="118"/>
              <w:spacing w:before="233" w:line="176" w:lineRule="auto"/>
              <w:rPr>
                <w:sz w:val="21"/>
                <w:szCs w:val="21"/>
              </w:rPr>
            </w:pPr>
            <w:r>
              <w:rPr>
                <w:sz w:val="21"/>
                <w:szCs w:val="21"/>
                <w:b/>
                <w:bCs/>
                <w:color w:val="00C0AE"/>
                <w:spacing w:val="4"/>
              </w:rPr>
              <w:t>年均节省电费开支</w:t>
            </w:r>
          </w:p>
        </w:tc>
        <w:tc>
          <w:tcPr>
            <w:tcW w:w="1998" w:type="dxa"/>
            <w:vAlign w:val="top"/>
            <w:tcBorders>
              <w:bottom w:val="single" w:color="BFBFBF" w:sz="2" w:space="0"/>
              <w:top w:val="single" w:color="BFBFBF" w:sz="2" w:space="0"/>
            </w:tcBorders>
          </w:tcPr>
          <w:p>
            <w:pPr>
              <w:pStyle w:val="TableText"/>
              <w:ind w:left="644"/>
              <w:spacing w:before="253" w:line="171" w:lineRule="auto"/>
              <w:rPr>
                <w:sz w:val="21"/>
                <w:szCs w:val="21"/>
              </w:rPr>
            </w:pPr>
            <w:r>
              <w:rPr>
                <w:sz w:val="21"/>
                <w:szCs w:val="21"/>
                <w:spacing w:val="-9"/>
              </w:rPr>
              <w:t>798</w:t>
            </w:r>
          </w:p>
        </w:tc>
        <w:tc>
          <w:tcPr>
            <w:tcW w:w="2395" w:type="dxa"/>
            <w:vAlign w:val="top"/>
            <w:tcBorders>
              <w:bottom w:val="single" w:color="BFBFBF" w:sz="2" w:space="0"/>
              <w:top w:val="single" w:color="BFBFBF" w:sz="2" w:space="0"/>
            </w:tcBorders>
          </w:tcPr>
          <w:p>
            <w:pPr>
              <w:pStyle w:val="TableText"/>
              <w:ind w:left="1058"/>
              <w:spacing w:before="253" w:line="171" w:lineRule="auto"/>
              <w:rPr>
                <w:sz w:val="21"/>
                <w:szCs w:val="21"/>
              </w:rPr>
            </w:pPr>
            <w:r>
              <w:rPr>
                <w:sz w:val="21"/>
                <w:szCs w:val="21"/>
                <w:spacing w:val="-9"/>
              </w:rPr>
              <w:t>651</w:t>
            </w:r>
          </w:p>
        </w:tc>
        <w:tc>
          <w:tcPr>
            <w:tcW w:w="2440" w:type="dxa"/>
            <w:vAlign w:val="top"/>
            <w:tcBorders>
              <w:bottom w:val="single" w:color="BFBFBF" w:sz="2" w:space="0"/>
              <w:top w:val="single" w:color="BFBFBF" w:sz="2" w:space="0"/>
            </w:tcBorders>
          </w:tcPr>
          <w:p>
            <w:pPr>
              <w:pStyle w:val="TableText"/>
              <w:ind w:left="993"/>
              <w:spacing w:before="253" w:line="178" w:lineRule="auto"/>
              <w:rPr>
                <w:sz w:val="21"/>
                <w:szCs w:val="21"/>
              </w:rPr>
            </w:pPr>
            <w:r>
              <w:rPr>
                <w:sz w:val="21"/>
                <w:szCs w:val="21"/>
                <w:spacing w:val="-7"/>
              </w:rPr>
              <w:t>1,449</w:t>
            </w:r>
          </w:p>
        </w:tc>
      </w:tr>
      <w:tr>
        <w:trPr>
          <w:trHeight w:val="679" w:hRule="atLeast"/>
        </w:trPr>
        <w:tc>
          <w:tcPr>
            <w:tcW w:w="2806" w:type="dxa"/>
            <w:vAlign w:val="top"/>
            <w:tcBorders>
              <w:top w:val="single" w:color="BFBFBF" w:sz="2" w:space="0"/>
              <w:bottom w:val="single" w:color="00C0AE" w:sz="12" w:space="0"/>
            </w:tcBorders>
          </w:tcPr>
          <w:p>
            <w:pPr>
              <w:pStyle w:val="TableText"/>
              <w:ind w:left="115"/>
              <w:spacing w:before="244" w:line="188" w:lineRule="auto"/>
              <w:rPr>
                <w:sz w:val="21"/>
                <w:szCs w:val="21"/>
              </w:rPr>
            </w:pPr>
            <w:r>
              <w:rPr>
                <w:sz w:val="21"/>
                <w:szCs w:val="21"/>
                <w:b/>
                <w:bCs/>
                <w:color w:val="00C0AE"/>
                <w:spacing w:val="2"/>
              </w:rPr>
              <w:t>投资回报周期(年)</w:t>
            </w:r>
          </w:p>
        </w:tc>
        <w:tc>
          <w:tcPr>
            <w:tcW w:w="1998" w:type="dxa"/>
            <w:vAlign w:val="top"/>
            <w:tcBorders>
              <w:top w:val="single" w:color="BFBFBF" w:sz="2" w:space="0"/>
              <w:bottom w:val="single" w:color="00C0AE" w:sz="12" w:space="0"/>
            </w:tcBorders>
          </w:tcPr>
          <w:p>
            <w:pPr>
              <w:pStyle w:val="TableText"/>
              <w:ind w:left="565"/>
              <w:spacing w:before="245" w:line="179" w:lineRule="auto"/>
              <w:rPr>
                <w:sz w:val="21"/>
                <w:szCs w:val="21"/>
              </w:rPr>
            </w:pPr>
            <w:r>
              <w:rPr>
                <w:sz w:val="21"/>
                <w:szCs w:val="21"/>
                <w:spacing w:val="-2"/>
              </w:rPr>
              <w:t>约5.5</w:t>
            </w:r>
          </w:p>
        </w:tc>
        <w:tc>
          <w:tcPr>
            <w:tcW w:w="2395" w:type="dxa"/>
            <w:vAlign w:val="top"/>
            <w:tcBorders>
              <w:top w:val="single" w:color="BFBFBF" w:sz="2" w:space="0"/>
              <w:bottom w:val="single" w:color="00C0AE" w:sz="12" w:space="0"/>
            </w:tcBorders>
          </w:tcPr>
          <w:p>
            <w:pPr>
              <w:pStyle w:val="TableText"/>
              <w:ind w:left="977"/>
              <w:spacing w:before="245" w:line="179" w:lineRule="auto"/>
              <w:rPr>
                <w:sz w:val="21"/>
                <w:szCs w:val="21"/>
              </w:rPr>
            </w:pPr>
            <w:r>
              <w:rPr>
                <w:sz w:val="21"/>
                <w:szCs w:val="21"/>
                <w:spacing w:val="-2"/>
              </w:rPr>
              <w:t>约9.7</w:t>
            </w:r>
          </w:p>
        </w:tc>
        <w:tc>
          <w:tcPr>
            <w:tcW w:w="2440" w:type="dxa"/>
            <w:vAlign w:val="top"/>
            <w:tcBorders>
              <w:top w:val="single" w:color="BFBFBF" w:sz="2" w:space="0"/>
              <w:bottom w:val="single" w:color="00C0AE" w:sz="12" w:space="0"/>
            </w:tcBorders>
          </w:tcPr>
          <w:p>
            <w:pPr>
              <w:pStyle w:val="TableText"/>
              <w:ind w:left="992"/>
              <w:spacing w:before="245" w:line="179" w:lineRule="auto"/>
              <w:rPr>
                <w:sz w:val="21"/>
                <w:szCs w:val="21"/>
              </w:rPr>
            </w:pPr>
            <w:r>
              <w:rPr>
                <w:sz w:val="21"/>
                <w:szCs w:val="21"/>
                <w:spacing w:val="-2"/>
              </w:rPr>
              <w:t>约7.4</w:t>
            </w:r>
          </w:p>
        </w:tc>
      </w:tr>
    </w:tbl>
    <w:p>
      <w:pPr>
        <w:ind w:left="1309"/>
        <w:spacing w:before="201" w:line="197"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3"/>
        </w:rPr>
        <w:t>数据来源： </w:t>
      </w:r>
      <w:r>
        <w:rPr>
          <w:rFonts w:ascii="Microsoft YaHei" w:hAnsi="Microsoft YaHei" w:eastAsia="Microsoft YaHei" w:cs="Microsoft YaHei"/>
          <w:sz w:val="15"/>
          <w:szCs w:val="15"/>
        </w:rPr>
        <w:t>Zcar</w:t>
      </w:r>
      <w:r>
        <w:rPr>
          <w:rFonts w:ascii="Microsoft YaHei" w:hAnsi="Microsoft YaHei" w:eastAsia="Microsoft YaHei" w:cs="Microsoft YaHei"/>
          <w:sz w:val="15"/>
          <w:szCs w:val="15"/>
          <w:spacing w:val="3"/>
        </w:rPr>
        <w:t>, 毕马威分析</w:t>
      </w:r>
    </w:p>
    <w:p>
      <w:pPr>
        <w:pStyle w:val="BodyText"/>
        <w:spacing w:line="295" w:lineRule="auto"/>
        <w:rPr/>
      </w:pPr>
      <w:r/>
    </w:p>
    <w:p>
      <w:pPr>
        <w:pStyle w:val="BodyText"/>
        <w:spacing w:line="296" w:lineRule="auto"/>
        <w:rPr/>
      </w:pPr>
      <w:r/>
    </w:p>
    <w:p>
      <w:pPr>
        <w:pStyle w:val="BodyText"/>
        <w:spacing w:line="296" w:lineRule="auto"/>
        <w:rPr/>
      </w:pPr>
      <w:r/>
    </w:p>
    <w:p>
      <w:pPr>
        <w:pStyle w:val="BodyText"/>
        <w:spacing w:line="296" w:lineRule="auto"/>
        <w:rPr/>
      </w:pPr>
      <w:r/>
    </w:p>
    <w:p>
      <w:pPr>
        <w:ind w:left="1805" w:right="1241" w:hanging="411"/>
        <w:spacing w:before="48"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0" w:header="0" w:footer="0" w:gutter="0"/>
        </w:sectPr>
        <w:rPr>
          <w:rFonts w:ascii="Microsoft YaHei" w:hAnsi="Microsoft YaHei" w:eastAsia="Microsoft YaHei" w:cs="Microsoft YaHei"/>
          <w:sz w:val="11"/>
          <w:szCs w:val="11"/>
        </w:rPr>
      </w:pPr>
    </w:p>
    <w:p>
      <w:pPr>
        <w:spacing w:before="314" w:line="193" w:lineRule="auto"/>
        <w:rPr>
          <w:rFonts w:ascii="Microsoft YaHei" w:hAnsi="Microsoft YaHei" w:eastAsia="Microsoft YaHei" w:cs="Microsoft YaHei"/>
          <w:sz w:val="18"/>
          <w:szCs w:val="18"/>
        </w:rPr>
      </w:pPr>
      <w:r>
        <w:pict>
          <v:rect id="_x0000_s1168" style="position:absolute;margin-left:611.99pt;margin-top:0pt;mso-position-vertical-relative:page;mso-position-horizontal-relative:page;width:0.25pt;height:859pt;z-index:253320192;" o:allowincell="f" fillcolor="#000000" filled="true" stroked="false"/>
        </w:pict>
      </w:r>
      <w:r>
        <w:rPr>
          <w:rFonts w:ascii="Microsoft YaHei" w:hAnsi="Microsoft YaHei" w:eastAsia="Microsoft YaHei" w:cs="Microsoft YaHei"/>
          <w:sz w:val="18"/>
          <w:szCs w:val="18"/>
          <w:b/>
          <w:bCs/>
          <w:color w:val="A8A8A8"/>
          <w:spacing w:val="-1"/>
        </w:rPr>
        <w:t>59</w:t>
      </w:r>
      <w:r>
        <w:rPr>
          <w:rFonts w:ascii="Microsoft YaHei" w:hAnsi="Microsoft YaHei" w:eastAsia="Microsoft YaHei" w:cs="Microsoft YaHei"/>
          <w:sz w:val="18"/>
          <w:szCs w:val="18"/>
          <w:b/>
          <w:bCs/>
          <w:color w:val="A8A8A8"/>
          <w:spacing w:val="15"/>
        </w:rPr>
        <w:t xml:space="preserve">  </w:t>
      </w:r>
      <w:r>
        <w:rPr>
          <w:sz w:val="18"/>
          <w:szCs w:val="18"/>
          <w:position w:val="-4"/>
        </w:rPr>
        <w:drawing>
          <wp:inline distT="0" distB="0" distL="0" distR="0">
            <wp:extent cx="6350" cy="130175"/>
            <wp:effectExtent l="0" t="0" r="0" b="0"/>
            <wp:docPr id="614" name="IM 614"/>
            <wp:cNvGraphicFramePr/>
            <a:graphic>
              <a:graphicData uri="http://schemas.openxmlformats.org/drawingml/2006/picture">
                <pic:pic>
                  <pic:nvPicPr>
                    <pic:cNvPr id="614" name="IM 614"/>
                    <pic:cNvPicPr/>
                  </pic:nvPicPr>
                  <pic:blipFill>
                    <a:blip r:embed="rId295"/>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A8A8A8"/>
          <w:spacing w:val="26"/>
        </w:rPr>
        <w:t xml:space="preserve">  </w:t>
      </w:r>
      <w:r>
        <w:rPr>
          <w:rFonts w:ascii="Microsoft YaHei" w:hAnsi="Microsoft YaHei" w:eastAsia="Microsoft YaHei" w:cs="Microsoft YaHei"/>
          <w:sz w:val="18"/>
          <w:szCs w:val="18"/>
          <w:color w:val="A8A8A8"/>
          <w:spacing w:val="-1"/>
        </w:rPr>
        <w:t>新型储能助力能源转型</w:t>
      </w:r>
    </w:p>
    <w:p>
      <w:pPr>
        <w:pStyle w:val="BodyText"/>
        <w:spacing w:line="313" w:lineRule="auto"/>
        <w:rPr/>
      </w:pPr>
      <w:r/>
    </w:p>
    <w:p>
      <w:pPr>
        <w:pStyle w:val="BodyText"/>
        <w:spacing w:line="313" w:lineRule="auto"/>
        <w:rPr/>
      </w:pPr>
      <w:r/>
    </w:p>
    <w:p>
      <w:pPr>
        <w:pStyle w:val="BodyText"/>
        <w:spacing w:line="313" w:lineRule="auto"/>
        <w:rPr/>
      </w:pPr>
      <w:r/>
    </w:p>
    <w:p>
      <w:pPr>
        <w:ind w:left="379"/>
        <w:spacing w:before="154" w:line="179" w:lineRule="auto"/>
        <w:outlineLvl w:val="0"/>
        <w:rPr>
          <w:rFonts w:ascii="Microsoft YaHei" w:hAnsi="Microsoft YaHei" w:eastAsia="Microsoft YaHei" w:cs="Microsoft YaHei"/>
          <w:sz w:val="36"/>
          <w:szCs w:val="36"/>
        </w:rPr>
      </w:pPr>
      <w:r>
        <w:rPr>
          <w:rFonts w:ascii="Microsoft YaHei" w:hAnsi="Microsoft YaHei" w:eastAsia="Microsoft YaHei" w:cs="Microsoft YaHei"/>
          <w:sz w:val="36"/>
          <w:szCs w:val="36"/>
          <w:b/>
          <w:bCs/>
          <w:color w:val="00338D"/>
          <w:spacing w:val="-4"/>
        </w:rPr>
        <w:t>工商业端</w:t>
      </w:r>
    </w:p>
    <w:p>
      <w:pPr>
        <w:ind w:left="347" w:right="2826" w:firstLine="3"/>
        <w:spacing w:before="144" w:line="217"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工商业储能是用户储能的另一重要组成部分</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，对</w:t>
      </w:r>
      <w:r>
        <w:rPr>
          <w:rFonts w:ascii="Microsoft YaHei" w:hAnsi="Microsoft YaHei" w:eastAsia="Microsoft YaHei" w:cs="Microsoft YaHei"/>
          <w:sz w:val="21"/>
          <w:szCs w:val="21"/>
          <w:spacing w:val="2"/>
        </w:rPr>
        <w:t>于未使用光伏用户</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，其经济性主要体</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现在利用储能进行峰谷套利；对于光伏用户而言</w:t>
      </w:r>
      <w:r>
        <w:rPr>
          <w:rFonts w:ascii="Microsoft YaHei" w:hAnsi="Microsoft YaHei" w:eastAsia="Microsoft YaHei" w:cs="Microsoft YaHei"/>
          <w:sz w:val="21"/>
          <w:szCs w:val="21"/>
          <w:spacing w:val="-12"/>
        </w:rPr>
        <w:t xml:space="preserve"> </w:t>
      </w:r>
      <w:r>
        <w:rPr>
          <w:rFonts w:ascii="Microsoft YaHei" w:hAnsi="Microsoft YaHei" w:eastAsia="Microsoft YaHei" w:cs="Microsoft YaHei"/>
          <w:sz w:val="21"/>
          <w:szCs w:val="21"/>
          <w:spacing w:val="2"/>
        </w:rPr>
        <w:t>，则可以通过自发自用节省购电成本，</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助力企业节能减排。工商业储能主要通过能量时移、</w:t>
      </w:r>
      <w:r>
        <w:rPr>
          <w:rFonts w:ascii="Microsoft YaHei" w:hAnsi="Microsoft YaHei" w:eastAsia="Microsoft YaHei" w:cs="Microsoft YaHei"/>
          <w:sz w:val="21"/>
          <w:szCs w:val="21"/>
          <w:spacing w:val="-41"/>
        </w:rPr>
        <w:t xml:space="preserve"> </w:t>
      </w:r>
      <w:r>
        <w:rPr>
          <w:rFonts w:ascii="Microsoft YaHei" w:hAnsi="Microsoft YaHei" w:eastAsia="Microsoft YaHei" w:cs="Microsoft YaHei"/>
          <w:sz w:val="21"/>
          <w:szCs w:val="21"/>
          <w:spacing w:val="4"/>
        </w:rPr>
        <w:t>峰谷价差套利、容量电</w:t>
      </w:r>
      <w:r>
        <w:rPr>
          <w:rFonts w:ascii="Microsoft YaHei" w:hAnsi="Microsoft YaHei" w:eastAsia="Microsoft YaHei" w:cs="Microsoft YaHei"/>
          <w:sz w:val="21"/>
          <w:szCs w:val="21"/>
          <w:spacing w:val="3"/>
        </w:rPr>
        <w:t>费削减和</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需求响应等渠道盈利。</w:t>
      </w:r>
    </w:p>
    <w:p>
      <w:pPr>
        <w:ind w:left="345" w:right="2828" w:firstLine="1"/>
        <w:spacing w:before="267" w:line="214"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据Wood  Mackenzie预测</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2"/>
        </w:rPr>
        <w:t>，到2031年，工商业储</w:t>
      </w:r>
      <w:r>
        <w:rPr>
          <w:rFonts w:ascii="Microsoft YaHei" w:hAnsi="Microsoft YaHei" w:eastAsia="Microsoft YaHei" w:cs="Microsoft YaHei"/>
          <w:sz w:val="21"/>
          <w:szCs w:val="21"/>
          <w:spacing w:val="-3"/>
        </w:rPr>
        <w:t>能将占据中国储能市场的10%</w:t>
      </w:r>
      <w:r>
        <w:rPr>
          <w:rFonts w:ascii="Microsoft YaHei" w:hAnsi="Microsoft YaHei" w:eastAsia="Microsoft YaHei" w:cs="Microsoft YaHei"/>
          <w:sz w:val="21"/>
          <w:szCs w:val="21"/>
          <w:spacing w:val="-31"/>
        </w:rPr>
        <w:t xml:space="preserve"> </w:t>
      </w:r>
      <w:r>
        <w:rPr>
          <w:rFonts w:ascii="Microsoft YaHei" w:hAnsi="Microsoft YaHei" w:eastAsia="Microsoft YaHei" w:cs="Microsoft YaHei"/>
          <w:sz w:val="21"/>
          <w:szCs w:val="21"/>
          <w:spacing w:val="-3"/>
        </w:rPr>
        <w:t>，装机</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总量达442GWh,</w:t>
      </w:r>
      <w:r>
        <w:rPr>
          <w:rFonts w:ascii="Microsoft YaHei" w:hAnsi="Microsoft YaHei" w:eastAsia="Microsoft YaHei" w:cs="Microsoft YaHei"/>
          <w:sz w:val="21"/>
          <w:szCs w:val="21"/>
          <w:spacing w:val="47"/>
        </w:rPr>
        <w:t xml:space="preserve"> </w:t>
      </w:r>
      <w:r>
        <w:rPr>
          <w:rFonts w:ascii="Microsoft YaHei" w:hAnsi="Microsoft YaHei" w:eastAsia="Microsoft YaHei" w:cs="Microsoft YaHei"/>
          <w:sz w:val="21"/>
          <w:szCs w:val="21"/>
          <w:spacing w:val="-2"/>
        </w:rPr>
        <w:t>较2021年占比上升4个百分点，是主</w:t>
      </w:r>
      <w:r>
        <w:rPr>
          <w:rFonts w:ascii="Microsoft YaHei" w:hAnsi="Microsoft YaHei" w:eastAsia="Microsoft YaHei" w:cs="Microsoft YaHei"/>
          <w:sz w:val="21"/>
          <w:szCs w:val="21"/>
          <w:spacing w:val="-3"/>
        </w:rPr>
        <w:t>要增量市场。而发电/电网端占比</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保持不变</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，而家庭储能占比到2031年则仅为4%</w:t>
      </w:r>
      <w:r>
        <w:rPr>
          <w:rFonts w:ascii="Microsoft YaHei" w:hAnsi="Microsoft YaHei" w:eastAsia="Microsoft YaHei" w:cs="Microsoft YaHei"/>
          <w:sz w:val="21"/>
          <w:szCs w:val="21"/>
          <w:spacing w:val="-31"/>
        </w:rPr>
        <w:t xml:space="preserve"> </w:t>
      </w:r>
      <w:r>
        <w:rPr>
          <w:rFonts w:ascii="Microsoft YaHei" w:hAnsi="Microsoft YaHei" w:eastAsia="Microsoft YaHei" w:cs="Microsoft YaHei"/>
          <w:sz w:val="21"/>
          <w:szCs w:val="21"/>
          <w:spacing w:val="-1"/>
        </w:rPr>
        <w:t>，比2021年下降3个百分点（图  23</w:t>
      </w:r>
      <w:r>
        <w:rPr>
          <w:rFonts w:ascii="Microsoft YaHei" w:hAnsi="Microsoft YaHei" w:eastAsia="Microsoft YaHei" w:cs="Microsoft YaHei"/>
          <w:sz w:val="21"/>
          <w:szCs w:val="21"/>
          <w:spacing w:val="-2"/>
        </w:rPr>
        <w:t>）。</w:t>
      </w:r>
    </w:p>
    <w:p>
      <w:pPr>
        <w:pStyle w:val="BodyText"/>
        <w:spacing w:line="278" w:lineRule="auto"/>
        <w:rPr/>
      </w:pPr>
      <w:r/>
    </w:p>
    <w:p>
      <w:pPr>
        <w:ind w:firstLine="337"/>
        <w:spacing w:line="590" w:lineRule="exact"/>
        <w:rPr/>
      </w:pPr>
      <w:r>
        <w:rPr>
          <w:position w:val="-11"/>
        </w:rPr>
        <w:pict>
          <v:group id="_x0000_s1170" style="mso-position-vertical-relative:line;mso-position-horizontal-relative:char;width:482.2pt;height:29.5pt;" filled="false" stroked="false" coordsize="9644,590" coordorigin="0,0">
            <v:group id="_x0000_s1172" style="position:absolute;left:0;top:0;width:9644;height:590;" filled="false" stroked="false" coordsize="9644,590" coordorigin="0,0">
              <v:shape id="_x0000_s1174" style="position:absolute;left:0;top:66;width:9644;height:524;" fillcolor="#F1F1F1" filled="true" stroked="false" coordsize="9644,524" coordorigin="0,0" path="m,l9643,0l9643,523l0,523l0,0xe"/>
              <v:shape id="_x0000_s1176" style="position:absolute;left:2;top:0;width:610;height:100;" filled="false" strokecolor="#00C0AE" strokeweight="5.00pt" coordsize="610,100" coordorigin="0,0" path="m0,50l610,50e">
                <v:stroke joinstyle="miter"/>
              </v:shape>
            </v:group>
            <v:shape id="_x0000_s1178" style="position:absolute;left:-20;top:-20;width:9684;height:630;" filled="false" stroked="false" type="#_x0000_t202">
              <v:fill on="false"/>
              <v:stroke on="false"/>
              <v:path/>
              <v:imagedata o:title=""/>
              <o:lock v:ext="edit" aspectratio="false"/>
              <v:textbox inset="0mm,0mm,0mm,0mm">
                <w:txbxContent>
                  <w:p>
                    <w:pPr>
                      <w:ind w:left="180"/>
                      <w:spacing w:before="207" w:line="21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C0AE"/>
                        <w:spacing w:val="-1"/>
                      </w:rPr>
                      <w:t>图 23 </w:t>
                    </w:r>
                    <w:r>
                      <w:rPr>
                        <w:sz w:val="21"/>
                        <w:szCs w:val="21"/>
                        <w:position w:val="-5"/>
                      </w:rPr>
                      <w:drawing>
                        <wp:inline distT="0" distB="0" distL="0" distR="0">
                          <wp:extent cx="12700" cy="175666"/>
                          <wp:effectExtent l="0" t="0" r="0" b="0"/>
                          <wp:docPr id="616" name="IM 616"/>
                          <wp:cNvGraphicFramePr/>
                          <a:graphic>
                            <a:graphicData uri="http://schemas.openxmlformats.org/drawingml/2006/picture">
                              <pic:pic>
                                <pic:nvPicPr>
                                  <pic:cNvPr id="616" name="IM 616"/>
                                  <pic:cNvPicPr/>
                                </pic:nvPicPr>
                                <pic:blipFill>
                                  <a:blip r:embed="rId296"/>
                                  <a:stretch>
                                    <a:fillRect/>
                                  </a:stretch>
                                </pic:blipFill>
                                <pic:spPr>
                                  <a:xfrm rot="0">
                                    <a:off x="0" y="0"/>
                                    <a:ext cx="12700" cy="175666"/>
                                  </a:xfrm>
                                  <a:prstGeom prst="rect">
                                    <a:avLst/>
                                  </a:prstGeom>
                                </pic:spPr>
                              </pic:pic>
                            </a:graphicData>
                          </a:graphic>
                        </wp:inline>
                      </w:drawing>
                    </w:r>
                    <w:r>
                      <w:rPr>
                        <w:rFonts w:ascii="Microsoft YaHei" w:hAnsi="Microsoft YaHei" w:eastAsia="Microsoft YaHei" w:cs="Microsoft YaHei"/>
                        <w:sz w:val="21"/>
                        <w:szCs w:val="21"/>
                        <w:b/>
                        <w:bCs/>
                        <w:color w:val="00C0AE"/>
                        <w:spacing w:val="27"/>
                      </w:rPr>
                      <w:t xml:space="preserve">  </w:t>
                    </w:r>
                    <w:r>
                      <w:rPr>
                        <w:rFonts w:ascii="Microsoft YaHei" w:hAnsi="Microsoft YaHei" w:eastAsia="Microsoft YaHei" w:cs="Microsoft YaHei"/>
                        <w:sz w:val="21"/>
                        <w:szCs w:val="21"/>
                        <w:b/>
                        <w:bCs/>
                        <w:color w:val="00C0AE"/>
                        <w:spacing w:val="-1"/>
                      </w:rPr>
                      <w:t>工商业储能是未来中国储能市场的主要增量</w:t>
                    </w:r>
                  </w:p>
                </w:txbxContent>
              </v:textbox>
            </v:shape>
          </v:group>
        </w:pict>
      </w:r>
    </w:p>
    <w:p>
      <w:pPr>
        <w:pStyle w:val="BodyText"/>
        <w:spacing w:line="345" w:lineRule="auto"/>
        <w:rPr/>
      </w:pPr>
      <w:r/>
    </w:p>
    <w:p>
      <w:pPr>
        <w:pStyle w:val="BodyText"/>
        <w:ind w:firstLine="2874"/>
        <w:spacing w:line="2040" w:lineRule="exact"/>
        <w:rPr/>
      </w:pPr>
      <w:r>
        <w:pict>
          <v:group id="_x0000_s1180" style="position:absolute;margin-left:317.234pt;margin-top:0.005173pt;mso-position-vertical-relative:text;mso-position-horizontal-relative:text;width:102.05pt;height:102.05pt;z-index:253300736;" filled="false" stroked="false" coordsize="2041,2041" coordorigin="0,0">
            <v:group id="_x0000_s1182" style="position:absolute;left:0;top:0;width:2041;height:2041;" filled="false" stroked="false" coordsize="2041,2041" coordorigin="0,0">
              <v:shape id="_x0000_s1184" style="position:absolute;left:0;top:0;width:2041;height:2041;" fillcolor="#00C0AE" filled="true" stroked="false" coordsize="2041,2041" coordorigin="0,0" path="m1020,0c1583,0,2040,456,2040,1020c2040,1583,1583,2040,1020,2040c456,2040,0,1583,0,1020c0,779,84,546,239,363l708,757c562,929,584,1187,757,1332c929,1477,1187,1455,1332,1282c1477,1110,1455,853,1282,708c1209,646,1116,612,1020,612l1020,0xe"/>
              <v:shape id="_x0000_s1186" style="position:absolute;left:239;top:31;width:680;height:725;" fillcolor="#00B8F5" filled="true" stroked="false" coordsize="680,725" coordorigin="0,0" path="m0,331c137,168,322,52,529,0l679,593c597,614,523,660,468,725l0,331xe"/>
              <v:shape id="_x0000_s1188" style="position:absolute;left:768;top:0;width:252;height:625;" fillcolor="#DADADA" filled="true" stroked="false" coordsize="252,625" coordorigin="0,0" path="m0,31m0,31c82,10,166,0,251,0l251,612c217,612,183,616,150,624l0,31xe"/>
            </v:group>
            <v:shape id="_x0000_s1190" style="position:absolute;left:-20;top:-20;width:2081;height:2161;" filled="false" stroked="false" type="#_x0000_t202">
              <v:fill on="false"/>
              <v:stroke on="false"/>
              <v:path/>
              <v:imagedata o:title=""/>
              <o:lock v:ext="edit" aspectratio="false"/>
              <v:textbox inset="0mm,0mm,0mm,0mm">
                <w:txbxContent>
                  <w:p>
                    <w:pPr>
                      <w:ind w:left="819"/>
                      <w:spacing w:before="269" w:line="122" w:lineRule="exact"/>
                      <w:rPr>
                        <w:rFonts w:ascii="Microsoft YaHei" w:hAnsi="Microsoft YaHei" w:eastAsia="Microsoft YaHei" w:cs="Microsoft YaHei"/>
                        <w:sz w:val="18"/>
                        <w:szCs w:val="18"/>
                      </w:rPr>
                    </w:pPr>
                    <w:r>
                      <w:rPr>
                        <w:rFonts w:ascii="Microsoft YaHei" w:hAnsi="Microsoft YaHei" w:eastAsia="Microsoft YaHei" w:cs="Microsoft YaHei"/>
                        <w:sz w:val="18"/>
                        <w:szCs w:val="18"/>
                        <w:color w:val="7F7F7F"/>
                        <w:spacing w:val="-1"/>
                        <w:position w:val="-2"/>
                      </w:rPr>
                      <w:t>4%</w:t>
                    </w:r>
                  </w:p>
                  <w:p>
                    <w:pPr>
                      <w:ind w:left="488"/>
                      <w:spacing w:line="157"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FFFFFF"/>
                        <w:spacing w:val="-4"/>
                      </w:rPr>
                      <w:t>10%</w:t>
                    </w:r>
                  </w:p>
                  <w:p>
                    <w:pPr>
                      <w:ind w:left="774"/>
                      <w:spacing w:before="322" w:line="187" w:lineRule="auto"/>
                      <w:rPr>
                        <w:rFonts w:ascii="Trebuchet MS" w:hAnsi="Trebuchet MS" w:eastAsia="Trebuchet MS" w:cs="Trebuchet MS"/>
                        <w:sz w:val="36"/>
                        <w:szCs w:val="36"/>
                      </w:rPr>
                    </w:pPr>
                    <w:r>
                      <w:rPr>
                        <w:rFonts w:ascii="Trebuchet MS" w:hAnsi="Trebuchet MS" w:eastAsia="Trebuchet MS" w:cs="Trebuchet MS"/>
                        <w:sz w:val="36"/>
                        <w:szCs w:val="36"/>
                        <w:b/>
                        <w:bCs/>
                        <w:color w:val="00C0AE"/>
                        <w:spacing w:val="-46"/>
                        <w:w w:val="92"/>
                      </w:rPr>
                      <w:t>2031</w:t>
                    </w:r>
                  </w:p>
                  <w:p>
                    <w:pPr>
                      <w:pStyle w:val="BodyText"/>
                      <w:spacing w:line="304" w:lineRule="auto"/>
                      <w:rPr/>
                    </w:pPr>
                    <w:r/>
                  </w:p>
                  <w:p>
                    <w:pPr>
                      <w:ind w:left="1161"/>
                      <w:spacing w:before="77" w:line="172"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FFFFFF"/>
                        <w:spacing w:val="-2"/>
                      </w:rPr>
                      <w:t>87%</w:t>
                    </w:r>
                  </w:p>
                </w:txbxContent>
              </v:textbox>
            </v:shape>
          </v:group>
        </w:pict>
      </w:r>
      <w:r>
        <w:pict>
          <v:shape id="_x0000_s1192" style="position:absolute;margin-left:429.96pt;margin-top:39.5902pt;mso-position-vertical-relative:text;mso-position-horizontal-relative:text;width:70.35pt;height:34.35pt;z-index:253309952;" filled="false" stroked="false" type="#_x0000_t202">
            <v:fill on="false"/>
            <v:stroke on="false"/>
            <v:path/>
            <v:imagedata o:title=""/>
            <o:lock v:ext="edit" aspectratio="false"/>
            <v:textbox inset="0mm,0mm,0mm,0mm">
              <w:txbxContent>
                <w:p>
                  <w:pPr>
                    <w:spacing w:before="19" w:line="239" w:lineRule="auto"/>
                    <w:jc w:val="right"/>
                    <w:rPr>
                      <w:rFonts w:ascii="Trebuchet MS" w:hAnsi="Trebuchet MS" w:eastAsia="Trebuchet MS" w:cs="Trebuchet MS"/>
                      <w:sz w:val="56"/>
                      <w:szCs w:val="56"/>
                    </w:rPr>
                  </w:pPr>
                  <w:r>
                    <w:rPr>
                      <w:rFonts w:ascii="Trebuchet MS" w:hAnsi="Trebuchet MS" w:eastAsia="Trebuchet MS" w:cs="Trebuchet MS"/>
                      <w:sz w:val="56"/>
                      <w:szCs w:val="56"/>
                      <w:b/>
                      <w:bCs/>
                      <w:color w:val="00C0AE"/>
                      <w:spacing w:val="-28"/>
                      <w:w w:val="70"/>
                    </w:rPr>
                    <w:t>442GWh</w:t>
                  </w:r>
                </w:p>
              </w:txbxContent>
            </v:textbox>
          </v:shape>
        </w:pict>
      </w:r>
      <w:r>
        <w:pict>
          <v:shape id="_x0000_s1194" style="position:absolute;margin-left:50.361pt;margin-top:84.1139pt;mso-position-vertical-relative:text;mso-position-horizontal-relative:text;width:28.45pt;height:19.3pt;z-index:253316096;" filled="false" stroked="false" type="#_x0000_t202">
            <v:fill on="false"/>
            <v:stroke on="false"/>
            <v:path/>
            <v:imagedata o:title=""/>
            <o:lock v:ext="edit" aspectratio="false"/>
            <v:textbox inset="0mm,0mm,0mm,0mm">
              <w:txbxContent>
                <w:p>
                  <w:pPr>
                    <w:ind w:left="20"/>
                    <w:spacing w:before="19" w:line="179" w:lineRule="auto"/>
                    <w:rPr>
                      <w:rFonts w:ascii="Microsoft YaHei" w:hAnsi="Microsoft YaHei" w:eastAsia="Microsoft YaHei" w:cs="Microsoft YaHei"/>
                      <w:sz w:val="27"/>
                      <w:szCs w:val="27"/>
                    </w:rPr>
                  </w:pPr>
                  <w:r>
                    <w:rPr>
                      <w:rFonts w:ascii="Microsoft YaHei" w:hAnsi="Microsoft YaHei" w:eastAsia="Microsoft YaHei" w:cs="Microsoft YaHei"/>
                      <w:sz w:val="27"/>
                      <w:szCs w:val="27"/>
                      <w:color w:val="00C0AE"/>
                      <w:spacing w:val="-3"/>
                    </w:rPr>
                    <w:t>中国</w:t>
                  </w:r>
                </w:p>
              </w:txbxContent>
            </v:textbox>
          </v:shape>
        </w:pict>
      </w:r>
      <w:r>
        <w:drawing>
          <wp:anchor distT="0" distB="0" distL="0" distR="0" simplePos="0" relativeHeight="253321216" behindDoc="0" locked="0" layoutInCell="1" allowOverlap="1">
            <wp:simplePos x="0" y="0"/>
            <wp:positionH relativeFrom="column">
              <wp:posOffset>791482</wp:posOffset>
            </wp:positionH>
            <wp:positionV relativeFrom="paragraph">
              <wp:posOffset>256270</wp:posOffset>
            </wp:positionV>
            <wp:extent cx="57136" cy="71646"/>
            <wp:effectExtent l="0" t="0" r="0" b="0"/>
            <wp:wrapNone/>
            <wp:docPr id="618" name="IM 618"/>
            <wp:cNvGraphicFramePr/>
            <a:graphic>
              <a:graphicData uri="http://schemas.openxmlformats.org/drawingml/2006/picture">
                <pic:pic>
                  <pic:nvPicPr>
                    <pic:cNvPr id="618" name="IM 618"/>
                    <pic:cNvPicPr/>
                  </pic:nvPicPr>
                  <pic:blipFill>
                    <a:blip r:embed="rId297"/>
                    <a:stretch>
                      <a:fillRect/>
                    </a:stretch>
                  </pic:blipFill>
                  <pic:spPr>
                    <a:xfrm rot="0">
                      <a:off x="0" y="0"/>
                      <a:ext cx="57136" cy="71646"/>
                    </a:xfrm>
                    <a:prstGeom prst="rect">
                      <a:avLst/>
                    </a:prstGeom>
                  </pic:spPr>
                </pic:pic>
              </a:graphicData>
            </a:graphic>
          </wp:anchor>
        </w:drawing>
      </w:r>
      <w:r>
        <w:drawing>
          <wp:anchor distT="0" distB="0" distL="0" distR="0" simplePos="0" relativeHeight="253302784" behindDoc="0" locked="0" layoutInCell="1" allowOverlap="1">
            <wp:simplePos x="0" y="0"/>
            <wp:positionH relativeFrom="column">
              <wp:posOffset>453529</wp:posOffset>
            </wp:positionH>
            <wp:positionV relativeFrom="paragraph">
              <wp:posOffset>332935</wp:posOffset>
            </wp:positionV>
            <wp:extent cx="732828" cy="659574"/>
            <wp:effectExtent l="0" t="0" r="0" b="0"/>
            <wp:wrapNone/>
            <wp:docPr id="620" name="IM 620"/>
            <wp:cNvGraphicFramePr/>
            <a:graphic>
              <a:graphicData uri="http://schemas.openxmlformats.org/drawingml/2006/picture">
                <pic:pic>
                  <pic:nvPicPr>
                    <pic:cNvPr id="620" name="IM 620"/>
                    <pic:cNvPicPr/>
                  </pic:nvPicPr>
                  <pic:blipFill>
                    <a:blip r:embed="rId298"/>
                    <a:stretch>
                      <a:fillRect/>
                    </a:stretch>
                  </pic:blipFill>
                  <pic:spPr>
                    <a:xfrm rot="0">
                      <a:off x="0" y="0"/>
                      <a:ext cx="732828" cy="659574"/>
                    </a:xfrm>
                    <a:prstGeom prst="rect">
                      <a:avLst/>
                    </a:prstGeom>
                  </pic:spPr>
                </pic:pic>
              </a:graphicData>
            </a:graphic>
          </wp:anchor>
        </w:drawing>
      </w:r>
      <w:r>
        <w:drawing>
          <wp:anchor distT="0" distB="0" distL="0" distR="0" simplePos="0" relativeHeight="253303808" behindDoc="0" locked="0" layoutInCell="1" allowOverlap="1">
            <wp:simplePos x="0" y="0"/>
            <wp:positionH relativeFrom="column">
              <wp:posOffset>3253114</wp:posOffset>
            </wp:positionH>
            <wp:positionV relativeFrom="paragraph">
              <wp:posOffset>319071</wp:posOffset>
            </wp:positionV>
            <wp:extent cx="731613" cy="597159"/>
            <wp:effectExtent l="0" t="0" r="0" b="0"/>
            <wp:wrapNone/>
            <wp:docPr id="622" name="IM 622"/>
            <wp:cNvGraphicFramePr/>
            <a:graphic>
              <a:graphicData uri="http://schemas.openxmlformats.org/drawingml/2006/picture">
                <pic:pic>
                  <pic:nvPicPr>
                    <pic:cNvPr id="622" name="IM 622"/>
                    <pic:cNvPicPr/>
                  </pic:nvPicPr>
                  <pic:blipFill>
                    <a:blip r:embed="rId299"/>
                    <a:stretch>
                      <a:fillRect/>
                    </a:stretch>
                  </pic:blipFill>
                  <pic:spPr>
                    <a:xfrm rot="0">
                      <a:off x="0" y="0"/>
                      <a:ext cx="731613" cy="597159"/>
                    </a:xfrm>
                    <a:prstGeom prst="rect">
                      <a:avLst/>
                    </a:prstGeom>
                  </pic:spPr>
                </pic:pic>
              </a:graphicData>
            </a:graphic>
          </wp:anchor>
        </w:drawing>
      </w:r>
      <w:r>
        <w:rPr>
          <w:position w:val="-40"/>
        </w:rPr>
        <w:pict>
          <v:group id="_x0000_s1196" style="mso-position-vertical-relative:line;mso-position-horizontal-relative:char;width:102.05pt;height:102.05pt;" filled="false" stroked="false" coordsize="2041,2041" coordorigin="0,0">
            <v:group id="_x0000_s1198" style="position:absolute;left:0;top:0;width:2041;height:2041;" filled="false" stroked="false" coordsize="2041,2041" coordorigin="0,0">
              <v:shape id="_x0000_s1200" style="position:absolute;left:0;top:0;width:2041;height:2041;" fillcolor="#00C0AE" filled="true" stroked="false" coordsize="2041,2041" coordorigin="0,0" path="m1020,0c1583,0,2040,456,2040,1020c2040,1583,1583,2040,1020,2040c456,2040,0,1583,0,1020c0,760,98,510,276,321l722,740c568,905,576,1163,740,1317c905,1471,1163,1463,1317,1299c1471,1135,1463,876,1299,722c1223,651,1123,612,1020,612l1020,0xe"/>
              <v:shape id="_x0000_s1202" style="position:absolute;left:276;top:97;width:570;height:644;" fillcolor="#00B8F5" filled="true" stroked="false" coordsize="570,644" coordorigin="0,0" path="m0,224c88,131,192,54,309,0l569,553c523,575,481,606,446,643l0,224xe"/>
              <v:shape id="_x0000_s1204" style="position:absolute;left:585;top:0;width:435;height:650;" fillcolor="#DADADA" filled="true" stroked="false" coordsize="435,650" coordorigin="0,0" path="m0,97m0,97c135,33,284,0,434,0l434,612c374,612,314,625,260,650l0,97xe"/>
            </v:group>
            <v:shape id="_x0000_s1206" style="position:absolute;left:-20;top:-20;width:2081;height:2081;" filled="false" stroked="false" type="#_x0000_t202">
              <v:fill on="false"/>
              <v:stroke on="false"/>
              <v:path/>
              <v:imagedata o:title=""/>
              <o:lock v:ext="edit" aspectratio="false"/>
              <v:textbox inset="0mm,0mm,0mm,0mm">
                <w:txbxContent>
                  <w:p>
                    <w:pPr>
                      <w:ind w:left="495"/>
                      <w:spacing w:before="280" w:line="187"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FFFFFF"/>
                        <w:spacing w:val="-2"/>
                        <w:position w:val="-5"/>
                      </w:rPr>
                      <w:t>6%</w:t>
                    </w:r>
                    <w:r>
                      <w:rPr>
                        <w:rFonts w:ascii="Microsoft YaHei" w:hAnsi="Microsoft YaHei" w:eastAsia="Microsoft YaHei" w:cs="Microsoft YaHei"/>
                        <w:sz w:val="18"/>
                        <w:szCs w:val="18"/>
                        <w:color w:val="7F7F7F"/>
                        <w:spacing w:val="-2"/>
                        <w:position w:val="5"/>
                      </w:rPr>
                      <w:t>7%</w:t>
                    </w:r>
                  </w:p>
                  <w:p>
                    <w:pPr>
                      <w:ind w:left="767"/>
                      <w:spacing w:before="304" w:line="187" w:lineRule="auto"/>
                      <w:rPr>
                        <w:rFonts w:ascii="Trebuchet MS" w:hAnsi="Trebuchet MS" w:eastAsia="Trebuchet MS" w:cs="Trebuchet MS"/>
                        <w:sz w:val="36"/>
                        <w:szCs w:val="36"/>
                      </w:rPr>
                    </w:pPr>
                    <w:r>
                      <w:rPr>
                        <w:rFonts w:ascii="Trebuchet MS" w:hAnsi="Trebuchet MS" w:eastAsia="Trebuchet MS" w:cs="Trebuchet MS"/>
                        <w:sz w:val="36"/>
                        <w:szCs w:val="36"/>
                        <w:b/>
                        <w:bCs/>
                        <w:color w:val="00C0AE"/>
                        <w:spacing w:val="-38"/>
                        <w:w w:val="85"/>
                      </w:rPr>
                      <w:t>2021</w:t>
                    </w:r>
                  </w:p>
                  <w:p>
                    <w:pPr>
                      <w:spacing w:line="302" w:lineRule="auto"/>
                      <w:rPr>
                        <w:rFonts w:ascii="Arial"/>
                        <w:sz w:val="21"/>
                      </w:rPr>
                    </w:pPr>
                    <w:r/>
                  </w:p>
                  <w:p>
                    <w:pPr>
                      <w:ind w:left="1143"/>
                      <w:spacing w:before="77" w:line="172"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FFFFFF"/>
                        <w:spacing w:val="-2"/>
                      </w:rPr>
                      <w:t>87%</w:t>
                    </w:r>
                  </w:p>
                </w:txbxContent>
              </v:textbox>
            </v:shape>
          </v:group>
        </w:pict>
      </w:r>
    </w:p>
    <w:p>
      <w:pPr>
        <w:pStyle w:val="BodyText"/>
        <w:spacing w:line="312" w:lineRule="auto"/>
        <w:rPr/>
      </w:pPr>
      <w:r>
        <w:pict>
          <v:shape id="_x0000_s1208" style="position:absolute;margin-left:18.3281pt;margin-top:11.9026pt;mso-position-vertical-relative:text;mso-position-horizontal-relative:text;width:480.9pt;height:0.5pt;z-index:253318144;" filled="false" strokecolor="#00C0AE" strokeweight="0.50pt" coordsize="9617,10" coordorigin="0,0" path="m0,5l9617,5e">
            <v:stroke joinstyle="miter"/>
          </v:shape>
        </w:pict>
      </w:r>
      <w:r/>
    </w:p>
    <w:p>
      <w:pPr>
        <w:pStyle w:val="BodyText"/>
        <w:spacing w:line="312" w:lineRule="auto"/>
        <w:rPr/>
      </w:pPr>
      <w:r>
        <w:pict>
          <v:group id="_x0000_s1210" style="position:absolute;margin-left:317.234pt;margin-top:13.4655pt;mso-position-vertical-relative:text;mso-position-horizontal-relative:text;width:102.05pt;height:102.05pt;z-index:253299712;" filled="false" stroked="false" coordsize="2041,2041" coordorigin="0,0">
            <v:group id="_x0000_s1212" style="position:absolute;left:0;top:0;width:2041;height:2041;" filled="false" stroked="false" coordsize="2041,2041" coordorigin="0,0">
              <v:shape id="_x0000_s1214" style="position:absolute;left:0;top:0;width:2041;height:2041;" fillcolor="#00C0AE" filled="true" stroked="false" coordsize="2041,2041" coordorigin="0,0" path="m1020,0c1583,0,2040,456,2040,1020c2040,1583,1583,2040,1020,2040c456,2040,0,1583,0,1020c0,830,53,643,153,482l673,805c554,996,613,1248,805,1366c996,1485,1248,1426,1366,1235c1485,1043,1426,792,1235,673c1170,633,1096,612,1020,612l1020,0xe"/>
              <v:shape id="_x0000_s1216" style="position:absolute;left:153;top:238;width:605;height:567;" fillcolor="#00B8F5" filled="true" stroked="false" coordsize="605,567" coordorigin="0,0" path="m0,243c57,151,128,69,211,0l604,468c571,496,542,529,520,566l0,243xe"/>
              <v:shape id="_x0000_s1218" style="position:absolute;left:364;top:0;width:655;height:708;" fillcolor="#DADADA" filled="true" stroked="false" coordsize="655,708" coordorigin="0,0" path="m0,238c183,84,415,0,655,0l655,612c559,612,466,645,393,707l0,238xe"/>
            </v:group>
            <v:shape id="_x0000_s1220" style="position:absolute;left:-20;top:-20;width:2081;height:2161;" filled="false" stroked="false" type="#_x0000_t202">
              <v:fill on="false"/>
              <v:stroke on="false"/>
              <v:path/>
              <v:imagedata o:title=""/>
              <o:lock v:ext="edit" aspectratio="false"/>
              <v:textbox inset="0mm,0mm,0mm,0mm">
                <w:txbxContent>
                  <w:p>
                    <w:pPr>
                      <w:ind w:left="370" w:right="1102" w:firstLine="253"/>
                      <w:spacing w:before="307" w:line="17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7F7F7F"/>
                        <w:spacing w:val="-6"/>
                      </w:rPr>
                      <w:t>11%</w:t>
                    </w:r>
                    <w:r>
                      <w:rPr>
                        <w:rFonts w:ascii="Microsoft YaHei" w:hAnsi="Microsoft YaHei" w:eastAsia="Microsoft YaHei" w:cs="Microsoft YaHei"/>
                        <w:sz w:val="18"/>
                        <w:szCs w:val="18"/>
                        <w:color w:val="7F7F7F"/>
                      </w:rPr>
                      <w:t xml:space="preserve"> </w:t>
                    </w:r>
                    <w:r>
                      <w:rPr>
                        <w:rFonts w:ascii="Microsoft YaHei" w:hAnsi="Microsoft YaHei" w:eastAsia="Microsoft YaHei" w:cs="Microsoft YaHei"/>
                        <w:sz w:val="18"/>
                        <w:szCs w:val="18"/>
                        <w:color w:val="FFFFFF"/>
                        <w:spacing w:val="-1"/>
                      </w:rPr>
                      <w:t>5%</w:t>
                    </w:r>
                  </w:p>
                  <w:p>
                    <w:pPr>
                      <w:ind w:left="765"/>
                      <w:spacing w:before="175" w:line="187" w:lineRule="auto"/>
                      <w:rPr>
                        <w:rFonts w:ascii="Trebuchet MS" w:hAnsi="Trebuchet MS" w:eastAsia="Trebuchet MS" w:cs="Trebuchet MS"/>
                        <w:sz w:val="36"/>
                        <w:szCs w:val="36"/>
                      </w:rPr>
                    </w:pPr>
                    <w:r>
                      <w:rPr>
                        <w:rFonts w:ascii="Trebuchet MS" w:hAnsi="Trebuchet MS" w:eastAsia="Trebuchet MS" w:cs="Trebuchet MS"/>
                        <w:sz w:val="36"/>
                        <w:szCs w:val="36"/>
                        <w:b/>
                        <w:bCs/>
                        <w:color w:val="00C0AE"/>
                        <w:spacing w:val="-46"/>
                        <w:w w:val="92"/>
                      </w:rPr>
                      <w:t>2031</w:t>
                    </w:r>
                  </w:p>
                  <w:p>
                    <w:pPr>
                      <w:pStyle w:val="BodyText"/>
                      <w:spacing w:line="274" w:lineRule="auto"/>
                      <w:rPr/>
                    </w:pPr>
                    <w:r/>
                  </w:p>
                  <w:p>
                    <w:pPr>
                      <w:ind w:left="1207"/>
                      <w:spacing w:before="77" w:line="172"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FFFFFF"/>
                        <w:spacing w:val="-2"/>
                      </w:rPr>
                      <w:t>84%</w:t>
                    </w:r>
                  </w:p>
                </w:txbxContent>
              </v:textbox>
            </v:shape>
          </v:group>
        </w:pict>
      </w:r>
      <w:r/>
    </w:p>
    <w:p>
      <w:pPr>
        <w:ind w:firstLine="2961"/>
        <w:spacing w:before="1" w:line="1950" w:lineRule="exact"/>
        <w:rPr/>
      </w:pPr>
      <w:r>
        <w:pict>
          <v:shape id="_x0000_s1222" style="position:absolute;margin-left:430.297pt;margin-top:31.8066pt;mso-position-vertical-relative:text;mso-position-horizontal-relative:text;width:70.95pt;height:34.35pt;z-index:253308928;" filled="false" stroked="false" type="#_x0000_t202">
            <v:fill on="false"/>
            <v:stroke on="false"/>
            <v:path/>
            <v:imagedata o:title=""/>
            <o:lock v:ext="edit" aspectratio="false"/>
            <v:textbox inset="0mm,0mm,0mm,0mm">
              <w:txbxContent>
                <w:p>
                  <w:pPr>
                    <w:spacing w:before="19" w:line="239" w:lineRule="auto"/>
                    <w:jc w:val="right"/>
                    <w:rPr>
                      <w:rFonts w:ascii="Trebuchet MS" w:hAnsi="Trebuchet MS" w:eastAsia="Trebuchet MS" w:cs="Trebuchet MS"/>
                      <w:sz w:val="56"/>
                      <w:szCs w:val="56"/>
                    </w:rPr>
                  </w:pPr>
                  <w:r>
                    <w:rPr>
                      <w:rFonts w:ascii="Trebuchet MS" w:hAnsi="Trebuchet MS" w:eastAsia="Trebuchet MS" w:cs="Trebuchet MS"/>
                      <w:sz w:val="56"/>
                      <w:szCs w:val="56"/>
                      <w:b/>
                      <w:bCs/>
                      <w:color w:val="00C0AE"/>
                      <w:spacing w:val="-30"/>
                      <w:w w:val="71"/>
                    </w:rPr>
                    <w:t>600GWh</w:t>
                  </w:r>
                </w:p>
              </w:txbxContent>
            </v:textbox>
          </v:shape>
        </w:pict>
      </w:r>
      <w:r>
        <w:pict>
          <v:shape id="_x0000_s1224" style="position:absolute;margin-left:49.5815pt;margin-top:77.4142pt;mso-position-vertical-relative:text;mso-position-horizontal-relative:text;width:29.25pt;height:19.3pt;z-index:253314048;" filled="false" stroked="false" type="#_x0000_t202">
            <v:fill on="false"/>
            <v:stroke on="false"/>
            <v:path/>
            <v:imagedata o:title=""/>
            <o:lock v:ext="edit" aspectratio="false"/>
            <v:textbox inset="0mm,0mm,0mm,0mm">
              <w:txbxContent>
                <w:p>
                  <w:pPr>
                    <w:ind w:left="20"/>
                    <w:spacing w:before="20" w:line="179" w:lineRule="auto"/>
                    <w:rPr>
                      <w:rFonts w:ascii="Microsoft YaHei" w:hAnsi="Microsoft YaHei" w:eastAsia="Microsoft YaHei" w:cs="Microsoft YaHei"/>
                      <w:sz w:val="27"/>
                      <w:szCs w:val="27"/>
                    </w:rPr>
                  </w:pPr>
                  <w:r>
                    <w:rPr>
                      <w:rFonts w:ascii="Microsoft YaHei" w:hAnsi="Microsoft YaHei" w:eastAsia="Microsoft YaHei" w:cs="Microsoft YaHei"/>
                      <w:sz w:val="27"/>
                      <w:szCs w:val="27"/>
                      <w:color w:val="00C0AE"/>
                      <w:spacing w:val="2"/>
                    </w:rPr>
                    <w:t>美国</w:t>
                  </w:r>
                </w:p>
              </w:txbxContent>
            </v:textbox>
          </v:shape>
        </w:pict>
      </w:r>
      <w:r>
        <w:drawing>
          <wp:anchor distT="0" distB="0" distL="0" distR="0" simplePos="0" relativeHeight="253301760" behindDoc="0" locked="0" layoutInCell="1" allowOverlap="1">
            <wp:simplePos x="0" y="0"/>
            <wp:positionH relativeFrom="column">
              <wp:posOffset>397103</wp:posOffset>
            </wp:positionH>
            <wp:positionV relativeFrom="paragraph">
              <wp:posOffset>43776</wp:posOffset>
            </wp:positionV>
            <wp:extent cx="813945" cy="793799"/>
            <wp:effectExtent l="0" t="0" r="0" b="0"/>
            <wp:wrapNone/>
            <wp:docPr id="624" name="IM 624"/>
            <wp:cNvGraphicFramePr/>
            <a:graphic>
              <a:graphicData uri="http://schemas.openxmlformats.org/drawingml/2006/picture">
                <pic:pic>
                  <pic:nvPicPr>
                    <pic:cNvPr id="624" name="IM 624"/>
                    <pic:cNvPicPr/>
                  </pic:nvPicPr>
                  <pic:blipFill>
                    <a:blip r:embed="rId300"/>
                    <a:stretch>
                      <a:fillRect/>
                    </a:stretch>
                  </pic:blipFill>
                  <pic:spPr>
                    <a:xfrm rot="0">
                      <a:off x="0" y="0"/>
                      <a:ext cx="813945" cy="793799"/>
                    </a:xfrm>
                    <a:prstGeom prst="rect">
                      <a:avLst/>
                    </a:prstGeom>
                  </pic:spPr>
                </pic:pic>
              </a:graphicData>
            </a:graphic>
          </wp:anchor>
        </w:drawing>
      </w:r>
      <w:r>
        <w:drawing>
          <wp:anchor distT="0" distB="0" distL="0" distR="0" simplePos="0" relativeHeight="253304832" behindDoc="0" locked="0" layoutInCell="1" allowOverlap="1">
            <wp:simplePos x="0" y="0"/>
            <wp:positionH relativeFrom="column">
              <wp:posOffset>3253114</wp:posOffset>
            </wp:positionH>
            <wp:positionV relativeFrom="paragraph">
              <wp:posOffset>304167</wp:posOffset>
            </wp:positionV>
            <wp:extent cx="731613" cy="597159"/>
            <wp:effectExtent l="0" t="0" r="0" b="0"/>
            <wp:wrapNone/>
            <wp:docPr id="626" name="IM 626"/>
            <wp:cNvGraphicFramePr/>
            <a:graphic>
              <a:graphicData uri="http://schemas.openxmlformats.org/drawingml/2006/picture">
                <pic:pic>
                  <pic:nvPicPr>
                    <pic:cNvPr id="626" name="IM 626"/>
                    <pic:cNvPicPr/>
                  </pic:nvPicPr>
                  <pic:blipFill>
                    <a:blip r:embed="rId301"/>
                    <a:stretch>
                      <a:fillRect/>
                    </a:stretch>
                  </pic:blipFill>
                  <pic:spPr>
                    <a:xfrm rot="0">
                      <a:off x="0" y="0"/>
                      <a:ext cx="731613" cy="597159"/>
                    </a:xfrm>
                    <a:prstGeom prst="rect">
                      <a:avLst/>
                    </a:prstGeom>
                  </pic:spPr>
                </pic:pic>
              </a:graphicData>
            </a:graphic>
          </wp:anchor>
        </w:drawing>
      </w:r>
      <w:r>
        <w:rPr>
          <w:position w:val="-39"/>
        </w:rPr>
        <w:pict>
          <v:group id="_x0000_s1226" style="mso-position-vertical-relative:line;mso-position-horizontal-relative:char;width:97.55pt;height:97.55pt;" filled="false" stroked="false" coordsize="1951,1951" coordorigin="0,0">
            <v:group id="_x0000_s1228" style="position:absolute;left:0;top:0;width:1951;height:1951;" filled="false" stroked="false" coordsize="1951,1951" coordorigin="0,0">
              <v:shape id="_x0000_s1230" style="position:absolute;left:0;top:0;width:1951;height:1951;" fillcolor="#00C0AE" filled="true" stroked="false" coordsize="1951,1951" coordorigin="0,0" path="m975,0c1514,0,1950,436,1950,975c1950,1514,1514,1950,975,1950c436,1950,0,1514,0,975c0,893,10,812,30,732l597,878c543,1087,669,1299,878,1353c1087,1406,1299,1281,1353,1072c1406,863,1281,651,1072,597c1040,589,1008,585,975,585l975,0xe"/>
              <v:shape id="_x0000_s1232" style="position:absolute;left:30;top:264;width:678;height:615;" fillcolor="#00B8F5" filled="true" stroked="false" coordsize="678,615" coordorigin="0,0" path="m0,468c46,289,142,126,277,0l677,426c623,477,585,542,566,614l0,468xe"/>
              <v:shape id="_x0000_s1234" style="position:absolute;left:307;top:0;width:668;height:690;" fillcolor="#DADADA" filled="true" stroked="false" coordsize="668,690" coordorigin="0,0" path="m0,264c180,94,419,0,667,0l667,585c568,585,472,623,400,690l0,264xe"/>
            </v:group>
            <v:shape id="_x0000_s1236" style="position:absolute;left:-20;top:-20;width:1991;height:1991;" filled="false" stroked="false" type="#_x0000_t202">
              <v:fill on="false"/>
              <v:stroke on="false"/>
              <v:path/>
              <v:imagedata o:title=""/>
              <o:lock v:ext="edit" aspectratio="false"/>
              <v:textbox inset="0mm,0mm,0mm,0mm">
                <w:txbxContent>
                  <w:p>
                    <w:pPr>
                      <w:ind w:left="572"/>
                      <w:spacing w:before="298" w:line="172"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7F7F7F"/>
                        <w:spacing w:val="-4"/>
                      </w:rPr>
                      <w:t>12%</w:t>
                    </w:r>
                  </w:p>
                  <w:p>
                    <w:pPr>
                      <w:ind w:left="280"/>
                      <w:spacing w:before="65" w:line="172"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FFFFFF"/>
                        <w:spacing w:val="-1"/>
                      </w:rPr>
                      <w:t>9%</w:t>
                    </w:r>
                  </w:p>
                  <w:p>
                    <w:pPr>
                      <w:ind w:left="740"/>
                      <w:spacing w:before="71" w:line="187" w:lineRule="auto"/>
                      <w:rPr>
                        <w:rFonts w:ascii="Trebuchet MS" w:hAnsi="Trebuchet MS" w:eastAsia="Trebuchet MS" w:cs="Trebuchet MS"/>
                        <w:sz w:val="36"/>
                        <w:szCs w:val="36"/>
                      </w:rPr>
                    </w:pPr>
                    <w:r>
                      <w:rPr>
                        <w:rFonts w:ascii="Trebuchet MS" w:hAnsi="Trebuchet MS" w:eastAsia="Trebuchet MS" w:cs="Trebuchet MS"/>
                        <w:sz w:val="36"/>
                        <w:szCs w:val="36"/>
                        <w:b/>
                        <w:bCs/>
                        <w:color w:val="00C0AE"/>
                        <w:spacing w:val="-38"/>
                        <w:w w:val="85"/>
                      </w:rPr>
                      <w:t>2021</w:t>
                    </w:r>
                  </w:p>
                  <w:p>
                    <w:pPr>
                      <w:ind w:left="1234"/>
                      <w:spacing w:before="268" w:line="172"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FFFFFF"/>
                        <w:spacing w:val="-2"/>
                      </w:rPr>
                      <w:t>79%</w:t>
                    </w:r>
                  </w:p>
                </w:txbxContent>
              </v:textbox>
            </v:shape>
          </v:group>
        </w:pict>
      </w:r>
    </w:p>
    <w:p>
      <w:pPr>
        <w:pStyle w:val="BodyText"/>
        <w:spacing w:line="334" w:lineRule="auto"/>
        <w:rPr/>
      </w:pPr>
      <w:r>
        <w:pict>
          <v:shape id="_x0000_s1238" style="position:absolute;margin-left:18.3281pt;margin-top:14.9642pt;mso-position-vertical-relative:text;mso-position-horizontal-relative:text;width:480.9pt;height:0.5pt;z-index:253317120;" filled="false" strokecolor="#00C0AE" strokeweight="0.50pt" coordsize="9617,10" coordorigin="0,0" path="m0,5l9617,5e">
            <v:stroke joinstyle="miter"/>
          </v:shape>
        </w:pict>
      </w:r>
      <w:r/>
    </w:p>
    <w:p>
      <w:pPr>
        <w:pStyle w:val="BodyText"/>
        <w:spacing w:line="334" w:lineRule="auto"/>
        <w:rPr/>
      </w:pPr>
      <w:r>
        <w:pict>
          <v:group id="_x0000_s1240" style="position:absolute;margin-left:316.835pt;margin-top:16.8097pt;mso-position-vertical-relative:text;mso-position-horizontal-relative:text;width:102.45pt;height:102.05pt;z-index:253298688;" filled="false" stroked="false" coordsize="2048,2041" coordorigin="0,0">
            <v:group id="_x0000_s1242" style="position:absolute;left:0;top:0;width:2048;height:2041;" filled="false" stroked="false" coordsize="2048,2041" coordorigin="0,0">
              <v:shape id="_x0000_s1244" style="position:absolute;left:377;top:0;width:1671;height:2041;" fillcolor="#00C0AE" filled="true" stroked="false" coordsize="1671,2041" coordorigin="0,0" path="m650,0c1213,0,1670,456,1670,1020c1670,1583,1213,2040,650,2040c412,2040,182,1957,0,1806l390,1334c563,1478,821,1453,964,1280c1108,1106,1084,849,910,705c837,645,745,612,650,612l650,0xe"/>
              <v:shape id="_x0000_s1246" style="position:absolute;left:9;top:1045;width:759;height:760;" fillcolor="#00B8F5" filled="true" stroked="false" coordsize="759,760" coordorigin="0,0" path="m367,760c150,580,17,319,0,38l610,0c617,112,671,216,758,288l367,760xe"/>
              <v:shape id="_x0000_s1248" style="position:absolute;left:0;top:0;width:1029;height:1085;" fillcolor="#DADADA" filled="true" stroked="false" coordsize="1029,1085" coordorigin="0,0" path="m10,1084c-25,521,401,37,964,2c985,0,1006,0,1028,0l1028,612c802,612,620,794,620,1020c620,1028,620,1037,620,1045l10,1084xe"/>
            </v:group>
            <v:shape id="_x0000_s1250" style="position:absolute;left:306;top:449;width:1595;height:911;" filled="false" stroked="false" type="#_x0000_t202">
              <v:fill on="false"/>
              <v:stroke on="false"/>
              <v:path/>
              <v:imagedata o:title=""/>
              <o:lock v:ext="edit" aspectratio="false"/>
              <v:textbox inset="0mm,0mm,0mm,0mm">
                <w:txbxContent>
                  <w:p>
                    <w:pPr>
                      <w:ind w:left="20"/>
                      <w:spacing w:before="19" w:line="172"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7F7F7F"/>
                        <w:spacing w:val="-2"/>
                      </w:rPr>
                      <w:t>26%</w:t>
                    </w:r>
                  </w:p>
                  <w:p>
                    <w:pPr>
                      <w:ind w:left="476"/>
                      <w:spacing w:before="222" w:line="165" w:lineRule="auto"/>
                      <w:rPr>
                        <w:rFonts w:ascii="Trebuchet MS" w:hAnsi="Trebuchet MS" w:eastAsia="Trebuchet MS" w:cs="Trebuchet MS"/>
                        <w:sz w:val="36"/>
                        <w:szCs w:val="36"/>
                      </w:rPr>
                    </w:pPr>
                    <w:r>
                      <w:rPr>
                        <w:rFonts w:ascii="Trebuchet MS" w:hAnsi="Trebuchet MS" w:eastAsia="Trebuchet MS" w:cs="Trebuchet MS"/>
                        <w:sz w:val="36"/>
                        <w:szCs w:val="36"/>
                        <w:b/>
                        <w:bCs/>
                        <w:color w:val="00C0AE"/>
                        <w:spacing w:val="-46"/>
                        <w:w w:val="92"/>
                      </w:rPr>
                      <w:t>2031</w:t>
                    </w:r>
                  </w:p>
                  <w:p>
                    <w:pPr>
                      <w:ind w:right="14"/>
                      <w:spacing w:line="140" w:lineRule="exact"/>
                      <w:jc w:val="right"/>
                      <w:rPr>
                        <w:rFonts w:ascii="Microsoft YaHei" w:hAnsi="Microsoft YaHei" w:eastAsia="Microsoft YaHei" w:cs="Microsoft YaHei"/>
                        <w:sz w:val="18"/>
                        <w:szCs w:val="18"/>
                      </w:rPr>
                    </w:pPr>
                    <w:r>
                      <w:rPr>
                        <w:rFonts w:ascii="Microsoft YaHei" w:hAnsi="Microsoft YaHei" w:eastAsia="Microsoft YaHei" w:cs="Microsoft YaHei"/>
                        <w:sz w:val="18"/>
                        <w:szCs w:val="18"/>
                        <w:color w:val="FFFFFF"/>
                        <w:spacing w:val="-3"/>
                        <w:position w:val="-3"/>
                      </w:rPr>
                      <w:t>61%</w:t>
                    </w:r>
                  </w:p>
                </w:txbxContent>
              </v:textbox>
            </v:shape>
            <v:shape id="_x0000_s1252" style="position:absolute;left:199;top:1262;width:394;height:261;" filled="false" stroked="false" type="#_x0000_t202">
              <v:fill on="false"/>
              <v:stroke on="false"/>
              <v:path/>
              <v:imagedata o:title=""/>
              <o:lock v:ext="edit" aspectratio="false"/>
              <v:textbox inset="0mm,0mm,0mm,0mm">
                <w:txbxContent>
                  <w:p>
                    <w:pPr>
                      <w:ind w:left="20"/>
                      <w:spacing w:before="19" w:line="172"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FFFFFF"/>
                        <w:spacing w:val="-4"/>
                      </w:rPr>
                      <w:t>13%</w:t>
                    </w:r>
                  </w:p>
                </w:txbxContent>
              </v:textbox>
            </v:shape>
          </v:group>
        </w:pict>
      </w:r>
      <w:r/>
    </w:p>
    <w:p>
      <w:pPr>
        <w:pStyle w:val="BodyText"/>
        <w:ind w:firstLine="2866"/>
        <w:spacing w:line="2051" w:lineRule="exact"/>
        <w:rPr/>
      </w:pPr>
      <w:r>
        <w:pict>
          <v:shape id="_x0000_s1254" style="position:absolute;margin-left:430.157pt;margin-top:44.4524pt;mso-position-vertical-relative:text;mso-position-horizontal-relative:text;width:67.05pt;height:34.3pt;z-index:253310976;" filled="false" stroked="false" type="#_x0000_t202">
            <v:fill on="false"/>
            <v:stroke on="false"/>
            <v:path/>
            <v:imagedata o:title=""/>
            <o:lock v:ext="edit" aspectratio="false"/>
            <v:textbox inset="0mm,0mm,0mm,0mm">
              <w:txbxContent>
                <w:p>
                  <w:pPr>
                    <w:spacing w:before="20" w:line="238" w:lineRule="auto"/>
                    <w:jc w:val="right"/>
                    <w:rPr>
                      <w:rFonts w:ascii="Trebuchet MS" w:hAnsi="Trebuchet MS" w:eastAsia="Trebuchet MS" w:cs="Trebuchet MS"/>
                      <w:sz w:val="56"/>
                      <w:szCs w:val="56"/>
                    </w:rPr>
                  </w:pPr>
                  <w:r>
                    <w:rPr>
                      <w:rFonts w:ascii="Trebuchet MS" w:hAnsi="Trebuchet MS" w:eastAsia="Trebuchet MS" w:cs="Trebuchet MS"/>
                      <w:sz w:val="56"/>
                      <w:szCs w:val="56"/>
                      <w:b/>
                      <w:bCs/>
                      <w:color w:val="00C0AE"/>
                      <w:spacing w:val="-52"/>
                      <w:w w:val="72"/>
                    </w:rPr>
                    <w:t>15</w:t>
                  </w:r>
                  <w:r>
                    <w:rPr>
                      <w:rFonts w:ascii="Trebuchet MS" w:hAnsi="Trebuchet MS" w:eastAsia="Trebuchet MS" w:cs="Trebuchet MS"/>
                      <w:sz w:val="56"/>
                      <w:szCs w:val="56"/>
                      <w:b/>
                      <w:bCs/>
                      <w:color w:val="00C0AE"/>
                      <w:spacing w:val="-51"/>
                      <w:w w:val="72"/>
                    </w:rPr>
                    <w:t>9GW</w:t>
                  </w:r>
                  <w:r>
                    <w:rPr>
                      <w:rFonts w:ascii="Trebuchet MS" w:hAnsi="Trebuchet MS" w:eastAsia="Trebuchet MS" w:cs="Trebuchet MS"/>
                      <w:sz w:val="56"/>
                      <w:szCs w:val="56"/>
                      <w:b/>
                      <w:bCs/>
                      <w:color w:val="00C0AE"/>
                      <w:spacing w:val="-37"/>
                      <w:w w:val="72"/>
                    </w:rPr>
                    <w:t>h</w:t>
                  </w:r>
                </w:p>
              </w:txbxContent>
            </v:textbox>
          </v:shape>
        </w:pict>
      </w:r>
      <w:r>
        <w:pict>
          <v:shape id="_x0000_s1256" style="position:absolute;margin-left:50.0548pt;margin-top:82.9984pt;mso-position-vertical-relative:text;mso-position-horizontal-relative:text;width:28.8pt;height:19.45pt;z-index:253315072;" filled="false" stroked="false" type="#_x0000_t202">
            <v:fill on="false"/>
            <v:stroke on="false"/>
            <v:path/>
            <v:imagedata o:title=""/>
            <o:lock v:ext="edit" aspectratio="false"/>
            <v:textbox inset="0mm,0mm,0mm,0mm">
              <w:txbxContent>
                <w:p>
                  <w:pPr>
                    <w:ind w:left="20"/>
                    <w:spacing w:before="20" w:line="180" w:lineRule="auto"/>
                    <w:rPr>
                      <w:rFonts w:ascii="Microsoft YaHei" w:hAnsi="Microsoft YaHei" w:eastAsia="Microsoft YaHei" w:cs="Microsoft YaHei"/>
                      <w:sz w:val="27"/>
                      <w:szCs w:val="27"/>
                    </w:rPr>
                  </w:pPr>
                  <w:r>
                    <w:rPr>
                      <w:rFonts w:ascii="Microsoft YaHei" w:hAnsi="Microsoft YaHei" w:eastAsia="Microsoft YaHei" w:cs="Microsoft YaHei"/>
                      <w:sz w:val="27"/>
                      <w:szCs w:val="27"/>
                      <w:color w:val="00C0AE"/>
                      <w:spacing w:val="-2"/>
                    </w:rPr>
                    <w:t>欧洲</w:t>
                  </w:r>
                </w:p>
              </w:txbxContent>
            </v:textbox>
          </v:shape>
        </w:pict>
      </w:r>
      <w:r>
        <w:drawing>
          <wp:anchor distT="0" distB="0" distL="0" distR="0" simplePos="0" relativeHeight="253307904" behindDoc="0" locked="0" layoutInCell="1" allowOverlap="1">
            <wp:simplePos x="0" y="0"/>
            <wp:positionH relativeFrom="column">
              <wp:posOffset>485892</wp:posOffset>
            </wp:positionH>
            <wp:positionV relativeFrom="paragraph">
              <wp:posOffset>380447</wp:posOffset>
            </wp:positionV>
            <wp:extent cx="742710" cy="527593"/>
            <wp:effectExtent l="0" t="0" r="0" b="0"/>
            <wp:wrapNone/>
            <wp:docPr id="628" name="IM 628"/>
            <wp:cNvGraphicFramePr/>
            <a:graphic>
              <a:graphicData uri="http://schemas.openxmlformats.org/drawingml/2006/picture">
                <pic:pic>
                  <pic:nvPicPr>
                    <pic:cNvPr id="628" name="IM 628"/>
                    <pic:cNvPicPr/>
                  </pic:nvPicPr>
                  <pic:blipFill>
                    <a:blip r:embed="rId302"/>
                    <a:stretch>
                      <a:fillRect/>
                    </a:stretch>
                  </pic:blipFill>
                  <pic:spPr>
                    <a:xfrm rot="0">
                      <a:off x="0" y="0"/>
                      <a:ext cx="742710" cy="527593"/>
                    </a:xfrm>
                    <a:prstGeom prst="rect">
                      <a:avLst/>
                    </a:prstGeom>
                  </pic:spPr>
                </pic:pic>
              </a:graphicData>
            </a:graphic>
          </wp:anchor>
        </w:drawing>
      </w:r>
      <w:r>
        <w:drawing>
          <wp:anchor distT="0" distB="0" distL="0" distR="0" simplePos="0" relativeHeight="253306880" behindDoc="0" locked="0" layoutInCell="1" allowOverlap="1">
            <wp:simplePos x="0" y="0"/>
            <wp:positionH relativeFrom="column">
              <wp:posOffset>440303</wp:posOffset>
            </wp:positionH>
            <wp:positionV relativeFrom="paragraph">
              <wp:posOffset>887836</wp:posOffset>
            </wp:positionV>
            <wp:extent cx="843896" cy="20140"/>
            <wp:effectExtent l="0" t="0" r="0" b="0"/>
            <wp:wrapNone/>
            <wp:docPr id="630" name="IM 630"/>
            <wp:cNvGraphicFramePr/>
            <a:graphic>
              <a:graphicData uri="http://schemas.openxmlformats.org/drawingml/2006/picture">
                <pic:pic>
                  <pic:nvPicPr>
                    <pic:cNvPr id="630" name="IM 630"/>
                    <pic:cNvPicPr/>
                  </pic:nvPicPr>
                  <pic:blipFill>
                    <a:blip r:embed="rId303"/>
                    <a:stretch>
                      <a:fillRect/>
                    </a:stretch>
                  </pic:blipFill>
                  <pic:spPr>
                    <a:xfrm rot="0">
                      <a:off x="0" y="0"/>
                      <a:ext cx="843896" cy="20140"/>
                    </a:xfrm>
                    <a:prstGeom prst="rect">
                      <a:avLst/>
                    </a:prstGeom>
                  </pic:spPr>
                </pic:pic>
              </a:graphicData>
            </a:graphic>
          </wp:anchor>
        </w:drawing>
      </w:r>
      <w:r>
        <w:drawing>
          <wp:anchor distT="0" distB="0" distL="0" distR="0" simplePos="0" relativeHeight="253305856" behindDoc="0" locked="0" layoutInCell="1" allowOverlap="1">
            <wp:simplePos x="0" y="0"/>
            <wp:positionH relativeFrom="column">
              <wp:posOffset>3253114</wp:posOffset>
            </wp:positionH>
            <wp:positionV relativeFrom="paragraph">
              <wp:posOffset>366754</wp:posOffset>
            </wp:positionV>
            <wp:extent cx="731613" cy="597159"/>
            <wp:effectExtent l="0" t="0" r="0" b="0"/>
            <wp:wrapNone/>
            <wp:docPr id="632" name="IM 632"/>
            <wp:cNvGraphicFramePr/>
            <a:graphic>
              <a:graphicData uri="http://schemas.openxmlformats.org/drawingml/2006/picture">
                <pic:pic>
                  <pic:nvPicPr>
                    <pic:cNvPr id="632" name="IM 632"/>
                    <pic:cNvPicPr/>
                  </pic:nvPicPr>
                  <pic:blipFill>
                    <a:blip r:embed="rId304"/>
                    <a:stretch>
                      <a:fillRect/>
                    </a:stretch>
                  </pic:blipFill>
                  <pic:spPr>
                    <a:xfrm rot="0">
                      <a:off x="0" y="0"/>
                      <a:ext cx="731613" cy="597159"/>
                    </a:xfrm>
                    <a:prstGeom prst="rect">
                      <a:avLst/>
                    </a:prstGeom>
                  </pic:spPr>
                </pic:pic>
              </a:graphicData>
            </a:graphic>
          </wp:anchor>
        </w:drawing>
      </w:r>
      <w:r>
        <w:rPr>
          <w:position w:val="-41"/>
        </w:rPr>
        <w:pict>
          <v:group id="_x0000_s1258" style="mso-position-vertical-relative:line;mso-position-horizontal-relative:char;width:102.45pt;height:102.55pt;" filled="false" stroked="false" coordsize="2048,2051" coordorigin="0,0">
            <v:group id="_x0000_s1260" style="position:absolute;left:0;top:0;width:2048;height:2051;" filled="false" stroked="false" coordsize="2048,2051" coordorigin="0,0">
              <v:shape id="_x0000_s1262" style="position:absolute;left:1028;top:0;width:1020;height:1978;" fillcolor="#00C0AE" filled="true" stroked="false" coordsize="1020,1978" coordorigin="0,0" path="m,c563,0,1020,456,1020,1020c1020,1449,751,1832,348,1978l139,1403c351,1326,460,1092,383,880c324,719,171,612,0,612l0,0xe"/>
              <v:shape id="_x0000_s1264" style="position:absolute;left:803;top:1403;width:574;height:646;" fillcolor="#00B8F5" filled="true" stroked="false" coordsize="574,646" coordorigin="0,0" path="m573,575c389,642,190,654,0,611l134,14c211,31,290,26,364,0l573,575xe"/>
              <v:shape id="_x0000_s1266" style="position:absolute;left:0;top:0;width:1029;height:2016;" fillcolor="#DADADA" filled="true" stroked="false" coordsize="1029,2016" coordorigin="0,0" path="m803,2015c254,1891,-90,1344,33,795c138,330,551,0,1028,0l1028,612c803,612,620,794,620,1020c620,1210,752,1376,938,1418l803,2015xe"/>
            </v:group>
            <v:shape id="_x0000_s1268" style="position:absolute;left:-20;top:-20;width:2088;height:2091;" filled="false" stroked="false" type="#_x0000_t202">
              <v:fill on="false"/>
              <v:stroke on="false"/>
              <v:path/>
              <v:imagedata o:title=""/>
              <o:lock v:ext="edit" aspectratio="false"/>
              <v:textbox inset="0mm,0mm,0mm,0mm">
                <w:txbxContent>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ind w:left="154"/>
                      <w:spacing w:before="104" w:line="193"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7F7F7F"/>
                        <w:spacing w:val="-2"/>
                        <w:position w:val="8"/>
                      </w:rPr>
                      <w:t>47%</w:t>
                    </w:r>
                    <w:r>
                      <w:rPr>
                        <w:rFonts w:ascii="Microsoft YaHei" w:hAnsi="Microsoft YaHei" w:eastAsia="Microsoft YaHei" w:cs="Microsoft YaHei"/>
                        <w:sz w:val="18"/>
                        <w:szCs w:val="18"/>
                        <w:color w:val="7F7F7F"/>
                        <w:spacing w:val="2"/>
                        <w:position w:val="8"/>
                      </w:rPr>
                      <w:t xml:space="preserve">     </w:t>
                    </w:r>
                    <w:r>
                      <w:rPr>
                        <w:rFonts w:ascii="Trebuchet MS" w:hAnsi="Trebuchet MS" w:eastAsia="Trebuchet MS" w:cs="Trebuchet MS"/>
                        <w:sz w:val="36"/>
                        <w:szCs w:val="36"/>
                        <w:b/>
                        <w:bCs/>
                        <w:color w:val="00C0AE"/>
                        <w:spacing w:val="-31"/>
                        <w:w w:val="70"/>
                        <w:position w:val="-5"/>
                      </w:rPr>
                      <w:t>2021</w:t>
                    </w:r>
                    <w:r>
                      <w:rPr>
                        <w:rFonts w:ascii="Trebuchet MS" w:hAnsi="Trebuchet MS" w:eastAsia="Trebuchet MS" w:cs="Trebuchet MS"/>
                        <w:sz w:val="36"/>
                        <w:szCs w:val="36"/>
                        <w:b/>
                        <w:bCs/>
                        <w:color w:val="00C0AE"/>
                        <w:spacing w:val="40"/>
                        <w:position w:val="-5"/>
                      </w:rPr>
                      <w:t xml:space="preserve">  </w:t>
                    </w:r>
                    <w:r>
                      <w:rPr>
                        <w:rFonts w:ascii="Microsoft YaHei" w:hAnsi="Microsoft YaHei" w:eastAsia="Microsoft YaHei" w:cs="Microsoft YaHei"/>
                        <w:sz w:val="18"/>
                        <w:szCs w:val="18"/>
                        <w:color w:val="FFFFFF"/>
                        <w:spacing w:val="1"/>
                        <w:position w:val="13"/>
                      </w:rPr>
                      <w:t>44%</w:t>
                    </w:r>
                  </w:p>
                  <w:p>
                    <w:pPr>
                      <w:spacing w:line="352" w:lineRule="auto"/>
                      <w:rPr>
                        <w:rFonts w:ascii="Arial"/>
                        <w:sz w:val="21"/>
                      </w:rPr>
                    </w:pPr>
                    <w:r/>
                  </w:p>
                  <w:p>
                    <w:pPr>
                      <w:ind w:left="966"/>
                      <w:spacing w:before="77" w:line="172"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FFFFFF"/>
                        <w:spacing w:val="-1"/>
                      </w:rPr>
                      <w:t>9%</w:t>
                    </w:r>
                  </w:p>
                </w:txbxContent>
              </v:textbox>
            </v:shape>
          </v:group>
        </w:pict>
      </w:r>
    </w:p>
    <w:p>
      <w:pPr>
        <w:pStyle w:val="BodyText"/>
        <w:spacing w:line="474" w:lineRule="auto"/>
        <w:rPr/>
      </w:pPr>
      <w:r>
        <w:pict>
          <v:shape id="_x0000_s1270" style="position:absolute;margin-left:18.3281pt;margin-top:17.0845pt;mso-position-vertical-relative:text;mso-position-horizontal-relative:text;width:480.9pt;height:0.5pt;z-index:253319168;" filled="false" strokecolor="#00C0AE" strokeweight="0.50pt" coordsize="9617,10" coordorigin="0,0" path="m0,5l9617,5e">
            <v:stroke joinstyle="miter"/>
          </v:shape>
        </w:pict>
      </w:r>
      <w:r/>
    </w:p>
    <w:p>
      <w:pPr>
        <w:ind w:left="3279"/>
        <w:spacing w:before="90" w:line="242" w:lineRule="auto"/>
        <w:rPr>
          <w:rFonts w:ascii="Microsoft YaHei" w:hAnsi="Microsoft YaHei" w:eastAsia="Microsoft YaHei" w:cs="Microsoft YaHei"/>
          <w:sz w:val="21"/>
          <w:szCs w:val="21"/>
        </w:rPr>
      </w:pPr>
      <w:r>
        <w:pict>
          <v:shape id="_x0000_s1272" style="position:absolute;margin-left:259.958pt;margin-top:3.51843pt;mso-position-vertical-relative:text;mso-position-horizontal-relative:text;width:67.7pt;height:19.65pt;z-index:253312000;" filled="false" stroked="false" type="#_x0000_t202">
            <v:fill on="false"/>
            <v:stroke on="false"/>
            <v:path/>
            <v:imagedata o:title=""/>
            <o:lock v:ext="edit" aspectratio="false"/>
            <v:textbox inset="0mm,0mm,0mm,0mm">
              <w:txbxContent>
                <w:p>
                  <w:pPr>
                    <w:ind w:left="20"/>
                    <w:spacing w:before="20" w:line="22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drawing>
                      <wp:inline distT="0" distB="0" distL="0" distR="0">
                        <wp:extent cx="323088" cy="173735"/>
                        <wp:effectExtent l="0" t="0" r="0" b="0"/>
                        <wp:docPr id="634" name="IM 634"/>
                        <wp:cNvGraphicFramePr/>
                        <a:graphic>
                          <a:graphicData uri="http://schemas.openxmlformats.org/drawingml/2006/picture">
                            <pic:pic>
                              <pic:nvPicPr>
                                <pic:cNvPr id="634" name="IM 634"/>
                                <pic:cNvPicPr/>
                              </pic:nvPicPr>
                              <pic:blipFill>
                                <a:blip r:embed="rId305"/>
                                <a:stretch>
                                  <a:fillRect/>
                                </a:stretch>
                              </pic:blipFill>
                              <pic:spPr>
                                <a:xfrm rot="0">
                                  <a:off x="0" y="0"/>
                                  <a:ext cx="323088" cy="173735"/>
                                </a:xfrm>
                                <a:prstGeom prst="rect">
                                  <a:avLst/>
                                </a:prstGeom>
                              </pic:spPr>
                            </pic:pic>
                          </a:graphicData>
                        </a:graphic>
                      </wp:inline>
                    </w:drawing>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工商业</w:t>
                  </w:r>
                </w:p>
              </w:txbxContent>
            </v:textbox>
          </v:shape>
        </w:pict>
      </w:r>
      <w:r>
        <w:pict>
          <v:shape id="_x0000_s1274" style="position:absolute;margin-left:350.678pt;margin-top:3.51843pt;mso-position-vertical-relative:text;mso-position-horizontal-relative:text;width:59.4pt;height:19.65pt;z-index:253313024;" filled="false" stroked="false" type="#_x0000_t202">
            <v:fill on="false"/>
            <v:stroke on="false"/>
            <v:path/>
            <v:imagedata o:title=""/>
            <o:lock v:ext="edit" aspectratio="false"/>
            <v:textbox inset="0mm,0mm,0mm,0mm">
              <w:txbxContent>
                <w:p>
                  <w:pPr>
                    <w:ind w:left="20"/>
                    <w:spacing w:before="20" w:line="22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drawing>
                      <wp:inline distT="0" distB="0" distL="0" distR="0">
                        <wp:extent cx="326135" cy="173735"/>
                        <wp:effectExtent l="0" t="0" r="0" b="0"/>
                        <wp:docPr id="636" name="IM 636"/>
                        <wp:cNvGraphicFramePr/>
                        <a:graphic>
                          <a:graphicData uri="http://schemas.openxmlformats.org/drawingml/2006/picture">
                            <pic:pic>
                              <pic:nvPicPr>
                                <pic:cNvPr id="636" name="IM 636"/>
                                <pic:cNvPicPr/>
                              </pic:nvPicPr>
                              <pic:blipFill>
                                <a:blip r:embed="rId306"/>
                                <a:stretch>
                                  <a:fillRect/>
                                </a:stretch>
                              </pic:blipFill>
                              <pic:spPr>
                                <a:xfrm rot="0">
                                  <a:off x="0" y="0"/>
                                  <a:ext cx="326135" cy="173735"/>
                                </a:xfrm>
                                <a:prstGeom prst="rect">
                                  <a:avLst/>
                                </a:prstGeom>
                              </pic:spPr>
                            </pic:pic>
                          </a:graphicData>
                        </a:graphic>
                      </wp:inline>
                    </w:drawing>
                  </w:r>
                  <w:r>
                    <w:rPr>
                      <w:rFonts w:ascii="Microsoft YaHei" w:hAnsi="Microsoft YaHei" w:eastAsia="Microsoft YaHei" w:cs="Microsoft YaHei"/>
                      <w:sz w:val="21"/>
                      <w:szCs w:val="21"/>
                      <w:spacing w:val="12"/>
                    </w:rPr>
                    <w:t xml:space="preserve">   </w:t>
                  </w:r>
                  <w:r>
                    <w:rPr>
                      <w:rFonts w:ascii="Microsoft YaHei" w:hAnsi="Microsoft YaHei" w:eastAsia="Microsoft YaHei" w:cs="Microsoft YaHei"/>
                      <w:sz w:val="21"/>
                      <w:szCs w:val="21"/>
                      <w:spacing w:val="-3"/>
                    </w:rPr>
                    <w:t>家庭</w:t>
                  </w:r>
                </w:p>
              </w:txbxContent>
            </v:textbox>
          </v:shape>
        </w:pict>
      </w:r>
      <w:r>
        <w:rPr>
          <w:rFonts w:ascii="Microsoft YaHei" w:hAnsi="Microsoft YaHei" w:eastAsia="Microsoft YaHei" w:cs="Microsoft YaHei"/>
          <w:sz w:val="21"/>
          <w:szCs w:val="21"/>
        </w:rPr>
        <w:drawing>
          <wp:inline distT="0" distB="0" distL="0" distR="0">
            <wp:extent cx="326135" cy="173735"/>
            <wp:effectExtent l="0" t="0" r="0" b="0"/>
            <wp:docPr id="638" name="IM 638"/>
            <wp:cNvGraphicFramePr/>
            <a:graphic>
              <a:graphicData uri="http://schemas.openxmlformats.org/drawingml/2006/picture">
                <pic:pic>
                  <pic:nvPicPr>
                    <pic:cNvPr id="638" name="IM 638"/>
                    <pic:cNvPicPr/>
                  </pic:nvPicPr>
                  <pic:blipFill>
                    <a:blip r:embed="rId307"/>
                    <a:stretch>
                      <a:fillRect/>
                    </a:stretch>
                  </pic:blipFill>
                  <pic:spPr>
                    <a:xfrm rot="0">
                      <a:off x="0" y="0"/>
                      <a:ext cx="326135" cy="173735"/>
                    </a:xfrm>
                    <a:prstGeom prst="rect">
                      <a:avLst/>
                    </a:prstGeom>
                  </pic:spPr>
                </pic:pic>
              </a:graphicData>
            </a:graphic>
          </wp:inline>
        </w:drawing>
      </w:r>
      <w:r>
        <w:rPr>
          <w:rFonts w:ascii="Microsoft YaHei" w:hAnsi="Microsoft YaHei" w:eastAsia="Microsoft YaHei" w:cs="Microsoft YaHei"/>
          <w:sz w:val="21"/>
          <w:szCs w:val="21"/>
          <w:spacing w:val="6"/>
        </w:rPr>
        <w:t xml:space="preserve">   </w:t>
      </w:r>
      <w:r>
        <w:rPr>
          <w:rFonts w:ascii="Microsoft YaHei" w:hAnsi="Microsoft YaHei" w:eastAsia="Microsoft YaHei" w:cs="Microsoft YaHei"/>
          <w:sz w:val="21"/>
          <w:szCs w:val="21"/>
          <w:spacing w:val="-3"/>
        </w:rPr>
        <w:t>发电/电网</w:t>
      </w:r>
    </w:p>
    <w:p>
      <w:pPr>
        <w:ind w:left="346"/>
        <w:spacing w:before="219" w:line="197"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1"/>
        </w:rPr>
        <w:t>数据来源： </w:t>
      </w:r>
      <w:r>
        <w:rPr>
          <w:rFonts w:ascii="Microsoft YaHei" w:hAnsi="Microsoft YaHei" w:eastAsia="Microsoft YaHei" w:cs="Microsoft YaHei"/>
          <w:sz w:val="15"/>
          <w:szCs w:val="15"/>
        </w:rPr>
        <w:t>Wood</w:t>
      </w:r>
      <w:r>
        <w:rPr>
          <w:rFonts w:ascii="Microsoft YaHei" w:hAnsi="Microsoft YaHei" w:eastAsia="Microsoft YaHei" w:cs="Microsoft YaHei"/>
          <w:sz w:val="15"/>
          <w:szCs w:val="15"/>
          <w:spacing w:val="31"/>
        </w:rPr>
        <w:t xml:space="preserve"> </w:t>
      </w:r>
      <w:r>
        <w:rPr>
          <w:rFonts w:ascii="Microsoft YaHei" w:hAnsi="Microsoft YaHei" w:eastAsia="Microsoft YaHei" w:cs="Microsoft YaHei"/>
          <w:sz w:val="15"/>
          <w:szCs w:val="15"/>
        </w:rPr>
        <w:t>Mackenzie</w:t>
      </w:r>
      <w:r>
        <w:rPr>
          <w:rFonts w:ascii="Microsoft YaHei" w:hAnsi="Microsoft YaHei" w:eastAsia="Microsoft YaHei" w:cs="Microsoft YaHei"/>
          <w:sz w:val="15"/>
          <w:szCs w:val="15"/>
          <w:spacing w:val="1"/>
        </w:rPr>
        <w:t>, 毕马威分析</w:t>
      </w:r>
    </w:p>
    <w:p>
      <w:pPr>
        <w:pStyle w:val="BodyText"/>
        <w:spacing w:line="250" w:lineRule="auto"/>
        <w:rPr/>
      </w:pPr>
      <w:r/>
    </w:p>
    <w:p>
      <w:pPr>
        <w:pStyle w:val="BodyText"/>
        <w:spacing w:line="250"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ind w:left="842" w:right="1241" w:hanging="411"/>
        <w:spacing w:before="47"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963" w:header="0" w:footer="0" w:gutter="0"/>
        </w:sectPr>
        <w:rPr>
          <w:rFonts w:ascii="Microsoft YaHei" w:hAnsi="Microsoft YaHei" w:eastAsia="Microsoft YaHei" w:cs="Microsoft YaHei"/>
          <w:sz w:val="11"/>
          <w:szCs w:val="11"/>
        </w:rPr>
      </w:pPr>
    </w:p>
    <w:p>
      <w:pPr>
        <w:ind w:left="7673"/>
        <w:spacing w:before="314" w:line="193" w:lineRule="auto"/>
        <w:rPr>
          <w:rFonts w:ascii="Microsoft YaHei" w:hAnsi="Microsoft YaHei" w:eastAsia="Microsoft YaHei" w:cs="Microsoft YaHei"/>
          <w:sz w:val="18"/>
          <w:szCs w:val="18"/>
        </w:rPr>
      </w:pPr>
      <w:r>
        <w:pict>
          <v:rect id="_x0000_s1276" style="position:absolute;margin-left:611.99pt;margin-top:0pt;mso-position-vertical-relative:page;mso-position-horizontal-relative:page;width:0.25pt;height:859pt;z-index:253336576;" o:allowincell="f" fillcolor="#000000" filled="true" stroked="false"/>
        </w:pict>
      </w:r>
      <w:r>
        <w:rPr>
          <w:rFonts w:ascii="Microsoft YaHei" w:hAnsi="Microsoft YaHei" w:eastAsia="Microsoft YaHei" w:cs="Microsoft YaHei"/>
          <w:sz w:val="18"/>
          <w:szCs w:val="18"/>
          <w:color w:val="A8A8A8"/>
          <w:spacing w:val="-1"/>
        </w:rPr>
        <w:t>新型储能助力能源转型</w:t>
      </w:r>
      <w:r>
        <w:rPr>
          <w:rFonts w:ascii="Microsoft YaHei" w:hAnsi="Microsoft YaHei" w:eastAsia="Microsoft YaHei" w:cs="Microsoft YaHei"/>
          <w:sz w:val="18"/>
          <w:szCs w:val="18"/>
          <w:color w:val="A8A8A8"/>
          <w:spacing w:val="25"/>
        </w:rPr>
        <w:t xml:space="preserve">  </w:t>
      </w:r>
      <w:r>
        <w:rPr>
          <w:sz w:val="18"/>
          <w:szCs w:val="18"/>
          <w:position w:val="-4"/>
        </w:rPr>
        <w:drawing>
          <wp:inline distT="0" distB="0" distL="0" distR="0">
            <wp:extent cx="6350" cy="130175"/>
            <wp:effectExtent l="0" t="0" r="0" b="0"/>
            <wp:docPr id="640" name="IM 640"/>
            <wp:cNvGraphicFramePr/>
            <a:graphic>
              <a:graphicData uri="http://schemas.openxmlformats.org/drawingml/2006/picture">
                <pic:pic>
                  <pic:nvPicPr>
                    <pic:cNvPr id="640" name="IM 640"/>
                    <pic:cNvPicPr/>
                  </pic:nvPicPr>
                  <pic:blipFill>
                    <a:blip r:embed="rId308"/>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spacing w:val="17"/>
          <w:w w:val="101"/>
        </w:rPr>
        <w:t xml:space="preserve">  </w:t>
      </w:r>
      <w:r>
        <w:rPr>
          <w:rFonts w:ascii="Microsoft YaHei" w:hAnsi="Microsoft YaHei" w:eastAsia="Microsoft YaHei" w:cs="Microsoft YaHei"/>
          <w:sz w:val="18"/>
          <w:szCs w:val="18"/>
          <w:b/>
          <w:bCs/>
          <w:color w:val="A8A8A8"/>
          <w:spacing w:val="-1"/>
        </w:rPr>
        <w:t>60</w:t>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ind w:left="13"/>
        <w:spacing w:before="116" w:line="184" w:lineRule="auto"/>
        <w:outlineLvl w:val="0"/>
        <w:rPr>
          <w:rFonts w:ascii="Microsoft YaHei" w:hAnsi="Microsoft YaHei" w:eastAsia="Microsoft YaHei" w:cs="Microsoft YaHei"/>
          <w:sz w:val="27"/>
          <w:szCs w:val="27"/>
        </w:rPr>
      </w:pPr>
      <w:r>
        <w:rPr>
          <w:rFonts w:ascii="Microsoft YaHei" w:hAnsi="Microsoft YaHei" w:eastAsia="Microsoft YaHei" w:cs="Microsoft YaHei"/>
          <w:sz w:val="27"/>
          <w:szCs w:val="27"/>
          <w:b/>
          <w:bCs/>
          <w:color w:val="00C0AE"/>
          <w:spacing w:val="7"/>
        </w:rPr>
        <w:t>工商业储能的市场驱动力</w:t>
      </w:r>
    </w:p>
    <w:p>
      <w:pPr>
        <w:ind w:left="6" w:right="2996" w:firstLine="10"/>
        <w:spacing w:before="271" w:line="218"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随着分时电价的进一步完善和高耗能企业电价的进一步上涨</w:t>
      </w:r>
      <w:r>
        <w:rPr>
          <w:rFonts w:ascii="Microsoft YaHei" w:hAnsi="Microsoft YaHei" w:eastAsia="Microsoft YaHei" w:cs="Microsoft YaHei"/>
          <w:sz w:val="21"/>
          <w:szCs w:val="21"/>
          <w:spacing w:val="-16"/>
        </w:rPr>
        <w:t xml:space="preserve"> </w:t>
      </w:r>
      <w:r>
        <w:rPr>
          <w:rFonts w:ascii="Microsoft YaHei" w:hAnsi="Microsoft YaHei" w:eastAsia="Microsoft YaHei" w:cs="Microsoft YaHei"/>
          <w:sz w:val="21"/>
          <w:szCs w:val="21"/>
          <w:spacing w:val="3"/>
        </w:rPr>
        <w:t>，工商业用户储能的经济</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性显著增强。与此同时</w:t>
      </w:r>
      <w:r>
        <w:rPr>
          <w:rFonts w:ascii="Microsoft YaHei" w:hAnsi="Microsoft YaHei" w:eastAsia="Microsoft YaHei" w:cs="Microsoft YaHei"/>
          <w:sz w:val="21"/>
          <w:szCs w:val="21"/>
          <w:spacing w:val="-13"/>
        </w:rPr>
        <w:t xml:space="preserve"> </w:t>
      </w:r>
      <w:r>
        <w:rPr>
          <w:rFonts w:ascii="Microsoft YaHei" w:hAnsi="Microsoft YaHei" w:eastAsia="Microsoft YaHei" w:cs="Microsoft YaHei"/>
          <w:sz w:val="21"/>
          <w:szCs w:val="21"/>
          <w:spacing w:val="1"/>
        </w:rPr>
        <w:t>，2021年我国部分省市出现的拉闸限电，以及由于干旱等极端</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天气造成的电力供应紧张等问题</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，对工商业的生产和经营带来了干扰</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3"/>
        </w:rPr>
        <w:t>，也</w:t>
      </w:r>
      <w:r>
        <w:rPr>
          <w:rFonts w:ascii="Microsoft YaHei" w:hAnsi="Microsoft YaHei" w:eastAsia="Microsoft YaHei" w:cs="Microsoft YaHei"/>
          <w:sz w:val="21"/>
          <w:szCs w:val="21"/>
          <w:spacing w:val="2"/>
        </w:rPr>
        <w:t>助推了储能</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8"/>
        </w:rPr>
        <w:t>需求。</w:t>
      </w:r>
    </w:p>
    <w:p>
      <w:pPr>
        <w:ind w:left="17"/>
        <w:spacing w:before="196" w:line="19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C0AE"/>
          <w:position w:val="-4"/>
        </w:rPr>
        <w:drawing>
          <wp:inline distT="0" distB="0" distL="0" distR="0">
            <wp:extent cx="50157" cy="148864"/>
            <wp:effectExtent l="0" t="0" r="0" b="0"/>
            <wp:docPr id="642" name="IM 642"/>
            <wp:cNvGraphicFramePr/>
            <a:graphic>
              <a:graphicData uri="http://schemas.openxmlformats.org/drawingml/2006/picture">
                <pic:pic>
                  <pic:nvPicPr>
                    <pic:cNvPr id="642" name="IM 642"/>
                    <pic:cNvPicPr/>
                  </pic:nvPicPr>
                  <pic:blipFill>
                    <a:blip r:embed="rId309"/>
                    <a:stretch>
                      <a:fillRect/>
                    </a:stretch>
                  </pic:blipFill>
                  <pic:spPr>
                    <a:xfrm rot="0">
                      <a:off x="0" y="0"/>
                      <a:ext cx="50157" cy="148864"/>
                    </a:xfrm>
                    <a:prstGeom prst="rect">
                      <a:avLst/>
                    </a:prstGeom>
                  </pic:spPr>
                </pic:pic>
              </a:graphicData>
            </a:graphic>
          </wp:inline>
        </w:drawing>
      </w:r>
      <w:r>
        <w:rPr>
          <w:rFonts w:ascii="Microsoft YaHei" w:hAnsi="Microsoft YaHei" w:eastAsia="Microsoft YaHei" w:cs="Microsoft YaHei"/>
          <w:sz w:val="21"/>
          <w:szCs w:val="21"/>
          <w:color w:val="00C0AE"/>
          <w:spacing w:val="30"/>
        </w:rPr>
        <w:t xml:space="preserve">  </w:t>
      </w:r>
      <w:r>
        <w:rPr>
          <w:rFonts w:ascii="Microsoft YaHei" w:hAnsi="Microsoft YaHei" w:eastAsia="Microsoft YaHei" w:cs="Microsoft YaHei"/>
          <w:sz w:val="21"/>
          <w:szCs w:val="21"/>
          <w:color w:val="00C0AE"/>
        </w:rPr>
        <w:t>分时电价提升峰谷套利空间</w:t>
      </w:r>
    </w:p>
    <w:p>
      <w:pPr>
        <w:ind w:left="8" w:right="2997"/>
        <w:spacing w:before="106" w:line="217"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2021</w:t>
      </w:r>
      <w:r>
        <w:rPr>
          <w:rFonts w:ascii="Microsoft YaHei" w:hAnsi="Microsoft YaHei" w:eastAsia="Microsoft YaHei" w:cs="Microsoft YaHei"/>
          <w:sz w:val="21"/>
          <w:szCs w:val="21"/>
          <w:spacing w:val="24"/>
        </w:rPr>
        <w:t xml:space="preserve"> </w:t>
      </w:r>
      <w:r>
        <w:rPr>
          <w:rFonts w:ascii="Microsoft YaHei" w:hAnsi="Microsoft YaHei" w:eastAsia="Microsoft YaHei" w:cs="Microsoft YaHei"/>
          <w:sz w:val="21"/>
          <w:szCs w:val="21"/>
          <w:spacing w:val="-3"/>
        </w:rPr>
        <w:t>年</w:t>
      </w:r>
      <w:r>
        <w:rPr>
          <w:rFonts w:ascii="Microsoft YaHei" w:hAnsi="Microsoft YaHei" w:eastAsia="Microsoft YaHei" w:cs="Microsoft YaHei"/>
          <w:sz w:val="21"/>
          <w:szCs w:val="21"/>
          <w:spacing w:val="29"/>
          <w:w w:val="101"/>
        </w:rPr>
        <w:t xml:space="preserve"> </w:t>
      </w:r>
      <w:r>
        <w:rPr>
          <w:rFonts w:ascii="Microsoft YaHei" w:hAnsi="Microsoft YaHei" w:eastAsia="Microsoft YaHei" w:cs="Microsoft YaHei"/>
          <w:sz w:val="21"/>
          <w:szCs w:val="21"/>
          <w:spacing w:val="-3"/>
        </w:rPr>
        <w:t>7</w:t>
      </w:r>
      <w:r>
        <w:rPr>
          <w:rFonts w:ascii="Microsoft YaHei" w:hAnsi="Microsoft YaHei" w:eastAsia="Microsoft YaHei" w:cs="Microsoft YaHei"/>
          <w:sz w:val="21"/>
          <w:szCs w:val="21"/>
          <w:spacing w:val="19"/>
          <w:w w:val="101"/>
        </w:rPr>
        <w:t xml:space="preserve"> </w:t>
      </w:r>
      <w:r>
        <w:rPr>
          <w:rFonts w:ascii="Microsoft YaHei" w:hAnsi="Microsoft YaHei" w:eastAsia="Microsoft YaHei" w:cs="Microsoft YaHei"/>
          <w:sz w:val="21"/>
          <w:szCs w:val="21"/>
          <w:spacing w:val="-3"/>
        </w:rPr>
        <w:t>月</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26</w:t>
      </w:r>
      <w:r>
        <w:rPr>
          <w:rFonts w:ascii="Microsoft YaHei" w:hAnsi="Microsoft YaHei" w:eastAsia="Microsoft YaHei" w:cs="Microsoft YaHei"/>
          <w:sz w:val="21"/>
          <w:szCs w:val="21"/>
          <w:spacing w:val="55"/>
        </w:rPr>
        <w:t xml:space="preserve"> </w:t>
      </w:r>
      <w:r>
        <w:rPr>
          <w:rFonts w:ascii="Microsoft YaHei" w:hAnsi="Microsoft YaHei" w:eastAsia="Microsoft YaHei" w:cs="Microsoft YaHei"/>
          <w:sz w:val="21"/>
          <w:szCs w:val="21"/>
          <w:spacing w:val="-3"/>
        </w:rPr>
        <w:t>日国家发展改革委发布《关于进一步完善分时电价机制的通知</w:t>
      </w:r>
      <w:r>
        <w:rPr>
          <w:rFonts w:ascii="Microsoft YaHei" w:hAnsi="Microsoft YaHei" w:eastAsia="Microsoft YaHei" w:cs="Microsoft YaHei"/>
          <w:sz w:val="21"/>
          <w:szCs w:val="21"/>
          <w:spacing w:val="-4"/>
        </w:rPr>
        <w:t>》（以</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下简称《通知》</w:t>
      </w:r>
      <w:r>
        <w:rPr>
          <w:rFonts w:ascii="Microsoft YaHei" w:hAnsi="Microsoft YaHei" w:eastAsia="Microsoft YaHei" w:cs="Microsoft YaHei"/>
          <w:sz w:val="21"/>
          <w:szCs w:val="21"/>
        </w:rPr>
        <w:t>），</w:t>
      </w:r>
      <w:r>
        <w:rPr>
          <w:rFonts w:ascii="Microsoft YaHei" w:hAnsi="Microsoft YaHei" w:eastAsia="Microsoft YaHei" w:cs="Microsoft YaHei"/>
          <w:sz w:val="21"/>
          <w:szCs w:val="21"/>
          <w:spacing w:val="-22"/>
        </w:rPr>
        <w:t xml:space="preserve"> </w:t>
      </w:r>
      <w:r>
        <w:rPr>
          <w:rFonts w:ascii="Microsoft YaHei" w:hAnsi="Microsoft YaHei" w:eastAsia="Microsoft YaHei" w:cs="Microsoft YaHei"/>
          <w:sz w:val="21"/>
          <w:szCs w:val="21"/>
          <w:spacing w:val="3"/>
        </w:rPr>
        <w:t>明确在保持销售电价总水平基本稳</w:t>
      </w:r>
      <w:r>
        <w:rPr>
          <w:rFonts w:ascii="Microsoft YaHei" w:hAnsi="Microsoft YaHei" w:eastAsia="Microsoft YaHei" w:cs="Microsoft YaHei"/>
          <w:sz w:val="21"/>
          <w:szCs w:val="21"/>
          <w:spacing w:val="2"/>
        </w:rPr>
        <w:t>定的基础上</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，进一步完善目录</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9"/>
        </w:rPr>
        <w:t>分时电价机制</w:t>
      </w:r>
      <w:r>
        <w:rPr>
          <w:rFonts w:ascii="Microsoft YaHei" w:hAnsi="Microsoft YaHei" w:eastAsia="Microsoft YaHei" w:cs="Microsoft YaHei"/>
          <w:sz w:val="21"/>
          <w:szCs w:val="21"/>
          <w:spacing w:val="-17"/>
        </w:rPr>
        <w:t xml:space="preserve"> </w:t>
      </w:r>
      <w:r>
        <w:rPr>
          <w:rFonts w:ascii="Microsoft YaHei" w:hAnsi="Microsoft YaHei" w:eastAsia="Microsoft YaHei" w:cs="Microsoft YaHei"/>
          <w:sz w:val="21"/>
          <w:szCs w:val="21"/>
          <w:spacing w:val="9"/>
        </w:rPr>
        <w:t>，更好引导用户削峰填谷、改善电力供需状况、促进新能源消纳（表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18）</w:t>
      </w:r>
      <w:r>
        <w:rPr>
          <w:rFonts w:ascii="Microsoft YaHei" w:hAnsi="Microsoft YaHei" w:eastAsia="Microsoft YaHei" w:cs="Microsoft YaHei"/>
          <w:sz w:val="21"/>
          <w:szCs w:val="21"/>
          <w:spacing w:val="-33"/>
        </w:rPr>
        <w:t xml:space="preserve"> </w:t>
      </w:r>
      <w:r>
        <w:rPr>
          <w:rFonts w:ascii="Microsoft YaHei" w:hAnsi="Microsoft YaHei" w:eastAsia="Microsoft YaHei" w:cs="Microsoft YaHei"/>
          <w:sz w:val="21"/>
          <w:szCs w:val="21"/>
          <w:spacing w:val="1"/>
        </w:rPr>
        <w:t>。基于分时电价政策</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，储能系统在电价谷时从电网购买低价电能</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1"/>
        </w:rPr>
        <w:t>，在电价峰时供</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给给负载使用</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，从而减少电量电费支出</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，同时还能够平衡电网</w:t>
      </w:r>
      <w:r>
        <w:rPr>
          <w:rFonts w:ascii="Microsoft YaHei" w:hAnsi="Microsoft YaHei" w:eastAsia="Microsoft YaHei" w:cs="Microsoft YaHei"/>
          <w:sz w:val="21"/>
          <w:szCs w:val="21"/>
          <w:spacing w:val="1"/>
        </w:rPr>
        <w:t>负荷峰值</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，起到延缓电</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网线路扩容的投资的作用。</w:t>
      </w:r>
    </w:p>
    <w:p>
      <w:pPr>
        <w:ind w:left="5"/>
        <w:spacing w:before="227" w:line="19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C0AE"/>
          <w:spacing w:val="-5"/>
        </w:rPr>
        <w:t>表 18 | 《通知》要点归纳</w:t>
      </w:r>
    </w:p>
    <w:p>
      <w:pPr>
        <w:spacing w:line="110" w:lineRule="exact"/>
        <w:rPr/>
      </w:pPr>
      <w:r/>
    </w:p>
    <w:tbl>
      <w:tblPr>
        <w:tblStyle w:val="TableNormal"/>
        <w:tblW w:w="9640"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205"/>
        <w:gridCol w:w="8435"/>
      </w:tblGrid>
      <w:tr>
        <w:trPr>
          <w:trHeight w:val="527" w:hRule="atLeast"/>
        </w:trPr>
        <w:tc>
          <w:tcPr>
            <w:shd w:val="clear" w:fill="00C0AE"/>
            <w:tcW w:w="1205" w:type="dxa"/>
            <w:vAlign w:val="top"/>
            <w:tcBorders>
              <w:right w:val="single" w:color="FFFFFF" w:sz="8" w:space="0"/>
            </w:tcBorders>
          </w:tcPr>
          <w:p>
            <w:pPr>
              <w:pStyle w:val="TableText"/>
              <w:ind w:left="401"/>
              <w:spacing w:before="153" w:line="178" w:lineRule="auto"/>
              <w:rPr>
                <w:sz w:val="21"/>
                <w:szCs w:val="21"/>
              </w:rPr>
            </w:pPr>
            <w:r>
              <w:rPr>
                <w:sz w:val="21"/>
                <w:szCs w:val="21"/>
                <w:b/>
                <w:bCs/>
                <w:color w:val="FFFFFF"/>
                <w:spacing w:val="-2"/>
              </w:rPr>
              <w:t>要点</w:t>
            </w:r>
          </w:p>
        </w:tc>
        <w:tc>
          <w:tcPr>
            <w:shd w:val="clear" w:fill="00C0AE"/>
            <w:tcW w:w="8435" w:type="dxa"/>
            <w:vAlign w:val="top"/>
            <w:tcBorders>
              <w:left w:val="single" w:color="FFFFFF" w:sz="8" w:space="0"/>
            </w:tcBorders>
          </w:tcPr>
          <w:p>
            <w:pPr>
              <w:pStyle w:val="TableText"/>
              <w:ind w:left="1638"/>
              <w:spacing w:before="151" w:line="180" w:lineRule="auto"/>
              <w:rPr>
                <w:sz w:val="21"/>
                <w:szCs w:val="21"/>
              </w:rPr>
            </w:pPr>
            <w:r>
              <w:rPr>
                <w:sz w:val="21"/>
                <w:szCs w:val="21"/>
                <w:b/>
                <w:bCs/>
                <w:color w:val="FFFFFF"/>
                <w:spacing w:val="-3"/>
              </w:rPr>
              <w:t>内容解析</w:t>
            </w:r>
          </w:p>
        </w:tc>
      </w:tr>
      <w:tr>
        <w:trPr>
          <w:trHeight w:val="1580" w:hRule="atLeast"/>
        </w:trPr>
        <w:tc>
          <w:tcPr>
            <w:tcW w:w="1205" w:type="dxa"/>
            <w:vAlign w:val="top"/>
            <w:tcBorders>
              <w:right w:val="single" w:color="BFBFBF" w:sz="2" w:space="0"/>
            </w:tcBorders>
          </w:tcPr>
          <w:p>
            <w:pPr>
              <w:spacing w:line="466" w:lineRule="auto"/>
              <w:rPr>
                <w:rFonts w:ascii="Arial"/>
                <w:sz w:val="21"/>
              </w:rPr>
            </w:pPr>
            <w:r/>
          </w:p>
          <w:p>
            <w:pPr>
              <w:pStyle w:val="TableText"/>
              <w:ind w:left="117" w:right="235" w:firstLine="5"/>
              <w:spacing w:before="90" w:line="173" w:lineRule="auto"/>
              <w:rPr>
                <w:sz w:val="21"/>
                <w:szCs w:val="21"/>
              </w:rPr>
            </w:pPr>
            <w:r>
              <w:rPr>
                <w:sz w:val="21"/>
                <w:szCs w:val="21"/>
                <w:b/>
                <w:bCs/>
                <w:color w:val="00C0AE"/>
              </w:rPr>
              <w:t>峰谷时段</w:t>
            </w:r>
            <w:r>
              <w:rPr>
                <w:sz w:val="21"/>
                <w:szCs w:val="21"/>
                <w:b/>
                <w:bCs/>
                <w:color w:val="00C0AE"/>
                <w:spacing w:val="2"/>
              </w:rPr>
              <w:t xml:space="preserve"> </w:t>
            </w:r>
            <w:r>
              <w:rPr>
                <w:sz w:val="21"/>
                <w:szCs w:val="21"/>
                <w:b/>
                <w:bCs/>
                <w:color w:val="00C0AE"/>
                <w:spacing w:val="-1"/>
              </w:rPr>
              <w:t>调整</w:t>
            </w:r>
          </w:p>
        </w:tc>
        <w:tc>
          <w:tcPr>
            <w:tcW w:w="8435" w:type="dxa"/>
            <w:vAlign w:val="top"/>
            <w:tcBorders>
              <w:left w:val="single" w:color="BFBFBF" w:sz="2" w:space="0"/>
            </w:tcBorders>
          </w:tcPr>
          <w:p>
            <w:pPr>
              <w:spacing w:line="342" w:lineRule="auto"/>
              <w:rPr>
                <w:rFonts w:ascii="Arial"/>
                <w:sz w:val="21"/>
              </w:rPr>
            </w:pPr>
            <w:r/>
          </w:p>
          <w:p>
            <w:pPr>
              <w:pStyle w:val="TableText"/>
              <w:ind w:left="123" w:right="104" w:hanging="6"/>
              <w:spacing w:before="90" w:line="171" w:lineRule="auto"/>
              <w:jc w:val="both"/>
              <w:rPr>
                <w:sz w:val="21"/>
                <w:szCs w:val="21"/>
              </w:rPr>
            </w:pPr>
            <w:r>
              <w:rPr>
                <w:sz w:val="21"/>
                <w:szCs w:val="21"/>
                <w:spacing w:val="1"/>
              </w:rPr>
              <w:t>要求各地统筹考虑当地供需状况、系统用电</w:t>
            </w:r>
            <w:r>
              <w:rPr>
                <w:sz w:val="21"/>
                <w:szCs w:val="21"/>
              </w:rPr>
              <w:t>负荷特性、新能源装机占比、系统调节能力等 </w:t>
            </w:r>
            <w:r>
              <w:rPr>
                <w:sz w:val="21"/>
                <w:szCs w:val="21"/>
              </w:rPr>
              <w:t>因素，尤其是新能源发电出力波动和净负荷曲线变化特性等划分峰谷时段，将系统边际供</w:t>
            </w:r>
            <w:r>
              <w:rPr>
                <w:sz w:val="21"/>
                <w:szCs w:val="21"/>
                <w:spacing w:val="13"/>
              </w:rPr>
              <w:t xml:space="preserve"> </w:t>
            </w:r>
            <w:r>
              <w:rPr>
                <w:sz w:val="21"/>
                <w:szCs w:val="21"/>
                <w:spacing w:val="-1"/>
              </w:rPr>
              <w:t>电成本纳入时段划分决策</w:t>
            </w:r>
          </w:p>
        </w:tc>
      </w:tr>
      <w:tr>
        <w:trPr>
          <w:trHeight w:val="1581" w:hRule="atLeast"/>
        </w:trPr>
        <w:tc>
          <w:tcPr>
            <w:shd w:val="clear" w:fill="F1F1F1"/>
            <w:tcW w:w="1205" w:type="dxa"/>
            <w:vAlign w:val="top"/>
            <w:tcBorders>
              <w:right w:val="single" w:color="BFBFBF" w:sz="2" w:space="0"/>
            </w:tcBorders>
          </w:tcPr>
          <w:p>
            <w:pPr>
              <w:spacing w:line="348" w:lineRule="auto"/>
              <w:rPr>
                <w:rFonts w:ascii="Arial"/>
                <w:sz w:val="21"/>
              </w:rPr>
            </w:pPr>
            <w:r/>
          </w:p>
          <w:p>
            <w:pPr>
              <w:pStyle w:val="TableText"/>
              <w:ind w:left="114" w:right="235" w:firstLine="1"/>
              <w:spacing w:before="90" w:line="171" w:lineRule="auto"/>
              <w:jc w:val="both"/>
              <w:rPr>
                <w:sz w:val="21"/>
                <w:szCs w:val="21"/>
              </w:rPr>
            </w:pPr>
            <w:r>
              <w:rPr>
                <w:sz w:val="21"/>
                <w:szCs w:val="21"/>
                <w:b/>
                <w:bCs/>
                <w:color w:val="00C0AE"/>
                <w:spacing w:val="2"/>
              </w:rPr>
              <w:t>健全季节 </w:t>
            </w:r>
            <w:r>
              <w:rPr>
                <w:sz w:val="21"/>
                <w:szCs w:val="21"/>
                <w:b/>
                <w:bCs/>
                <w:color w:val="00C0AE"/>
                <w:spacing w:val="3"/>
              </w:rPr>
              <w:t>性电价机</w:t>
            </w:r>
            <w:r>
              <w:rPr>
                <w:sz w:val="21"/>
                <w:szCs w:val="21"/>
                <w:b/>
                <w:bCs/>
                <w:color w:val="00C0AE"/>
              </w:rPr>
              <w:t xml:space="preserve"> </w:t>
            </w:r>
            <w:r>
              <w:rPr>
                <w:sz w:val="21"/>
                <w:szCs w:val="21"/>
                <w:b/>
                <w:bCs/>
                <w:color w:val="00C0AE"/>
              </w:rPr>
              <w:t>制</w:t>
            </w:r>
          </w:p>
        </w:tc>
        <w:tc>
          <w:tcPr>
            <w:shd w:val="clear" w:fill="F1F1F1"/>
            <w:tcW w:w="8435" w:type="dxa"/>
            <w:vAlign w:val="top"/>
            <w:tcBorders>
              <w:left w:val="single" w:color="BFBFBF" w:sz="2" w:space="0"/>
            </w:tcBorders>
          </w:tcPr>
          <w:p>
            <w:pPr>
              <w:spacing w:line="349" w:lineRule="auto"/>
              <w:rPr>
                <w:rFonts w:ascii="Arial"/>
                <w:sz w:val="21"/>
              </w:rPr>
            </w:pPr>
            <w:r/>
          </w:p>
          <w:p>
            <w:pPr>
              <w:pStyle w:val="TableText"/>
              <w:ind w:left="112" w:right="104"/>
              <w:spacing w:before="90" w:line="172" w:lineRule="auto"/>
              <w:jc w:val="both"/>
              <w:rPr>
                <w:sz w:val="21"/>
                <w:szCs w:val="21"/>
              </w:rPr>
            </w:pPr>
            <w:r>
              <w:rPr>
                <w:sz w:val="21"/>
                <w:szCs w:val="21"/>
                <w:spacing w:val="1"/>
              </w:rPr>
              <w:t>对于日内用电负荷或电力供需关系有明显季节性差异的</w:t>
            </w:r>
            <w:r>
              <w:rPr>
                <w:sz w:val="21"/>
                <w:szCs w:val="21"/>
              </w:rPr>
              <w:t>地方，明确提出分季节设置峰谷时 </w:t>
            </w:r>
            <w:r>
              <w:rPr>
                <w:sz w:val="21"/>
                <w:szCs w:val="21"/>
                <w:spacing w:val="1"/>
              </w:rPr>
              <w:t>段和价差；对于部分受季节因素影响明显的地区，如</w:t>
            </w:r>
            <w:r>
              <w:rPr>
                <w:sz w:val="21"/>
                <w:szCs w:val="21"/>
              </w:rPr>
              <w:t>水电出力丰、枯不均，和部分有冬季 </w:t>
            </w:r>
            <w:r>
              <w:rPr>
                <w:sz w:val="21"/>
                <w:szCs w:val="21"/>
              </w:rPr>
              <w:t>采暖需求的地区，要求通过健全机制更好的发挥分时电价作用。</w:t>
            </w:r>
          </w:p>
        </w:tc>
      </w:tr>
      <w:tr>
        <w:trPr>
          <w:trHeight w:val="1581" w:hRule="atLeast"/>
        </w:trPr>
        <w:tc>
          <w:tcPr>
            <w:tcW w:w="1205" w:type="dxa"/>
            <w:vAlign w:val="top"/>
            <w:tcBorders>
              <w:right w:val="single" w:color="BFBFBF" w:sz="2" w:space="0"/>
            </w:tcBorders>
          </w:tcPr>
          <w:p>
            <w:pPr>
              <w:spacing w:line="479" w:lineRule="auto"/>
              <w:rPr>
                <w:rFonts w:ascii="Arial"/>
                <w:sz w:val="21"/>
              </w:rPr>
            </w:pPr>
            <w:r/>
          </w:p>
          <w:p>
            <w:pPr>
              <w:pStyle w:val="TableText"/>
              <w:ind w:left="116" w:right="235"/>
              <w:spacing w:before="91" w:line="174" w:lineRule="auto"/>
              <w:rPr>
                <w:sz w:val="21"/>
                <w:szCs w:val="21"/>
              </w:rPr>
            </w:pPr>
            <w:r>
              <w:rPr>
                <w:sz w:val="21"/>
                <w:szCs w:val="21"/>
                <w:b/>
                <w:bCs/>
                <w:color w:val="00C0AE"/>
                <w:spacing w:val="2"/>
              </w:rPr>
              <w:t>拉大峰谷</w:t>
            </w:r>
            <w:r>
              <w:rPr>
                <w:sz w:val="21"/>
                <w:szCs w:val="21"/>
                <w:b/>
                <w:bCs/>
                <w:color w:val="00C0AE"/>
              </w:rPr>
              <w:t xml:space="preserve"> </w:t>
            </w:r>
            <w:r>
              <w:rPr>
                <w:sz w:val="21"/>
                <w:szCs w:val="21"/>
                <w:b/>
                <w:bCs/>
                <w:color w:val="00C0AE"/>
                <w:spacing w:val="2"/>
              </w:rPr>
              <w:t>价差水平</w:t>
            </w:r>
          </w:p>
        </w:tc>
        <w:tc>
          <w:tcPr>
            <w:tcW w:w="8435" w:type="dxa"/>
            <w:vAlign w:val="top"/>
            <w:tcBorders>
              <w:left w:val="single" w:color="BFBFBF" w:sz="2" w:space="0"/>
            </w:tcBorders>
          </w:tcPr>
          <w:p>
            <w:pPr>
              <w:spacing w:line="355" w:lineRule="auto"/>
              <w:rPr>
                <w:rFonts w:ascii="Arial"/>
                <w:sz w:val="21"/>
              </w:rPr>
            </w:pPr>
            <w:r/>
          </w:p>
          <w:p>
            <w:pPr>
              <w:pStyle w:val="TableText"/>
              <w:ind w:left="113" w:right="104" w:firstLine="9"/>
              <w:spacing w:before="90" w:line="171" w:lineRule="auto"/>
              <w:jc w:val="both"/>
              <w:rPr>
                <w:sz w:val="21"/>
                <w:szCs w:val="21"/>
              </w:rPr>
            </w:pPr>
            <w:r>
              <w:rPr>
                <w:sz w:val="21"/>
                <w:szCs w:val="21"/>
                <w:spacing w:val="1"/>
              </w:rPr>
              <w:t>明确上年或当年预计最大系统峰谷率超过40%的地方</w:t>
            </w:r>
            <w:r>
              <w:rPr>
                <w:sz w:val="21"/>
                <w:szCs w:val="21"/>
                <w:spacing w:val="-11"/>
              </w:rPr>
              <w:t xml:space="preserve"> </w:t>
            </w:r>
            <w:r>
              <w:rPr>
                <w:sz w:val="21"/>
                <w:szCs w:val="21"/>
                <w:spacing w:val="1"/>
              </w:rPr>
              <w:t>，价差原则上不低于4:1</w:t>
            </w:r>
            <w:r>
              <w:rPr>
                <w:sz w:val="21"/>
                <w:szCs w:val="21"/>
                <w:spacing w:val="-31"/>
              </w:rPr>
              <w:t xml:space="preserve"> </w:t>
            </w:r>
            <w:r>
              <w:rPr>
                <w:sz w:val="21"/>
                <w:szCs w:val="21"/>
                <w:spacing w:val="1"/>
              </w:rPr>
              <w:t>，其他地方</w:t>
            </w:r>
            <w:r>
              <w:rPr>
                <w:sz w:val="21"/>
                <w:szCs w:val="21"/>
              </w:rPr>
              <w:t xml:space="preserve"> </w:t>
            </w:r>
            <w:r>
              <w:rPr>
                <w:sz w:val="21"/>
                <w:szCs w:val="21"/>
                <w:spacing w:val="1"/>
              </w:rPr>
              <w:t>原则上不低于3:1。</w:t>
            </w:r>
            <w:r>
              <w:rPr>
                <w:sz w:val="21"/>
                <w:szCs w:val="21"/>
                <w:spacing w:val="-31"/>
              </w:rPr>
              <w:t xml:space="preserve"> </w:t>
            </w:r>
            <w:r>
              <w:rPr>
                <w:sz w:val="21"/>
                <w:szCs w:val="21"/>
                <w:spacing w:val="1"/>
              </w:rPr>
              <w:t>以国网经营区为例，</w:t>
            </w:r>
            <w:r>
              <w:rPr>
                <w:sz w:val="21"/>
                <w:szCs w:val="21"/>
                <w:spacing w:val="-42"/>
              </w:rPr>
              <w:t xml:space="preserve"> </w:t>
            </w:r>
            <w:r>
              <w:rPr>
                <w:sz w:val="21"/>
                <w:szCs w:val="21"/>
                <w:spacing w:val="1"/>
              </w:rPr>
              <w:t>预计27个省</w:t>
            </w:r>
            <w:r>
              <w:rPr>
                <w:sz w:val="21"/>
                <w:szCs w:val="21"/>
              </w:rPr>
              <w:t>级电网大多要调整峰谷差</w:t>
            </w:r>
            <w:r>
              <w:rPr>
                <w:sz w:val="21"/>
                <w:szCs w:val="21"/>
                <w:spacing w:val="-28"/>
              </w:rPr>
              <w:t xml:space="preserve"> </w:t>
            </w:r>
            <w:r>
              <w:rPr>
                <w:sz w:val="21"/>
                <w:szCs w:val="21"/>
              </w:rPr>
              <w:t>，对削峰填 </w:t>
            </w:r>
            <w:r>
              <w:rPr>
                <w:sz w:val="21"/>
                <w:szCs w:val="21"/>
                <w:spacing w:val="-1"/>
              </w:rPr>
              <w:t>谷和激励用户电力响应的作用加明显放大。</w:t>
            </w:r>
          </w:p>
        </w:tc>
      </w:tr>
      <w:tr>
        <w:trPr>
          <w:trHeight w:val="1595" w:hRule="atLeast"/>
        </w:trPr>
        <w:tc>
          <w:tcPr>
            <w:shd w:val="clear" w:fill="F1F1F1"/>
            <w:tcW w:w="1205" w:type="dxa"/>
            <w:vAlign w:val="top"/>
            <w:tcBorders>
              <w:right w:val="single" w:color="BFBFBF" w:sz="2" w:space="0"/>
              <w:bottom w:val="single" w:color="00C0AE" w:sz="12" w:space="0"/>
            </w:tcBorders>
          </w:tcPr>
          <w:p>
            <w:pPr>
              <w:spacing w:line="244" w:lineRule="auto"/>
              <w:rPr>
                <w:rFonts w:ascii="Arial"/>
                <w:sz w:val="21"/>
              </w:rPr>
            </w:pPr>
            <w:r/>
          </w:p>
          <w:p>
            <w:pPr>
              <w:spacing w:line="245" w:lineRule="auto"/>
              <w:rPr>
                <w:rFonts w:ascii="Arial"/>
                <w:sz w:val="21"/>
              </w:rPr>
            </w:pPr>
            <w:r/>
          </w:p>
          <w:p>
            <w:pPr>
              <w:pStyle w:val="TableText"/>
              <w:ind w:left="117" w:right="235" w:firstLine="1"/>
              <w:spacing w:before="90" w:line="173" w:lineRule="auto"/>
              <w:rPr>
                <w:sz w:val="21"/>
                <w:szCs w:val="21"/>
              </w:rPr>
            </w:pPr>
            <w:r>
              <w:rPr>
                <w:sz w:val="21"/>
                <w:szCs w:val="21"/>
                <w:b/>
                <w:bCs/>
                <w:color w:val="00C0AE"/>
                <w:spacing w:val="2"/>
              </w:rPr>
              <w:t>尖峰和深</w:t>
            </w:r>
            <w:r>
              <w:rPr>
                <w:sz w:val="21"/>
                <w:szCs w:val="21"/>
                <w:b/>
                <w:bCs/>
                <w:color w:val="00C0AE"/>
              </w:rPr>
              <w:t xml:space="preserve"> </w:t>
            </w:r>
            <w:r>
              <w:rPr>
                <w:sz w:val="21"/>
                <w:szCs w:val="21"/>
                <w:b/>
                <w:bCs/>
                <w:color w:val="00C0AE"/>
                <w:spacing w:val="1"/>
              </w:rPr>
              <w:t>谷电价</w:t>
            </w:r>
          </w:p>
        </w:tc>
        <w:tc>
          <w:tcPr>
            <w:shd w:val="clear" w:fill="F1F1F1"/>
            <w:tcW w:w="8435" w:type="dxa"/>
            <w:vAlign w:val="top"/>
            <w:tcBorders>
              <w:left w:val="single" w:color="BFBFBF" w:sz="2" w:space="0"/>
              <w:bottom w:val="single" w:color="00C0AE" w:sz="12" w:space="0"/>
            </w:tcBorders>
          </w:tcPr>
          <w:p>
            <w:pPr>
              <w:spacing w:line="362" w:lineRule="auto"/>
              <w:rPr>
                <w:rFonts w:ascii="Arial"/>
                <w:sz w:val="21"/>
              </w:rPr>
            </w:pPr>
            <w:r/>
          </w:p>
          <w:p>
            <w:pPr>
              <w:pStyle w:val="TableText"/>
              <w:ind w:left="114" w:right="104" w:firstLine="3"/>
              <w:spacing w:before="90" w:line="171" w:lineRule="auto"/>
              <w:jc w:val="both"/>
              <w:rPr>
                <w:sz w:val="21"/>
                <w:szCs w:val="21"/>
              </w:rPr>
            </w:pPr>
            <w:r>
              <w:rPr>
                <w:sz w:val="21"/>
                <w:szCs w:val="21"/>
              </w:rPr>
              <w:t>要求尖峰时段根据前两年当地最高负荷的95%及以上用电负荷时段确定，较峰段电价再上</w:t>
            </w:r>
            <w:r>
              <w:rPr>
                <w:sz w:val="21"/>
                <w:szCs w:val="21"/>
                <w:spacing w:val="6"/>
              </w:rPr>
              <w:t xml:space="preserve"> </w:t>
            </w:r>
            <w:r>
              <w:rPr>
                <w:sz w:val="21"/>
                <w:szCs w:val="21"/>
              </w:rPr>
              <w:t>浮不低于20%；提出利用深谷电价机制应对阶段性供大于求矛盾突出的难题，与新能源发</w:t>
            </w:r>
            <w:r>
              <w:rPr>
                <w:sz w:val="21"/>
                <w:szCs w:val="21"/>
                <w:spacing w:val="1"/>
              </w:rPr>
              <w:t xml:space="preserve"> </w:t>
            </w:r>
            <w:r>
              <w:rPr>
                <w:sz w:val="21"/>
                <w:szCs w:val="21"/>
                <w:spacing w:val="-3"/>
              </w:rPr>
              <w:t>电波动性特征相适应。</w:t>
            </w:r>
          </w:p>
        </w:tc>
      </w:tr>
    </w:tbl>
    <w:p>
      <w:pPr>
        <w:pStyle w:val="BodyText"/>
        <w:spacing w:line="247" w:lineRule="auto"/>
        <w:rPr/>
      </w:pPr>
      <w:r/>
    </w:p>
    <w:p>
      <w:pPr>
        <w:ind w:left="8"/>
        <w:spacing w:before="65" w:line="188"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7"/>
        </w:rPr>
        <w:t>资料来源：政府官网，毕马威分析</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503" w:right="1241" w:hanging="411"/>
        <w:spacing w:before="47"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1302" w:header="0" w:footer="0" w:gutter="0"/>
        </w:sectPr>
        <w:rPr>
          <w:rFonts w:ascii="Microsoft YaHei" w:hAnsi="Microsoft YaHei" w:eastAsia="Microsoft YaHei" w:cs="Microsoft YaHei"/>
          <w:sz w:val="11"/>
          <w:szCs w:val="11"/>
        </w:rPr>
      </w:pPr>
    </w:p>
    <w:p>
      <w:pPr>
        <w:spacing w:before="314" w:line="193" w:lineRule="auto"/>
        <w:outlineLvl w:val="0"/>
        <w:rPr>
          <w:rFonts w:ascii="Microsoft YaHei" w:hAnsi="Microsoft YaHei" w:eastAsia="Microsoft YaHei" w:cs="Microsoft YaHei"/>
          <w:sz w:val="18"/>
          <w:szCs w:val="18"/>
        </w:rPr>
      </w:pPr>
      <w:r>
        <w:pict>
          <v:rect id="_x0000_s1278" style="position:absolute;margin-left:611.99pt;margin-top:0pt;mso-position-vertical-relative:page;mso-position-horizontal-relative:page;width:0.25pt;height:859pt;z-index:253383680;" o:allowincell="f" fillcolor="#000000" filled="true" stroked="false"/>
        </w:pict>
      </w:r>
      <w:r>
        <w:rPr>
          <w:rFonts w:ascii="Microsoft YaHei" w:hAnsi="Microsoft YaHei" w:eastAsia="Microsoft YaHei" w:cs="Microsoft YaHei"/>
          <w:sz w:val="18"/>
          <w:szCs w:val="18"/>
          <w:b/>
          <w:bCs/>
          <w:color w:val="A8A8A8"/>
          <w:spacing w:val="-2"/>
        </w:rPr>
        <w:t>61</w:t>
      </w:r>
      <w:r>
        <w:rPr>
          <w:rFonts w:ascii="Microsoft YaHei" w:hAnsi="Microsoft YaHei" w:eastAsia="Microsoft YaHei" w:cs="Microsoft YaHei"/>
          <w:sz w:val="18"/>
          <w:szCs w:val="18"/>
          <w:b/>
          <w:bCs/>
          <w:color w:val="A8A8A8"/>
          <w:spacing w:val="18"/>
        </w:rPr>
        <w:t xml:space="preserve">  </w:t>
      </w:r>
      <w:r>
        <w:rPr>
          <w:sz w:val="18"/>
          <w:szCs w:val="18"/>
          <w:position w:val="-4"/>
        </w:rPr>
        <w:drawing>
          <wp:inline distT="0" distB="0" distL="0" distR="0">
            <wp:extent cx="6350" cy="130175"/>
            <wp:effectExtent l="0" t="0" r="0" b="0"/>
            <wp:docPr id="644" name="IM 644"/>
            <wp:cNvGraphicFramePr/>
            <a:graphic>
              <a:graphicData uri="http://schemas.openxmlformats.org/drawingml/2006/picture">
                <pic:pic>
                  <pic:nvPicPr>
                    <pic:cNvPr id="644" name="IM 644"/>
                    <pic:cNvPicPr/>
                  </pic:nvPicPr>
                  <pic:blipFill>
                    <a:blip r:embed="rId310"/>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A8A8A8"/>
          <w:spacing w:val="26"/>
          <w:w w:val="101"/>
        </w:rPr>
        <w:t xml:space="preserve">  </w:t>
      </w:r>
      <w:r>
        <w:rPr>
          <w:rFonts w:ascii="Microsoft YaHei" w:hAnsi="Microsoft YaHei" w:eastAsia="Microsoft YaHei" w:cs="Microsoft YaHei"/>
          <w:sz w:val="18"/>
          <w:szCs w:val="18"/>
          <w:color w:val="A8A8A8"/>
          <w:spacing w:val="-2"/>
        </w:rPr>
        <w:t>新型储能助力能源转型</w:t>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left="342" w:right="2827"/>
        <w:spacing w:before="90" w:line="217"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继《通知》提出高耗能企业市场交易电价不受上浮20%限制后</w:t>
      </w:r>
      <w:r>
        <w:rPr>
          <w:rFonts w:ascii="Microsoft YaHei" w:hAnsi="Microsoft YaHei" w:eastAsia="Microsoft YaHei" w:cs="Microsoft YaHei"/>
          <w:sz w:val="21"/>
          <w:szCs w:val="21"/>
          <w:spacing w:val="-21"/>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目前已有江苏省、黑</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龙江省、山西省、江西省、湖北省、辽宁省、甘肃省等十几个省份陆续发布文件明确，</w:t>
      </w:r>
      <w:r>
        <w:rPr>
          <w:rFonts w:ascii="Microsoft YaHei" w:hAnsi="Microsoft YaHei" w:eastAsia="Microsoft YaHei" w:cs="Microsoft YaHei"/>
          <w:sz w:val="21"/>
          <w:szCs w:val="21"/>
          <w:spacing w:val="11"/>
        </w:rPr>
        <w:t xml:space="preserve"> </w:t>
      </w:r>
      <w:r>
        <w:rPr>
          <w:rFonts w:ascii="Microsoft YaHei" w:hAnsi="Microsoft YaHei" w:eastAsia="Microsoft YaHei" w:cs="Microsoft YaHei"/>
          <w:sz w:val="21"/>
          <w:szCs w:val="21"/>
          <w:spacing w:val="2"/>
        </w:rPr>
        <w:t>工商业用户全部进入电力市场，且高耗能企业购电价格</w:t>
      </w:r>
      <w:r>
        <w:rPr>
          <w:rFonts w:ascii="Microsoft YaHei" w:hAnsi="Microsoft YaHei" w:eastAsia="Microsoft YaHei" w:cs="Microsoft YaHei"/>
          <w:sz w:val="21"/>
          <w:szCs w:val="21"/>
          <w:spacing w:val="1"/>
        </w:rPr>
        <w:t>按1.5倍执行。高耗能企业用电</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成本的进一步提升也将进一步催生其储能需求。</w:t>
      </w:r>
    </w:p>
    <w:p>
      <w:pPr>
        <w:ind w:left="351"/>
        <w:spacing w:before="255" w:line="19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C0AE"/>
          <w:position w:val="-4"/>
        </w:rPr>
        <w:drawing>
          <wp:inline distT="0" distB="0" distL="0" distR="0">
            <wp:extent cx="50157" cy="148864"/>
            <wp:effectExtent l="0" t="0" r="0" b="0"/>
            <wp:docPr id="646" name="IM 646"/>
            <wp:cNvGraphicFramePr/>
            <a:graphic>
              <a:graphicData uri="http://schemas.openxmlformats.org/drawingml/2006/picture">
                <pic:pic>
                  <pic:nvPicPr>
                    <pic:cNvPr id="646" name="IM 646"/>
                    <pic:cNvPicPr/>
                  </pic:nvPicPr>
                  <pic:blipFill>
                    <a:blip r:embed="rId311"/>
                    <a:stretch>
                      <a:fillRect/>
                    </a:stretch>
                  </pic:blipFill>
                  <pic:spPr>
                    <a:xfrm rot="0">
                      <a:off x="0" y="0"/>
                      <a:ext cx="50157" cy="148864"/>
                    </a:xfrm>
                    <a:prstGeom prst="rect">
                      <a:avLst/>
                    </a:prstGeom>
                  </pic:spPr>
                </pic:pic>
              </a:graphicData>
            </a:graphic>
          </wp:inline>
        </w:drawing>
      </w:r>
      <w:r>
        <w:rPr>
          <w:rFonts w:ascii="Microsoft YaHei" w:hAnsi="Microsoft YaHei" w:eastAsia="Microsoft YaHei" w:cs="Microsoft YaHei"/>
          <w:sz w:val="21"/>
          <w:szCs w:val="21"/>
          <w:color w:val="00C0AE"/>
          <w:spacing w:val="29"/>
        </w:rPr>
        <w:t xml:space="preserve">  </w:t>
      </w:r>
      <w:r>
        <w:rPr>
          <w:rFonts w:ascii="Microsoft YaHei" w:hAnsi="Microsoft YaHei" w:eastAsia="Microsoft YaHei" w:cs="Microsoft YaHei"/>
          <w:sz w:val="21"/>
          <w:szCs w:val="21"/>
          <w:color w:val="00C0AE"/>
          <w:spacing w:val="-1"/>
        </w:rPr>
        <w:t>新能源消纳</w:t>
      </w:r>
    </w:p>
    <w:p>
      <w:pPr>
        <w:ind w:left="347" w:right="2829" w:hanging="4"/>
        <w:spacing w:before="105" w:line="217"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新能源具有周期性、</w:t>
      </w:r>
      <w:r>
        <w:rPr>
          <w:rFonts w:ascii="Microsoft YaHei" w:hAnsi="Microsoft YaHei" w:eastAsia="Microsoft YaHei" w:cs="Microsoft YaHei"/>
          <w:sz w:val="21"/>
          <w:szCs w:val="21"/>
          <w:spacing w:val="-22"/>
        </w:rPr>
        <w:t xml:space="preserve"> </w:t>
      </w:r>
      <w:r>
        <w:rPr>
          <w:rFonts w:ascii="Microsoft YaHei" w:hAnsi="Microsoft YaHei" w:eastAsia="Microsoft YaHei" w:cs="Microsoft YaHei"/>
          <w:sz w:val="21"/>
          <w:szCs w:val="21"/>
          <w:spacing w:val="1"/>
        </w:rPr>
        <w:t>随机性和波动性的特点</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，为了保障电网的稳定性</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spacing w:val="-37"/>
        </w:rPr>
        <w:t xml:space="preserve"> </w:t>
      </w:r>
      <w:r>
        <w:rPr>
          <w:rFonts w:ascii="Microsoft YaHei" w:hAnsi="Microsoft YaHei" w:eastAsia="Microsoft YaHei" w:cs="Microsoft YaHei"/>
          <w:sz w:val="21"/>
          <w:szCs w:val="21"/>
          <w:spacing w:val="1"/>
        </w:rPr>
        <w:t>当新能源所发</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电能超出负荷消耗能力的时段就要放弃多余电</w:t>
      </w:r>
      <w:r>
        <w:rPr>
          <w:rFonts w:ascii="Microsoft YaHei" w:hAnsi="Microsoft YaHei" w:eastAsia="Microsoft YaHei" w:cs="Microsoft YaHei"/>
          <w:sz w:val="21"/>
          <w:szCs w:val="21"/>
          <w:spacing w:val="2"/>
        </w:rPr>
        <w:t>能；</w:t>
      </w:r>
      <w:r>
        <w:rPr>
          <w:rFonts w:ascii="Microsoft YaHei" w:hAnsi="Microsoft YaHei" w:eastAsia="Microsoft YaHei" w:cs="Microsoft YaHei"/>
          <w:sz w:val="21"/>
          <w:szCs w:val="21"/>
          <w:spacing w:val="-30"/>
        </w:rPr>
        <w:t xml:space="preserve"> </w:t>
      </w:r>
      <w:r>
        <w:rPr>
          <w:rFonts w:ascii="Microsoft YaHei" w:hAnsi="Microsoft YaHei" w:eastAsia="Microsoft YaHei" w:cs="Microsoft YaHei"/>
          <w:sz w:val="21"/>
          <w:szCs w:val="21"/>
          <w:spacing w:val="2"/>
        </w:rPr>
        <w:t>而在新能源输出不足的时候</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，工商</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业用户又得向电网购电</w:t>
      </w:r>
      <w:r>
        <w:rPr>
          <w:rFonts w:ascii="Microsoft YaHei" w:hAnsi="Microsoft YaHei" w:eastAsia="Microsoft YaHei" w:cs="Microsoft YaHei"/>
          <w:sz w:val="21"/>
          <w:szCs w:val="21"/>
          <w:spacing w:val="-21"/>
        </w:rPr>
        <w:t xml:space="preserve"> </w:t>
      </w:r>
      <w:r>
        <w:rPr>
          <w:rFonts w:ascii="Microsoft YaHei" w:hAnsi="Microsoft YaHei" w:eastAsia="Microsoft YaHei" w:cs="Microsoft YaHei"/>
          <w:sz w:val="21"/>
          <w:szCs w:val="21"/>
          <w:spacing w:val="2"/>
        </w:rPr>
        <w:t>，导致工商业用户在已配置光伏情况下仍需负担较高用电成本。</w:t>
      </w:r>
    </w:p>
    <w:p>
      <w:pPr>
        <w:ind w:left="344" w:right="3008" w:firstLine="1"/>
        <w:spacing w:before="266" w:line="21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光伏+储能可以在新能源输出波峰将暂时无法消纳的电能储存起来，并在新</w:t>
      </w:r>
      <w:r>
        <w:rPr>
          <w:rFonts w:ascii="Microsoft YaHei" w:hAnsi="Microsoft YaHei" w:eastAsia="Microsoft YaHei" w:cs="Microsoft YaHei"/>
          <w:sz w:val="21"/>
          <w:szCs w:val="21"/>
          <w:spacing w:val="-1"/>
        </w:rPr>
        <w:t>能源输出不</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足时释放，实现对新能源电能的“削峰填谷”，整</w:t>
      </w:r>
      <w:r>
        <w:rPr>
          <w:rFonts w:ascii="Microsoft YaHei" w:hAnsi="Microsoft YaHei" w:eastAsia="Microsoft YaHei" w:cs="Microsoft YaHei"/>
          <w:sz w:val="21"/>
          <w:szCs w:val="21"/>
          <w:spacing w:val="-1"/>
        </w:rPr>
        <w:t>体上降低企业用电成本。</w:t>
      </w:r>
    </w:p>
    <w:p>
      <w:pPr>
        <w:ind w:left="351"/>
        <w:spacing w:before="232" w:line="19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C0AE"/>
          <w:position w:val="-4"/>
        </w:rPr>
        <w:drawing>
          <wp:inline distT="0" distB="0" distL="0" distR="0">
            <wp:extent cx="50157" cy="148864"/>
            <wp:effectExtent l="0" t="0" r="0" b="0"/>
            <wp:docPr id="648" name="IM 648"/>
            <wp:cNvGraphicFramePr/>
            <a:graphic>
              <a:graphicData uri="http://schemas.openxmlformats.org/drawingml/2006/picture">
                <pic:pic>
                  <pic:nvPicPr>
                    <pic:cNvPr id="648" name="IM 648"/>
                    <pic:cNvPicPr/>
                  </pic:nvPicPr>
                  <pic:blipFill>
                    <a:blip r:embed="rId312"/>
                    <a:stretch>
                      <a:fillRect/>
                    </a:stretch>
                  </pic:blipFill>
                  <pic:spPr>
                    <a:xfrm rot="0">
                      <a:off x="0" y="0"/>
                      <a:ext cx="50157" cy="148864"/>
                    </a:xfrm>
                    <a:prstGeom prst="rect">
                      <a:avLst/>
                    </a:prstGeom>
                  </pic:spPr>
                </pic:pic>
              </a:graphicData>
            </a:graphic>
          </wp:inline>
        </w:drawing>
      </w:r>
      <w:r>
        <w:rPr>
          <w:rFonts w:ascii="Microsoft YaHei" w:hAnsi="Microsoft YaHei" w:eastAsia="Microsoft YaHei" w:cs="Microsoft YaHei"/>
          <w:sz w:val="21"/>
          <w:szCs w:val="21"/>
          <w:color w:val="00C0AE"/>
          <w:spacing w:val="28"/>
        </w:rPr>
        <w:t xml:space="preserve">  </w:t>
      </w:r>
      <w:r>
        <w:rPr>
          <w:rFonts w:ascii="Microsoft YaHei" w:hAnsi="Microsoft YaHei" w:eastAsia="Microsoft YaHei" w:cs="Microsoft YaHei"/>
          <w:sz w:val="21"/>
          <w:szCs w:val="21"/>
          <w:color w:val="00C0AE"/>
          <w:spacing w:val="-1"/>
        </w:rPr>
        <w:t>容量管理</w:t>
      </w:r>
    </w:p>
    <w:p>
      <w:pPr>
        <w:ind w:left="343" w:right="2996" w:firstLine="11"/>
        <w:spacing w:before="107" w:line="216"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rPr>
        <w:t>中国电价体系针对不同的用电主体执行不同的电</w:t>
      </w:r>
      <w:r>
        <w:rPr>
          <w:rFonts w:ascii="Microsoft YaHei" w:hAnsi="Microsoft YaHei" w:eastAsia="Microsoft YaHei" w:cs="Microsoft YaHei"/>
          <w:sz w:val="21"/>
          <w:szCs w:val="21"/>
          <w:spacing w:val="-1"/>
        </w:rPr>
        <w:t>价。其中，受电变压器容量在315千伏</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安及以上的大工业用电采用两部制电价</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4"/>
        </w:rPr>
        <w:t>，其他</w:t>
      </w:r>
      <w:r>
        <w:rPr>
          <w:rFonts w:ascii="Microsoft YaHei" w:hAnsi="Microsoft YaHei" w:eastAsia="Microsoft YaHei" w:cs="Microsoft YaHei"/>
          <w:sz w:val="21"/>
          <w:szCs w:val="21"/>
          <w:spacing w:val="3"/>
        </w:rPr>
        <w:t>工商业用户可以选择执行单一制或两部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8"/>
        </w:rPr>
        <w:t>制电价。</w:t>
      </w:r>
    </w:p>
    <w:p>
      <w:pPr>
        <w:ind w:left="342" w:right="2996" w:firstLine="5"/>
        <w:spacing w:before="272" w:line="216"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两部制电价包含电量电价和容量电价</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36"/>
        </w:rPr>
        <w:t xml:space="preserve"> </w:t>
      </w:r>
      <w:r>
        <w:rPr>
          <w:rFonts w:ascii="Microsoft YaHei" w:hAnsi="Microsoft YaHei" w:eastAsia="Microsoft YaHei" w:cs="Microsoft YaHei"/>
          <w:sz w:val="21"/>
          <w:szCs w:val="21"/>
          <w:spacing w:val="2"/>
        </w:rPr>
        <w:t>电量电价根据用户的实际用电量计算</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2"/>
        </w:rPr>
        <w:t>，容</w:t>
      </w:r>
      <w:r>
        <w:rPr>
          <w:rFonts w:ascii="Microsoft YaHei" w:hAnsi="Microsoft YaHei" w:eastAsia="Microsoft YaHei" w:cs="Microsoft YaHei"/>
          <w:sz w:val="21"/>
          <w:szCs w:val="21"/>
          <w:spacing w:val="1"/>
        </w:rPr>
        <w:t>量电</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价可以选择按照变压器固定容量计算或者按照变压器最大需量计算。两种电费分别计</w:t>
      </w:r>
      <w:r>
        <w:rPr>
          <w:rFonts w:ascii="Microsoft YaHei" w:hAnsi="Microsoft YaHei" w:eastAsia="Microsoft YaHei" w:cs="Microsoft YaHei"/>
          <w:sz w:val="21"/>
          <w:szCs w:val="21"/>
          <w:spacing w:val="18"/>
        </w:rPr>
        <w:t xml:space="preserve"> </w:t>
      </w:r>
      <w:r>
        <w:rPr>
          <w:rFonts w:ascii="Microsoft YaHei" w:hAnsi="Microsoft YaHei" w:eastAsia="Microsoft YaHei" w:cs="Microsoft YaHei"/>
          <w:sz w:val="21"/>
          <w:szCs w:val="21"/>
          <w:spacing w:val="-2"/>
        </w:rPr>
        <w:t>算后相加，即为用户所应付的全部电费（图</w:t>
      </w:r>
      <w:r>
        <w:rPr>
          <w:rFonts w:ascii="Microsoft YaHei" w:hAnsi="Microsoft YaHei" w:eastAsia="Microsoft YaHei" w:cs="Microsoft YaHei"/>
          <w:sz w:val="21"/>
          <w:szCs w:val="21"/>
          <w:spacing w:val="-9"/>
        </w:rPr>
        <w:t xml:space="preserve"> </w:t>
      </w:r>
      <w:r>
        <w:rPr>
          <w:rFonts w:ascii="Microsoft YaHei" w:hAnsi="Microsoft YaHei" w:eastAsia="Microsoft YaHei" w:cs="Microsoft YaHei"/>
          <w:sz w:val="21"/>
          <w:szCs w:val="21"/>
          <w:spacing w:val="-2"/>
        </w:rPr>
        <w:t>24）。</w:t>
      </w:r>
    </w:p>
    <w:p>
      <w:pPr>
        <w:pStyle w:val="BodyText"/>
        <w:spacing w:line="255" w:lineRule="auto"/>
        <w:rPr/>
      </w:pPr>
      <w:r/>
    </w:p>
    <w:p>
      <w:pPr>
        <w:ind w:firstLine="332"/>
        <w:spacing w:line="586" w:lineRule="exact"/>
        <w:rPr/>
      </w:pPr>
      <w:r>
        <w:rPr>
          <w:position w:val="-11"/>
        </w:rPr>
        <w:pict>
          <v:group id="_x0000_s1280" style="mso-position-vertical-relative:line;mso-position-horizontal-relative:char;width:482.2pt;height:29.3pt;" filled="false" stroked="false" coordsize="9644,585" coordorigin="0,0">
            <v:group id="_x0000_s1282" style="position:absolute;left:0;top:0;width:9644;height:585;" filled="false" stroked="false" coordsize="9644,585" coordorigin="0,0">
              <v:shape id="_x0000_s1284" style="position:absolute;left:0;top:66;width:9644;height:519;" fillcolor="#F1F1F1" filled="true" stroked="false" coordsize="9644,519" coordorigin="0,0" path="m,l9643,0l9643,518l0,518l0,0xe"/>
              <v:shape id="_x0000_s1286" style="position:absolute;left:2;top:0;width:610;height:100;" filled="false" strokecolor="#00C0AE" strokeweight="5.00pt" coordsize="610,100" coordorigin="0,0" path="m0,50l610,50e">
                <v:stroke joinstyle="miter"/>
              </v:shape>
            </v:group>
            <v:shape id="_x0000_s1288" style="position:absolute;left:-20;top:-20;width:9684;height:625;" filled="false" stroked="false" type="#_x0000_t202">
              <v:fill on="false"/>
              <v:stroke on="false"/>
              <v:path/>
              <v:imagedata o:title=""/>
              <o:lock v:ext="edit" aspectratio="false"/>
              <v:textbox inset="0mm,0mm,0mm,0mm">
                <w:txbxContent>
                  <w:p>
                    <w:pPr>
                      <w:ind w:left="180"/>
                      <w:spacing w:before="207" w:line="21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C0AE"/>
                        <w:spacing w:val="-3"/>
                      </w:rPr>
                      <w:t>图 24 </w:t>
                    </w:r>
                    <w:r>
                      <w:rPr>
                        <w:sz w:val="21"/>
                        <w:szCs w:val="21"/>
                        <w:position w:val="-5"/>
                      </w:rPr>
                      <w:drawing>
                        <wp:inline distT="0" distB="0" distL="0" distR="0">
                          <wp:extent cx="12700" cy="175666"/>
                          <wp:effectExtent l="0" t="0" r="0" b="0"/>
                          <wp:docPr id="650" name="IM 650"/>
                          <wp:cNvGraphicFramePr/>
                          <a:graphic>
                            <a:graphicData uri="http://schemas.openxmlformats.org/drawingml/2006/picture">
                              <pic:pic>
                                <pic:nvPicPr>
                                  <pic:cNvPr id="650" name="IM 650"/>
                                  <pic:cNvPicPr/>
                                </pic:nvPicPr>
                                <pic:blipFill>
                                  <a:blip r:embed="rId313"/>
                                  <a:stretch>
                                    <a:fillRect/>
                                  </a:stretch>
                                </pic:blipFill>
                                <pic:spPr>
                                  <a:xfrm rot="0">
                                    <a:off x="0" y="0"/>
                                    <a:ext cx="12700" cy="175666"/>
                                  </a:xfrm>
                                  <a:prstGeom prst="rect">
                                    <a:avLst/>
                                  </a:prstGeom>
                                </pic:spPr>
                              </pic:pic>
                            </a:graphicData>
                          </a:graphic>
                        </wp:inline>
                      </w:drawing>
                    </w:r>
                    <w:r>
                      <w:rPr>
                        <w:rFonts w:ascii="Microsoft YaHei" w:hAnsi="Microsoft YaHei" w:eastAsia="Microsoft YaHei" w:cs="Microsoft YaHei"/>
                        <w:sz w:val="21"/>
                        <w:szCs w:val="21"/>
                        <w:b/>
                        <w:bCs/>
                        <w:color w:val="00C0AE"/>
                        <w:spacing w:val="28"/>
                        <w:w w:val="101"/>
                      </w:rPr>
                      <w:t xml:space="preserve">  </w:t>
                    </w:r>
                    <w:r>
                      <w:rPr>
                        <w:rFonts w:ascii="Microsoft YaHei" w:hAnsi="Microsoft YaHei" w:eastAsia="Microsoft YaHei" w:cs="Microsoft YaHei"/>
                        <w:sz w:val="21"/>
                        <w:szCs w:val="21"/>
                        <w:b/>
                        <w:bCs/>
                        <w:color w:val="00C0AE"/>
                        <w:spacing w:val="-3"/>
                      </w:rPr>
                      <w:t>两部制电价构成</w:t>
                    </w:r>
                  </w:p>
                </w:txbxContent>
              </v:textbox>
            </v:shape>
          </v:group>
        </w:pict>
      </w:r>
    </w:p>
    <w:p>
      <w:pPr>
        <w:pStyle w:val="BodyText"/>
        <w:spacing w:line="374" w:lineRule="auto"/>
        <w:rPr/>
      </w:pPr>
      <w:r/>
    </w:p>
    <w:p>
      <w:pPr>
        <w:ind w:left="8270"/>
        <w:spacing w:before="90" w:line="177" w:lineRule="auto"/>
        <w:rPr>
          <w:rFonts w:ascii="Microsoft YaHei" w:hAnsi="Microsoft YaHei" w:eastAsia="Microsoft YaHei" w:cs="Microsoft YaHei"/>
          <w:sz w:val="21"/>
          <w:szCs w:val="21"/>
        </w:rPr>
      </w:pPr>
      <w:r>
        <w:pict>
          <v:shape id="_x0000_s1290" style="position:absolute;margin-left:397.503pt;margin-top:10.219pt;mso-position-vertical-relative:text;mso-position-horizontal-relative:text;width:10.85pt;height:66.5pt;z-index:253381632;" filled="false" strokecolor="#A8A8A8" strokeweight="0.50pt" coordsize="217,1330" coordorigin="0,0" path="m211,1325c154,1325,108,1244,108,1145l108,849c108,750,62,669,5,669c62,669,108,589,108,490l108,184c108,85,154,5,211,5e">
            <v:stroke joinstyle="miter"/>
          </v:shape>
        </w:pict>
      </w:r>
      <w:r>
        <w:rPr>
          <w:rFonts w:ascii="Microsoft YaHei" w:hAnsi="Microsoft YaHei" w:eastAsia="Microsoft YaHei" w:cs="Microsoft YaHei"/>
          <w:sz w:val="21"/>
          <w:szCs w:val="21"/>
          <w:color w:val="00C0AE"/>
        </w:rPr>
        <w:t>按变压器容量计费</w:t>
      </w:r>
    </w:p>
    <w:p>
      <w:pPr>
        <w:pStyle w:val="BodyText"/>
        <w:spacing w:line="304" w:lineRule="auto"/>
        <w:rPr/>
      </w:pPr>
      <w:r>
        <w:pict>
          <v:shape id="_x0000_s1292" style="position:absolute;margin-left:253.264pt;margin-top:11.3831pt;mso-position-vertical-relative:text;mso-position-horizontal-relative:text;width:44.4pt;height:28.35pt;z-index:253380608;" fillcolor="#FFFFFF" filled="true" stroked="false" coordsize="888,567" coordorigin="0,0" path="m383,110l161,110c145,110,133,123,133,138l133,179c133,194,146,207,161,207l383,207c398,207,410,194,410,179l410,138c410,123,398,110,383,110m381,177l162,177l162,140l381,140l381,177xm161,96l383,96c398,96,410,83,410,68l410,27c410,12,398,0,383,0l161,0c145,0,133,12,133,27l133,68c133,83,146,96,161,96m162,29l381,29l381,66l162,66l162,29xm503,207l725,207c740,207,752,194,752,179l752,139c752,123,740,111,725,111l503,111c487,111,475,124,475,139l475,179c475,195,488,207,503,207m504,140l723,140l723,178l504,178l504,140xm503,96l725,96c740,96,752,83,752,68l752,27c752,12,740,0,725,0l503,0c487,0,475,12,475,27l475,68c475,83,488,96,503,96m504,29l723,29l723,66l504,66l504,29xm741,382l670,382l670,319l725,319c740,319,752,306,752,291l752,250c752,235,740,223,725,223l503,223c487,223,475,235,475,250l475,291c475,307,488,319,503,319l557,319l557,382l329,382l329,319l383,319c399,319,411,306,411,291l411,250c411,235,398,223,383,223l161,223c146,223,133,235,133,250l133,291c133,307,146,319,161,319l216,319l216,382l139,382c120,382,105,397,105,416l105,532c105,551,121,566,139,566l742,566c761,566,776,550,776,532l776,416c776,397,761,382,742,382l741,382xm504,251l723,251l723,289l504,289l504,251xm641,382l587,382l587,319l641,319l641,382xm162,251l381,251l381,289l162,289l162,251xm299,382l245,382l245,319l299,319l299,382xm745,533c745,533,744,537,741,537l138,537c138,537,133,535,133,533l133,416c133,416,135,412,138,412l741,412c741,412,745,414,745,416l745,533xm19,85l119,85c139,85,139,115,119,115l19,115c0,115,0,85,19,85m119,233l19,233c0,233,0,203,19,203l119,203c139,203,139,233,119,233m767,85l868,85c887,85,887,115,868,115l767,115c748,115,748,85,767,85m868,233l767,233c748,233,748,203,767,203l868,203c887,203,887,233,868,233e"/>
        </w:pict>
      </w:r>
      <w:r>
        <w:pict>
          <v:shape id="_x0000_s1294" style="position:absolute;margin-left:211.263pt;margin-top:14.983pt;mso-position-vertical-relative:text;mso-position-horizontal-relative:text;width:19.95pt;height:122.2pt;z-index:253377536;" filled="false" strokecolor="#A8A8A8" strokeweight="0.50pt" coordsize="399,2443" coordorigin="0,0" path="m393,2438c286,2438,199,2287,199,2101l199,1568c199,1381,112,1230,5,1230c112,1230,199,1079,199,893l199,342c199,156,286,5,393,5e">
            <v:stroke joinstyle="miter"/>
          </v:shape>
        </w:pict>
      </w:r>
      <w:r/>
    </w:p>
    <w:p>
      <w:pPr>
        <w:ind w:left="6269"/>
        <w:spacing w:before="91" w:line="181" w:lineRule="auto"/>
        <w:rPr>
          <w:rFonts w:ascii="Microsoft YaHei" w:hAnsi="Microsoft YaHei" w:eastAsia="Microsoft YaHei" w:cs="Microsoft YaHei"/>
          <w:sz w:val="21"/>
          <w:szCs w:val="21"/>
        </w:rPr>
      </w:pPr>
      <w:r>
        <mc:AlternateContent xmlns:mc="http://schemas.openxmlformats.org/markup-compatibility/2006">
          <mc:Choice Requires="wps">
            <w:drawing>
              <wp:anchor distT="0" distB="0" distL="0" distR="0" simplePos="0" relativeHeight="253374464" behindDoc="1" locked="0" layoutInCell="1" allowOverlap="1">
                <wp:simplePos x="0" y="0"/>
                <wp:positionH relativeFrom="column">
                  <wp:posOffset>3036605</wp:posOffset>
                </wp:positionH>
                <wp:positionV relativeFrom="paragraph">
                  <wp:posOffset>-156343</wp:posOffset>
                </wp:positionV>
                <wp:extent cx="1935479" cy="573405"/>
                <wp:effectExtent l="0" t="0" r="0" b="0"/>
                <wp:wrapNone/>
                <wp:docPr id="652" name="Rect 652"/>
                <wp:cNvGraphicFramePr/>
                <a:graphic>
                  <a:graphicData uri="http://schemas.microsoft.com/office/word/2010/wordprocessingShape">
                    <wps:wsp>
                      <wps:cNvPr id="652" name="Rect 652"/>
                      <wps:cNvSpPr/>
                      <wps:spPr>
                        <a:xfrm>
                          <a:off x="3036605" y="-156343"/>
                          <a:ext cx="1935479" cy="573405"/>
                        </a:xfrm>
                        <a:prstGeom prst="rect">
                          <a:avLst/>
                        </a:prstGeom>
                        <a:solidFill>
                          <a:srgbClr val="00C0AE"/>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296" style="position:absolute;margin-left:239.103pt;margin-top:-12.3105pt;mso-position-vertical-relative:text;mso-position-horizontal-relative:text;width:152.4pt;height:45.15pt;z-index:-249942016;" fillcolor="#00C0AE" filled="true" stroked="false"/>
            </w:pict>
          </mc:Fallback>
        </mc:AlternateContent>
      </w:r>
      <w:r>
        <w:rPr>
          <w:rFonts w:ascii="Microsoft YaHei" w:hAnsi="Microsoft YaHei" w:eastAsia="Microsoft YaHei" w:cs="Microsoft YaHei"/>
          <w:sz w:val="21"/>
          <w:szCs w:val="21"/>
          <w:b/>
          <w:bCs/>
          <w:color w:val="FFFFFF"/>
          <w:spacing w:val="-1"/>
        </w:rPr>
        <w:t>容量电价</w:t>
      </w:r>
    </w:p>
    <w:p>
      <w:pPr>
        <w:pStyle w:val="BodyText"/>
        <w:spacing w:line="248" w:lineRule="auto"/>
        <w:rPr/>
      </w:pPr>
      <w:r/>
    </w:p>
    <w:p>
      <w:pPr>
        <w:ind w:left="8270"/>
        <w:spacing w:before="91" w:line="176" w:lineRule="auto"/>
        <w:rPr>
          <w:rFonts w:ascii="Microsoft YaHei" w:hAnsi="Microsoft YaHei" w:eastAsia="Microsoft YaHei" w:cs="Microsoft YaHei"/>
          <w:sz w:val="21"/>
          <w:szCs w:val="21"/>
        </w:rPr>
      </w:pPr>
      <w:r>
        <w:pict>
          <v:shape id="_x0000_s1298" style="position:absolute;margin-left:38.4629pt;margin-top:10.2484pt;mso-position-vertical-relative:text;mso-position-horizontal-relative:text;width:45.4pt;height:38.55pt;z-index:253378560;" fillcolor="#FFFFFF" filled="true" stroked="false" coordsize="908,770" coordorigin="0,0" path="m182,770l57,770c49,770,43,763,43,755l43,558c43,550,49,544,57,544l182,544c190,544,196,550,196,558l196,755c196,763,190,770,182,770m71,741l168,741l168,573l71,573l71,741xem403,770l278,770c270,770,263,763,263,755l263,448c263,440,270,434,278,434l403,434c411,434,417,440,417,448l417,755c417,763,411,770,403,770m292,741l388,741l388,462l292,462l292,741xem628,770l503,770c496,770,489,763,489,755l489,558c489,550,495,544,503,544l628,544c636,544,643,550,643,558l643,755c643,763,636,770,628,770m518,741l614,741l614,573l518,573l518,741xem849,770m849,770l724,770c716,770,710,763,710,755l710,337c710,330,716,323,724,323l849,323c857,323,863,329,863,337l863,755c863,763,857,770,849,770m739,741m739,741l835,741l835,352l739,352l739,741xem590,405m590,405c587,405,585,404,582,403c576,399,573,390,578,383l803,8c807,2,816,0,823,4c830,8,832,16,828,23l602,398c599,402,595,405,590,405em528,419c525,419,522,418,520,417l371,320c364,315,362,307,367,300c371,294,380,292,387,297l536,394c542,398,544,407,539,413c537,417,532,419,528,419em158,438c154,438,149,437,147,433c142,427,143,418,149,413l293,293c299,288,308,289,313,295c318,301,317,310,311,315l167,435c164,437,161,438,158,438em839,117c833,117,827,113,826,106l805,32l728,52c720,54,712,50,710,43c708,35,713,28,721,26l811,2c815,1,819,2,822,3c826,5,828,8,829,12l853,99c855,107,851,114,843,116c842,117,841,117,839,117em892,770l14,770c6,770,0,763,0,755c0,747,6,741,14,741l892,741c900,741,907,747,907,755c907,763,900,770,892,770em119,506c88,506,62,480,62,448c62,416,88,390,119,390c151,390,177,416,177,448c177,480,151,506,119,506m119,419c103,419,90,432,90,448c90,464,104,477,119,477c136,477,149,464,149,448c149,432,136,419,119,419em340,338c309,338,283,312,283,280c283,248,309,222,340,222c372,222,398,248,398,280c398,312,372,338,340,338m340,251c324,251,311,264,311,280c311,296,324,309,340,309c356,309,369,296,369,280c369,264,356,251,340,251em566,491c534,491,508,465,508,434c508,402,534,376,566,376c598,376,623,402,623,434c623,465,598,491,566,491m566,405c550,405,537,418,537,434c537,450,550,463,566,463c582,463,595,450,595,434c595,418,582,405,566,405e"/>
        </w:pict>
      </w:r>
      <w:r>
        <w:rPr>
          <w:rFonts w:ascii="Microsoft YaHei" w:hAnsi="Microsoft YaHei" w:eastAsia="Microsoft YaHei" w:cs="Microsoft YaHei"/>
          <w:sz w:val="21"/>
          <w:szCs w:val="21"/>
          <w:color w:val="00C0AE"/>
        </w:rPr>
        <w:t>按最大需量计费</w:t>
      </w:r>
    </w:p>
    <w:p>
      <w:pPr>
        <w:ind w:left="2235"/>
        <w:spacing w:before="145" w:line="180" w:lineRule="auto"/>
        <w:rPr>
          <w:rFonts w:ascii="Microsoft YaHei" w:hAnsi="Microsoft YaHei" w:eastAsia="Microsoft YaHei" w:cs="Microsoft YaHei"/>
          <w:sz w:val="24"/>
          <w:szCs w:val="24"/>
        </w:rPr>
      </w:pPr>
      <w:r>
        <mc:AlternateContent xmlns:mc="http://schemas.openxmlformats.org/markup-compatibility/2006">
          <mc:Choice Requires="wps">
            <w:drawing>
              <wp:anchor distT="0" distB="0" distL="0" distR="0" simplePos="0" relativeHeight="253375488" behindDoc="1" locked="0" layoutInCell="1" allowOverlap="1">
                <wp:simplePos x="0" y="0"/>
                <wp:positionH relativeFrom="column">
                  <wp:posOffset>211109</wp:posOffset>
                </wp:positionH>
                <wp:positionV relativeFrom="paragraph">
                  <wp:posOffset>-279836</wp:posOffset>
                </wp:positionV>
                <wp:extent cx="2359660" cy="905510"/>
                <wp:effectExtent l="0" t="0" r="0" b="0"/>
                <wp:wrapNone/>
                <wp:docPr id="654" name="Rect 654"/>
                <wp:cNvGraphicFramePr/>
                <a:graphic>
                  <a:graphicData uri="http://schemas.microsoft.com/office/word/2010/wordprocessingShape">
                    <wps:wsp>
                      <wps:cNvPr id="654" name="Rect 654"/>
                      <wps:cNvSpPr/>
                      <wps:spPr>
                        <a:xfrm>
                          <a:off x="211109" y="-279836"/>
                          <a:ext cx="2359660" cy="905510"/>
                        </a:xfrm>
                        <a:prstGeom prst="rect">
                          <a:avLst/>
                        </a:prstGeom>
                        <a:solidFill>
                          <a:srgbClr val="00338D"/>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300" style="position:absolute;margin-left:16.6228pt;margin-top:-22.0344pt;mso-position-vertical-relative:text;mso-position-horizontal-relative:text;width:185.8pt;height:71.3pt;z-index:-249940992;" fillcolor="#00338D" filled="true" stroked="false"/>
            </w:pict>
          </mc:Fallback>
        </mc:AlternateContent>
      </w:r>
      <w:r>
        <w:rPr>
          <w:rFonts w:ascii="Microsoft YaHei" w:hAnsi="Microsoft YaHei" w:eastAsia="Microsoft YaHei" w:cs="Microsoft YaHei"/>
          <w:sz w:val="24"/>
          <w:szCs w:val="24"/>
          <w:b/>
          <w:bCs/>
          <w:color w:val="FFFFFF"/>
          <w:spacing w:val="-3"/>
        </w:rPr>
        <w:t>两部制电价</w:t>
      </w:r>
    </w:p>
    <w:p>
      <w:pPr>
        <w:pStyle w:val="BodyText"/>
        <w:spacing w:line="304" w:lineRule="auto"/>
        <w:rPr/>
      </w:pPr>
      <w:r/>
    </w:p>
    <w:p>
      <w:pPr>
        <w:pStyle w:val="BodyText"/>
        <w:spacing w:line="304" w:lineRule="auto"/>
        <w:rPr/>
      </w:pPr>
      <w:r>
        <w:pict>
          <v:rect id="_x0000_s1302" style="position:absolute;margin-left:239.103pt;margin-top:2.64485pt;mso-position-vertical-relative:text;mso-position-horizontal-relative:text;width:152.4pt;height:43pt;z-index:253376512;" fillcolor="#00B8F5" filled="true" stroked="false"/>
        </w:pict>
      </w:r>
      <w:r>
        <w:pict>
          <v:shape id="_x0000_s1304" style="position:absolute;margin-left:255.063pt;margin-top:9.00465pt;mso-position-vertical-relative:text;mso-position-horizontal-relative:text;width:41.8pt;height:31.25pt;z-index:253379584;" filled="false" strokecolor="#FFFFFF" strokeweight="0.75pt" coordsize="835,625" coordorigin="0,0" path="m322,617l286,617l390,363l199,363l458,7l496,7l383,261l573,261l322,617xm500,113l746,113c757,113,765,122,765,133l765,496c765,507,757,516,746,516l458,516m324,113l27,113c16,113,7,122,7,133l7,496c7,507,16,516,27,516l275,516m765,223l823,223c826,223,828,225,828,228l828,401c828,403,826,405,823,405l765,405l765,223xm148,180c150,180,151,181,151,182l151,441c151,443,150,444,148,444l67,444c66,444,65,443,65,441l65,182c65,181,66,180,67,180l148,180xm209,405l209,440c209,442,210,444,213,444l296,444c298,444,300,442,300,440l300,405m276,180l212,180c210,180,209,181,209,184l209,266m569,353l569,440c569,442,567,444,564,444l497,444m477,223l477,184c477,181,479,180,481,180l565,180c567,180,569,181,569,184l569,223m710,180c711,180,713,181,713,182l713,441c713,443,711,444,710,444l629,444c627,444,626,443,626,441l626,182c626,181,627,180,629,180l710,180xm338,55l367,55m429,569l458,569e">
            <v:stroke joinstyle="miter"/>
          </v:shape>
        </w:pict>
      </w:r>
      <w:r/>
    </w:p>
    <w:p>
      <w:pPr>
        <w:ind w:left="8330"/>
        <w:spacing w:before="91" w:line="176" w:lineRule="auto"/>
        <w:rPr>
          <w:rFonts w:ascii="Microsoft YaHei" w:hAnsi="Microsoft YaHei" w:eastAsia="Microsoft YaHei" w:cs="Microsoft YaHei"/>
          <w:sz w:val="21"/>
          <w:szCs w:val="21"/>
        </w:rPr>
      </w:pPr>
      <w:r>
        <w:pict>
          <v:shape id="_x0000_s1306" style="position:absolute;margin-left:394.393pt;margin-top:10.1509pt;mso-position-vertical-relative:text;mso-position-horizontal-relative:text;width:17.4pt;height:0.5pt;z-index:253384704;" filled="false" strokecolor="#BFBFBF" strokeweight="0.50pt" coordsize="347,10" coordorigin="0,0" path="m0,5l347,5e">
            <v:stroke joinstyle="miter"/>
          </v:shape>
        </w:pict>
      </w:r>
      <w:r>
        <w:pict>
          <v:shape id="_x0000_s1308" style="position:absolute;margin-left:311.991pt;margin-top:2.25092pt;mso-position-vertical-relative:text;mso-position-horizontal-relative:text;width:43.05pt;height:15.55pt;z-index:253382656;" filled="false" stroked="false" type="#_x0000_t202">
            <v:fill on="false"/>
            <v:stroke on="false"/>
            <v:path/>
            <v:imagedata o:title=""/>
            <o:lock v:ext="edit" aspectratio="false"/>
            <v:textbox inset="0mm,0mm,0mm,0mm">
              <w:txbxContent>
                <w:p>
                  <w:pPr>
                    <w:ind w:left="20"/>
                    <w:spacing w:before="2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FFFFFF"/>
                      <w:spacing w:val="-4"/>
                    </w:rPr>
                    <w:t>电量电价</w:t>
                  </w:r>
                </w:p>
              </w:txbxContent>
            </v:textbox>
          </v:shape>
        </w:pict>
      </w:r>
      <w:r>
        <w:rPr>
          <w:rFonts w:ascii="Microsoft YaHei" w:hAnsi="Microsoft YaHei" w:eastAsia="Microsoft YaHei" w:cs="Microsoft YaHei"/>
          <w:sz w:val="21"/>
          <w:szCs w:val="21"/>
          <w:color w:val="00B8F5"/>
        </w:rPr>
        <w:t>按实际用电量计费</w:t>
      </w:r>
    </w:p>
    <w:p>
      <w:pPr>
        <w:pStyle w:val="BodyText"/>
        <w:spacing w:line="306" w:lineRule="auto"/>
        <w:rPr/>
      </w:pPr>
      <w:r/>
    </w:p>
    <w:p>
      <w:pPr>
        <w:pStyle w:val="BodyText"/>
        <w:spacing w:line="306" w:lineRule="auto"/>
        <w:rPr/>
      </w:pPr>
      <w:r/>
    </w:p>
    <w:p>
      <w:pPr>
        <w:pStyle w:val="BodyText"/>
        <w:spacing w:line="307" w:lineRule="auto"/>
        <w:rPr/>
      </w:pPr>
      <w:r/>
    </w:p>
    <w:p>
      <w:pPr>
        <w:ind w:left="344"/>
        <w:spacing w:before="64" w:line="186"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7"/>
        </w:rPr>
        <w:t>资料来源：公开资料，毕马威分析</w:t>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5" w:lineRule="auto"/>
        <w:rPr/>
      </w:pPr>
      <w:r/>
    </w:p>
    <w:p>
      <w:pPr>
        <w:ind w:left="837" w:right="1241" w:hanging="411"/>
        <w:spacing w:before="48"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968" w:header="0" w:footer="0" w:gutter="0"/>
        </w:sectPr>
        <w:rPr>
          <w:rFonts w:ascii="Microsoft YaHei" w:hAnsi="Microsoft YaHei" w:eastAsia="Microsoft YaHei" w:cs="Microsoft YaHei"/>
          <w:sz w:val="11"/>
          <w:szCs w:val="11"/>
        </w:rPr>
      </w:pPr>
    </w:p>
    <w:p>
      <w:pPr>
        <w:ind w:left="8975"/>
        <w:spacing w:before="314" w:line="193" w:lineRule="auto"/>
        <w:rPr>
          <w:rFonts w:ascii="Microsoft YaHei" w:hAnsi="Microsoft YaHei" w:eastAsia="Microsoft YaHei" w:cs="Microsoft YaHei"/>
          <w:sz w:val="18"/>
          <w:szCs w:val="18"/>
        </w:rPr>
      </w:pPr>
      <w:r>
        <mc:AlternateContent xmlns:mc="http://schemas.openxmlformats.org/markup-compatibility/2006">
          <mc:Choice Requires="wps">
            <w:drawing>
              <wp:anchor distT="0" distB="0" distL="0" distR="0" simplePos="0" relativeHeight="253414400" behindDoc="1" locked="0" layoutInCell="0" allowOverlap="1">
                <wp:simplePos x="0" y="0"/>
                <wp:positionH relativeFrom="page">
                  <wp:posOffset>7772272</wp:posOffset>
                </wp:positionH>
                <wp:positionV relativeFrom="page">
                  <wp:posOffset>0</wp:posOffset>
                </wp:positionV>
                <wp:extent cx="3175" cy="10909300"/>
                <wp:effectExtent l="0" t="0" r="0" b="0"/>
                <wp:wrapNone/>
                <wp:docPr id="656" name="Rect 656"/>
                <wp:cNvGraphicFramePr/>
                <a:graphic>
                  <a:graphicData uri="http://schemas.microsoft.com/office/word/2010/wordprocessingShape">
                    <wps:wsp>
                      <wps:cNvPr id="656" name="Rect 656"/>
                      <wps:cNvSpPr/>
                      <wps:spPr>
                        <a:xfrm>
                          <a:off x="7772272" y="0"/>
                          <a:ext cx="3175" cy="109093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310" style="position:absolute;margin-left:611.99pt;margin-top:0pt;mso-position-vertical-relative:page;mso-position-horizontal-relative:page;width:0.25pt;height:859pt;z-index:-249902080;" o:allowincell="f" fillcolor="#000000" filled="true" stroked="false"/>
            </w:pict>
          </mc:Fallback>
        </mc:AlternateContent>
      </w:r>
      <w:r>
        <w:pict>
          <v:shape id="_x0000_s1312" style="position:absolute;margin-left:546.71pt;margin-top:15.7293pt;mso-position-vertical-relative:text;mso-position-horizontal-relative:text;width:0.5pt;height:10.25pt;z-index:-249901056;" filled="false" strokecolor="#A8A8A8" strokeweight="0.50pt" coordsize="10,205" coordorigin="0,0" path="m5,0l5,205e">
            <v:stroke joinstyle="miter"/>
          </v:shape>
        </w:pict>
      </w:r>
      <w:r>
        <w:drawing>
          <wp:anchor distT="0" distB="0" distL="0" distR="0" simplePos="0" relativeHeight="253417472" behindDoc="1" locked="0" layoutInCell="1" allowOverlap="1">
            <wp:simplePos x="0" y="0"/>
            <wp:positionH relativeFrom="column">
              <wp:posOffset>0</wp:posOffset>
            </wp:positionH>
            <wp:positionV relativeFrom="paragraph">
              <wp:posOffset>-254389</wp:posOffset>
            </wp:positionV>
            <wp:extent cx="7775447" cy="10906548"/>
            <wp:effectExtent l="0" t="0" r="0" b="0"/>
            <wp:wrapNone/>
            <wp:docPr id="658" name="IM 658"/>
            <wp:cNvGraphicFramePr/>
            <a:graphic>
              <a:graphicData uri="http://schemas.openxmlformats.org/drawingml/2006/picture">
                <pic:pic>
                  <pic:nvPicPr>
                    <pic:cNvPr id="658" name="IM 658"/>
                    <pic:cNvPicPr/>
                  </pic:nvPicPr>
                  <pic:blipFill>
                    <a:blip r:embed="rId314"/>
                    <a:stretch>
                      <a:fillRect/>
                    </a:stretch>
                  </pic:blipFill>
                  <pic:spPr>
                    <a:xfrm rot="0">
                      <a:off x="0" y="0"/>
                      <a:ext cx="7775447" cy="10906548"/>
                    </a:xfrm>
                    <a:prstGeom prst="rect">
                      <a:avLst/>
                    </a:prstGeom>
                  </pic:spPr>
                </pic:pic>
              </a:graphicData>
            </a:graphic>
          </wp:anchor>
        </w:drawing>
      </w:r>
      <w:r>
        <w:rPr>
          <w:rFonts w:ascii="Microsoft YaHei" w:hAnsi="Microsoft YaHei" w:eastAsia="Microsoft YaHei" w:cs="Microsoft YaHei"/>
          <w:sz w:val="18"/>
          <w:szCs w:val="18"/>
          <w:color w:val="A8A8A8"/>
          <w:spacing w:val="-1"/>
        </w:rPr>
        <w:t>新型储能助力能源转型</w:t>
      </w:r>
      <w:r>
        <w:rPr>
          <w:rFonts w:ascii="Microsoft YaHei" w:hAnsi="Microsoft YaHei" w:eastAsia="Microsoft YaHei" w:cs="Microsoft YaHei"/>
          <w:sz w:val="18"/>
          <w:szCs w:val="18"/>
          <w:color w:val="A8A8A8"/>
          <w:spacing w:val="25"/>
        </w:rPr>
        <w:t xml:space="preserve">  </w:t>
      </w:r>
      <w:r>
        <w:rPr>
          <w:sz w:val="18"/>
          <w:szCs w:val="18"/>
          <w:position w:val="-4"/>
        </w:rPr>
        <w:drawing>
          <wp:inline distT="0" distB="0" distL="0" distR="0">
            <wp:extent cx="6350" cy="130175"/>
            <wp:effectExtent l="0" t="0" r="0" b="0"/>
            <wp:docPr id="660" name="IM 660"/>
            <wp:cNvGraphicFramePr/>
            <a:graphic>
              <a:graphicData uri="http://schemas.openxmlformats.org/drawingml/2006/picture">
                <pic:pic>
                  <pic:nvPicPr>
                    <pic:cNvPr id="660" name="IM 660"/>
                    <pic:cNvPicPr/>
                  </pic:nvPicPr>
                  <pic:blipFill>
                    <a:blip r:embed="rId315"/>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spacing w:val="17"/>
          <w:w w:val="101"/>
        </w:rPr>
        <w:t xml:space="preserve">  </w:t>
      </w:r>
      <w:r>
        <w:rPr>
          <w:rFonts w:ascii="Microsoft YaHei" w:hAnsi="Microsoft YaHei" w:eastAsia="Microsoft YaHei" w:cs="Microsoft YaHei"/>
          <w:sz w:val="18"/>
          <w:szCs w:val="18"/>
          <w:b/>
          <w:bCs/>
          <w:color w:val="A8A8A8"/>
          <w:spacing w:val="-1"/>
        </w:rPr>
        <w:t>62</w:t>
      </w:r>
    </w:p>
    <w:p>
      <w:pPr>
        <w:pStyle w:val="BodyText"/>
        <w:spacing w:line="319" w:lineRule="auto"/>
        <w:rPr/>
      </w:pPr>
      <w:r/>
    </w:p>
    <w:p>
      <w:pPr>
        <w:pStyle w:val="BodyText"/>
        <w:spacing w:line="320" w:lineRule="auto"/>
        <w:rPr/>
      </w:pPr>
      <w:r/>
    </w:p>
    <w:p>
      <w:pPr>
        <w:pStyle w:val="BodyText"/>
        <w:spacing w:line="320" w:lineRule="auto"/>
        <w:rPr/>
      </w:pPr>
      <w:r/>
    </w:p>
    <w:p>
      <w:pPr>
        <w:ind w:left="1315"/>
        <w:spacing w:before="115" w:line="185" w:lineRule="auto"/>
        <w:outlineLvl w:val="0"/>
        <w:rPr>
          <w:rFonts w:ascii="Microsoft YaHei" w:hAnsi="Microsoft YaHei" w:eastAsia="Microsoft YaHei" w:cs="Microsoft YaHei"/>
          <w:sz w:val="27"/>
          <w:szCs w:val="27"/>
        </w:rPr>
      </w:pPr>
      <w:r>
        <w:rPr>
          <w:rFonts w:ascii="Microsoft YaHei" w:hAnsi="Microsoft YaHei" w:eastAsia="Microsoft YaHei" w:cs="Microsoft YaHei"/>
          <w:sz w:val="27"/>
          <w:szCs w:val="27"/>
          <w:b/>
          <w:bCs/>
          <w:color w:val="00C0AE"/>
          <w:spacing w:val="7"/>
        </w:rPr>
        <w:t>工商业储能的主要应用场景</w:t>
      </w:r>
    </w:p>
    <w:p>
      <w:pPr>
        <w:ind w:left="1309" w:right="2823" w:firstLine="4"/>
        <w:spacing w:before="277" w:line="217" w:lineRule="auto"/>
        <w:tabs>
          <w:tab w:val="left" w:pos="9420"/>
        </w:tabs>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工商业储能的应用场景广泛</w:t>
      </w:r>
      <w:r>
        <w:rPr>
          <w:rFonts w:ascii="Microsoft YaHei" w:hAnsi="Microsoft YaHei" w:eastAsia="Microsoft YaHei" w:cs="Microsoft YaHei"/>
          <w:sz w:val="21"/>
          <w:szCs w:val="21"/>
          <w:spacing w:val="-12"/>
        </w:rPr>
        <w:t xml:space="preserve"> </w:t>
      </w:r>
      <w:r>
        <w:rPr>
          <w:rFonts w:ascii="Microsoft YaHei" w:hAnsi="Microsoft YaHei" w:eastAsia="Microsoft YaHei" w:cs="Microsoft YaHei"/>
          <w:sz w:val="21"/>
          <w:szCs w:val="21"/>
          <w:spacing w:val="2"/>
        </w:rPr>
        <w:t>，包括工业园区、数据中心、通信基站、政务楼宇、商场、</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医院等各行各业。其中工业园区具有厂房屋面面积</w:t>
      </w:r>
      <w:r>
        <w:rPr>
          <w:rFonts w:ascii="Microsoft YaHei" w:hAnsi="Microsoft YaHei" w:eastAsia="Microsoft YaHei" w:cs="Microsoft YaHei"/>
          <w:sz w:val="21"/>
          <w:szCs w:val="21"/>
          <w:spacing w:val="3"/>
        </w:rPr>
        <w:t>大</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，光伏发电时间与用电高峰重合</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的特点</w:t>
      </w:r>
      <w:r>
        <w:rPr>
          <w:rFonts w:ascii="Microsoft YaHei" w:hAnsi="Microsoft YaHei" w:eastAsia="Microsoft YaHei" w:cs="Microsoft YaHei"/>
          <w:sz w:val="21"/>
          <w:szCs w:val="21"/>
          <w:spacing w:val="-26"/>
        </w:rPr>
        <w:t xml:space="preserve"> </w:t>
      </w:r>
      <w:r>
        <w:rPr>
          <w:rFonts w:ascii="Microsoft YaHei" w:hAnsi="Microsoft YaHei" w:eastAsia="Microsoft YaHei" w:cs="Microsoft YaHei"/>
          <w:sz w:val="21"/>
          <w:szCs w:val="21"/>
          <w:spacing w:val="2"/>
        </w:rPr>
        <w:t>，配置光储联合系统后能有效降低购电成本</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2"/>
        </w:rPr>
        <w:t>，减小光伏对系统的冲击</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2"/>
        </w:rPr>
        <w:t>，并在电</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力市场环境下降低功率偏差带来的经济损失</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，是较</w:t>
      </w:r>
      <w:r>
        <w:rPr>
          <w:rFonts w:ascii="Microsoft YaHei" w:hAnsi="Microsoft YaHei" w:eastAsia="Microsoft YaHei" w:cs="Microsoft YaHei"/>
          <w:sz w:val="21"/>
          <w:szCs w:val="21"/>
          <w:spacing w:val="2"/>
        </w:rPr>
        <w:t>具有代表性的工商业储能场景应用。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2018年1月报道</w:t>
      </w:r>
      <w:r>
        <w:rPr>
          <w:rFonts w:ascii="Microsoft YaHei" w:hAnsi="Microsoft YaHei" w:eastAsia="Microsoft YaHei" w:cs="Microsoft YaHei"/>
          <w:sz w:val="13"/>
          <w:szCs w:val="13"/>
          <w:spacing w:val="-1"/>
          <w:position w:val="6"/>
        </w:rPr>
        <w:t>62  </w:t>
      </w:r>
      <w:r>
        <w:rPr>
          <w:rFonts w:ascii="Microsoft YaHei" w:hAnsi="Microsoft YaHei" w:eastAsia="Microsoft YaHei" w:cs="Microsoft YaHei"/>
          <w:sz w:val="21"/>
          <w:szCs w:val="21"/>
          <w:spacing w:val="-1"/>
        </w:rPr>
        <w:t>，江苏无锡星洲工业园内，新加坡工业园智</w:t>
      </w:r>
      <w:r>
        <w:rPr>
          <w:rFonts w:ascii="Microsoft YaHei" w:hAnsi="Microsoft YaHei" w:eastAsia="Microsoft YaHei" w:cs="Microsoft YaHei"/>
          <w:sz w:val="21"/>
          <w:szCs w:val="21"/>
          <w:spacing w:val="-2"/>
        </w:rPr>
        <w:t>能配网储能电站储能容量</w:t>
      </w:r>
      <w:r>
        <w:rPr>
          <w:rFonts w:ascii="Microsoft YaHei" w:hAnsi="Microsoft YaHei" w:eastAsia="Microsoft YaHei" w:cs="Microsoft YaHei"/>
          <w:sz w:val="21"/>
          <w:szCs w:val="21"/>
        </w:rPr>
        <w:tab/>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为20MW/160MWh，是当时全球最大商用储能电站</w:t>
      </w:r>
      <w:r>
        <w:rPr>
          <w:rFonts w:ascii="Microsoft YaHei" w:hAnsi="Microsoft YaHei" w:eastAsia="Microsoft YaHei" w:cs="Microsoft YaHei"/>
          <w:sz w:val="21"/>
          <w:szCs w:val="21"/>
          <w:spacing w:val="57"/>
          <w:w w:val="101"/>
        </w:rPr>
        <w:t xml:space="preserve"> </w:t>
      </w:r>
      <w:r>
        <w:rPr>
          <w:rFonts w:ascii="Microsoft YaHei" w:hAnsi="Microsoft YaHei" w:eastAsia="Microsoft YaHei" w:cs="Microsoft YaHei"/>
          <w:sz w:val="21"/>
          <w:szCs w:val="21"/>
          <w:spacing w:val="-4"/>
        </w:rPr>
        <w:t>。该项目是首个接入</w:t>
      </w:r>
      <w:r>
        <w:rPr>
          <w:rFonts w:ascii="Microsoft YaHei" w:hAnsi="Microsoft YaHei" w:eastAsia="Microsoft YaHei" w:cs="Microsoft YaHei"/>
          <w:sz w:val="21"/>
          <w:szCs w:val="21"/>
          <w:spacing w:val="-5"/>
        </w:rPr>
        <w:t>国网江苏省电</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9"/>
        </w:rPr>
        <w:t>力公司客户侧储能互动调度平台的大规模储能电站</w:t>
      </w:r>
      <w:r>
        <w:rPr>
          <w:rFonts w:ascii="Microsoft YaHei" w:hAnsi="Microsoft YaHei" w:eastAsia="Microsoft YaHei" w:cs="Microsoft YaHei"/>
          <w:sz w:val="21"/>
          <w:szCs w:val="21"/>
          <w:spacing w:val="-15"/>
        </w:rPr>
        <w:t xml:space="preserve"> </w:t>
      </w:r>
      <w:r>
        <w:rPr>
          <w:rFonts w:ascii="Microsoft YaHei" w:hAnsi="Microsoft YaHei" w:eastAsia="Microsoft YaHei" w:cs="Microsoft YaHei"/>
          <w:sz w:val="21"/>
          <w:szCs w:val="21"/>
          <w:spacing w:val="9"/>
        </w:rPr>
        <w:t>，也是首个依照江苏省电力公司</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《客户侧储能系统并网管理规定》并网验收的项目。</w:t>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ict>
          <v:shape id="_x0000_s1314" style="position:absolute;margin-left:65.29pt;margin-top:4.05471pt;mso-position-vertical-relative:text;mso-position-horizontal-relative:text;width:81.3pt;height:0.5pt;z-index:253418496;" filled="false" strokecolor="#000000" strokeweight="0.50pt" coordsize="1626,10" coordorigin="0,0" path="m0,5l1625,5e">
            <v:stroke joinstyle="miter"/>
          </v:shape>
        </w:pict>
      </w:r>
      <w:r/>
    </w:p>
    <w:p>
      <w:pPr>
        <w:ind w:left="1307"/>
        <w:spacing w:before="56" w:line="192"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5"/>
          <w:position w:val="4"/>
        </w:rPr>
        <w:t>62</w:t>
      </w:r>
      <w:r>
        <w:rPr>
          <w:rFonts w:ascii="Microsoft YaHei" w:hAnsi="Microsoft YaHei" w:eastAsia="Microsoft YaHei" w:cs="Microsoft YaHei"/>
          <w:sz w:val="9"/>
          <w:szCs w:val="9"/>
          <w:spacing w:val="15"/>
          <w:position w:val="4"/>
        </w:rPr>
        <w:t xml:space="preserve"> </w:t>
      </w:r>
      <w:r>
        <w:rPr>
          <w:rFonts w:ascii="Microsoft YaHei" w:hAnsi="Microsoft YaHei" w:eastAsia="Microsoft YaHei" w:cs="Microsoft YaHei"/>
          <w:sz w:val="13"/>
          <w:szCs w:val="13"/>
          <w:spacing w:val="5"/>
        </w:rPr>
        <w:t>无锡星洲能源：建国内最大的商用储能电站，网易，  2018年10月8日，</w:t>
      </w:r>
      <w:r>
        <w:rPr>
          <w:rFonts w:ascii="Microsoft YaHei" w:hAnsi="Microsoft YaHei" w:eastAsia="Microsoft YaHei" w:cs="Microsoft YaHei"/>
          <w:sz w:val="13"/>
          <w:szCs w:val="13"/>
          <w:spacing w:val="-8"/>
        </w:rPr>
        <w:t xml:space="preserve"> </w:t>
      </w:r>
      <w:hyperlink w:history="true" r:id="rId316">
        <w:r>
          <w:rPr>
            <w:rFonts w:ascii="Microsoft YaHei" w:hAnsi="Microsoft YaHei" w:eastAsia="Microsoft YaHei" w:cs="Microsoft YaHei"/>
            <w:sz w:val="13"/>
            <w:szCs w:val="13"/>
          </w:rPr>
          <w:t>https</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www</w:t>
        </w:r>
        <w:r>
          <w:rPr>
            <w:rFonts w:ascii="Microsoft YaHei" w:hAnsi="Microsoft YaHei" w:eastAsia="Microsoft YaHei" w:cs="Microsoft YaHei"/>
            <w:sz w:val="13"/>
            <w:szCs w:val="13"/>
            <w:spacing w:val="5"/>
          </w:rPr>
          <w:t>.163.</w:t>
        </w:r>
        <w:r>
          <w:rPr>
            <w:rFonts w:ascii="Microsoft YaHei" w:hAnsi="Microsoft YaHei" w:eastAsia="Microsoft YaHei" w:cs="Microsoft YaHei"/>
            <w:sz w:val="13"/>
            <w:szCs w:val="13"/>
          </w:rPr>
          <w:t>com</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dy</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article</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DTJMD</w:t>
        </w:r>
        <w:r>
          <w:rPr>
            <w:rFonts w:ascii="Microsoft YaHei" w:hAnsi="Microsoft YaHei" w:eastAsia="Microsoft YaHei" w:cs="Microsoft YaHei"/>
            <w:sz w:val="13"/>
            <w:szCs w:val="13"/>
            <w:spacing w:val="5"/>
          </w:rPr>
          <w:t>7</w:t>
        </w:r>
        <w:r>
          <w:rPr>
            <w:rFonts w:ascii="Microsoft YaHei" w:hAnsi="Microsoft YaHei" w:eastAsia="Microsoft YaHei" w:cs="Microsoft YaHei"/>
            <w:sz w:val="13"/>
            <w:szCs w:val="13"/>
          </w:rPr>
          <w:t>NV</w:t>
        </w:r>
        <w:r>
          <w:rPr>
            <w:rFonts w:ascii="Microsoft YaHei" w:hAnsi="Microsoft YaHei" w:eastAsia="Microsoft YaHei" w:cs="Microsoft YaHei"/>
            <w:sz w:val="13"/>
            <w:szCs w:val="13"/>
            <w:spacing w:val="5"/>
          </w:rPr>
          <w:t>0525</w:t>
        </w:r>
        <w:r>
          <w:rPr>
            <w:rFonts w:ascii="Microsoft YaHei" w:hAnsi="Microsoft YaHei" w:eastAsia="Microsoft YaHei" w:cs="Microsoft YaHei"/>
            <w:sz w:val="13"/>
            <w:szCs w:val="13"/>
          </w:rPr>
          <w:t>VCKR</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html</w:t>
        </w:r>
      </w:hyperlink>
    </w:p>
    <w:p>
      <w:pPr>
        <w:ind w:left="1805" w:right="1241" w:hanging="411"/>
        <w:spacing w:before="214" w:line="172" w:lineRule="auto"/>
        <w:rPr>
          <w:rFonts w:ascii="Microsoft YaHei" w:hAnsi="Microsoft YaHei" w:eastAsia="Microsoft YaHei" w:cs="Microsoft YaHei"/>
          <w:sz w:val="11"/>
          <w:szCs w:val="11"/>
        </w:rPr>
      </w:pPr>
      <w:r>
        <w:pict>
          <v:shape id="_x0000_s1316" style="position:absolute;margin-left:74.4184pt;margin-top:9.694pt;mso-position-vertical-relative:text;mso-position-horizontal-relative:text;width:476.75pt;height:15.6pt;z-index:-249900032;" filled="false" stroked="false" type="#_x0000_t202">
            <v:fill on="false"/>
            <v:stroke on="false"/>
            <v:path/>
            <v:imagedata o:title=""/>
            <o:lock v:ext="edit" aspectratio="false"/>
            <v:textbox inset="0mm,0mm,0mm,0mm">
              <w:txbxContent>
                <w:p>
                  <w:pPr>
                    <w:ind w:left="20"/>
                    <w:spacing w:before="19" w:line="165"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rPr>
                    <w:t>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毕马威华振会计师事务所(特殊普通合伙     中国合伙制会计师事务所，毕马威企业咨询           有限公司 — 中国有限责任公司，毕马威会计师事务</w:t>
                  </w:r>
                  <w:r>
                    <w:rPr>
                      <w:rFonts w:ascii="Microsoft YaHei" w:hAnsi="Microsoft YaHei" w:eastAsia="Microsoft YaHei" w:cs="Microsoft YaHei"/>
                      <w:sz w:val="11"/>
                      <w:szCs w:val="11"/>
                      <w:color w:val="BFBFBF"/>
                      <w:spacing w:val="-1"/>
                    </w:rPr>
                    <w:t>所    澳门特别行政区合伙制事务所，及毕马威</w:t>
                  </w:r>
                </w:p>
                <w:p>
                  <w:pPr>
                    <w:ind w:left="318"/>
                    <w:spacing w:line="180"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txbxContent>
            </v:textbox>
          </v:shape>
        </w:pict>
      </w: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0" w:header="0" w:footer="0" w:gutter="0"/>
        </w:sectPr>
        <w:rPr>
          <w:rFonts w:ascii="Microsoft YaHei" w:hAnsi="Microsoft YaHei" w:eastAsia="Microsoft YaHei" w:cs="Microsoft YaHei"/>
          <w:sz w:val="11"/>
          <w:szCs w:val="11"/>
        </w:rPr>
      </w:pPr>
    </w:p>
    <w:p>
      <w:pPr>
        <w:ind w:left="968"/>
        <w:spacing w:before="314" w:line="193" w:lineRule="auto"/>
        <w:rPr>
          <w:rFonts w:ascii="Microsoft YaHei" w:hAnsi="Microsoft YaHei" w:eastAsia="Microsoft YaHei" w:cs="Microsoft YaHei"/>
          <w:sz w:val="18"/>
          <w:szCs w:val="18"/>
        </w:rPr>
      </w:pPr>
      <w:r>
        <mc:AlternateContent xmlns:mc="http://schemas.openxmlformats.org/markup-compatibility/2006">
          <mc:Choice Requires="wps">
            <w:drawing>
              <wp:anchor distT="0" distB="0" distL="0" distR="0" simplePos="0" relativeHeight="253456384" behindDoc="1" locked="0" layoutInCell="0" allowOverlap="1">
                <wp:simplePos x="0" y="0"/>
                <wp:positionH relativeFrom="page">
                  <wp:posOffset>7772272</wp:posOffset>
                </wp:positionH>
                <wp:positionV relativeFrom="page">
                  <wp:posOffset>0</wp:posOffset>
                </wp:positionV>
                <wp:extent cx="3175" cy="10909300"/>
                <wp:effectExtent l="0" t="0" r="0" b="0"/>
                <wp:wrapNone/>
                <wp:docPr id="662" name="Rect 662"/>
                <wp:cNvGraphicFramePr/>
                <a:graphic>
                  <a:graphicData uri="http://schemas.microsoft.com/office/word/2010/wordprocessingShape">
                    <wps:wsp>
                      <wps:cNvPr id="662" name="Rect 662"/>
                      <wps:cNvSpPr/>
                      <wps:spPr>
                        <a:xfrm>
                          <a:off x="7772272" y="0"/>
                          <a:ext cx="3175" cy="109093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318" style="position:absolute;margin-left:611.99pt;margin-top:0pt;mso-position-vertical-relative:page;mso-position-horizontal-relative:page;width:0.25pt;height:859pt;z-index:-249860096;" o:allowincell="f" fillcolor="#000000" filled="true" stroked="false"/>
            </w:pict>
          </mc:Fallback>
        </mc:AlternateContent>
      </w:r>
      <w:r>
        <w:pict>
          <v:shape id="_x0000_s1320" style="position:absolute;margin-left:546.96pt;margin-top:15.9793pt;mso-position-vertical-relative:text;mso-position-horizontal-relative:text;width:0.5pt;height:10.25pt;z-index:-249859072;" filled="false" strokecolor="#A8A8A8" strokeweight="0.50pt" coordsize="10,205" coordorigin="0,0" path="m5,0l5,205e">
            <v:stroke joinstyle="miter"/>
          </v:shape>
        </w:pict>
      </w:r>
      <w:r>
        <w:drawing>
          <wp:anchor distT="0" distB="0" distL="0" distR="0" simplePos="0" relativeHeight="253459456" behindDoc="1" locked="0" layoutInCell="1" allowOverlap="1">
            <wp:simplePos x="0" y="0"/>
            <wp:positionH relativeFrom="column">
              <wp:posOffset>0</wp:posOffset>
            </wp:positionH>
            <wp:positionV relativeFrom="paragraph">
              <wp:posOffset>-254389</wp:posOffset>
            </wp:positionV>
            <wp:extent cx="7775447" cy="10908790"/>
            <wp:effectExtent l="0" t="0" r="0" b="0"/>
            <wp:wrapNone/>
            <wp:docPr id="664" name="IM 664"/>
            <wp:cNvGraphicFramePr/>
            <a:graphic>
              <a:graphicData uri="http://schemas.openxmlformats.org/drawingml/2006/picture">
                <pic:pic>
                  <pic:nvPicPr>
                    <pic:cNvPr id="664" name="IM 664"/>
                    <pic:cNvPicPr/>
                  </pic:nvPicPr>
                  <pic:blipFill>
                    <a:blip r:embed="rId317"/>
                    <a:stretch>
                      <a:fillRect/>
                    </a:stretch>
                  </pic:blipFill>
                  <pic:spPr>
                    <a:xfrm rot="0">
                      <a:off x="0" y="0"/>
                      <a:ext cx="7775447" cy="10908790"/>
                    </a:xfrm>
                    <a:prstGeom prst="rect">
                      <a:avLst/>
                    </a:prstGeom>
                  </pic:spPr>
                </pic:pic>
              </a:graphicData>
            </a:graphic>
          </wp:anchor>
        </w:drawing>
      </w:r>
      <w:r>
        <w:rPr>
          <w:rFonts w:ascii="Microsoft YaHei" w:hAnsi="Microsoft YaHei" w:eastAsia="Microsoft YaHei" w:cs="Microsoft YaHei"/>
          <w:sz w:val="18"/>
          <w:szCs w:val="18"/>
          <w:b/>
          <w:bCs/>
          <w:color w:val="00338D"/>
          <w:spacing w:val="-2"/>
        </w:rPr>
        <w:t>63</w:t>
      </w:r>
      <w:r>
        <w:rPr>
          <w:rFonts w:ascii="Microsoft YaHei" w:hAnsi="Microsoft YaHei" w:eastAsia="Microsoft YaHei" w:cs="Microsoft YaHei"/>
          <w:sz w:val="18"/>
          <w:szCs w:val="18"/>
          <w:b/>
          <w:bCs/>
          <w:color w:val="00338D"/>
          <w:spacing w:val="18"/>
        </w:rPr>
        <w:t xml:space="preserve">  </w:t>
      </w:r>
      <w:r>
        <w:rPr>
          <w:sz w:val="18"/>
          <w:szCs w:val="18"/>
          <w:position w:val="-4"/>
        </w:rPr>
        <w:drawing>
          <wp:inline distT="0" distB="0" distL="0" distR="0">
            <wp:extent cx="6350" cy="130175"/>
            <wp:effectExtent l="0" t="0" r="0" b="0"/>
            <wp:docPr id="666" name="IM 666"/>
            <wp:cNvGraphicFramePr/>
            <a:graphic>
              <a:graphicData uri="http://schemas.openxmlformats.org/drawingml/2006/picture">
                <pic:pic>
                  <pic:nvPicPr>
                    <pic:cNvPr id="666" name="IM 666"/>
                    <pic:cNvPicPr/>
                  </pic:nvPicPr>
                  <pic:blipFill>
                    <a:blip r:embed="rId318"/>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00338D"/>
          <w:spacing w:val="26"/>
          <w:w w:val="101"/>
        </w:rPr>
        <w:t xml:space="preserve">  </w:t>
      </w:r>
      <w:r>
        <w:rPr>
          <w:rFonts w:ascii="Microsoft YaHei" w:hAnsi="Microsoft YaHei" w:eastAsia="Microsoft YaHei" w:cs="Microsoft YaHei"/>
          <w:sz w:val="18"/>
          <w:szCs w:val="18"/>
          <w:color w:val="00338D"/>
          <w:spacing w:val="-2"/>
        </w:rPr>
        <w:t>新型储能助力能源转型</w:t>
      </w:r>
    </w:p>
    <w:p>
      <w:pPr>
        <w:ind w:left="1275"/>
        <w:spacing w:before="1066" w:line="187" w:lineRule="auto"/>
        <w:outlineLvl w:val="0"/>
        <w:rPr>
          <w:rFonts w:ascii="Trebuchet MS" w:hAnsi="Trebuchet MS" w:eastAsia="Trebuchet MS" w:cs="Trebuchet MS"/>
          <w:sz w:val="332"/>
          <w:szCs w:val="332"/>
        </w:rPr>
      </w:pPr>
      <w:r>
        <w:rPr>
          <w:rFonts w:ascii="Trebuchet MS" w:hAnsi="Trebuchet MS" w:eastAsia="Trebuchet MS" w:cs="Trebuchet MS"/>
          <w:sz w:val="332"/>
          <w:szCs w:val="332"/>
          <w:b/>
          <w:bCs/>
          <w:color w:val="00338D"/>
          <w:spacing w:val="-213"/>
          <w:w w:val="93"/>
        </w:rPr>
        <w:t>04</w:t>
      </w:r>
    </w:p>
    <w:p>
      <w:pPr>
        <w:ind w:left="1267" w:right="4524" w:hanging="7"/>
        <w:spacing w:before="10" w:line="173" w:lineRule="auto"/>
        <w:rPr>
          <w:rFonts w:ascii="Microsoft YaHei" w:hAnsi="Microsoft YaHei" w:eastAsia="Microsoft YaHei" w:cs="Microsoft YaHei"/>
          <w:sz w:val="108"/>
          <w:szCs w:val="108"/>
        </w:rPr>
      </w:pPr>
      <w:r>
        <w:rPr>
          <w:rFonts w:ascii="Microsoft YaHei" w:hAnsi="Microsoft YaHei" w:eastAsia="Microsoft YaHei" w:cs="Microsoft YaHei"/>
          <w:sz w:val="108"/>
          <w:szCs w:val="108"/>
          <w:b/>
          <w:bCs/>
          <w:color w:val="00338D"/>
          <w:spacing w:val="-4"/>
        </w:rPr>
        <w:t>储能企业布局</w:t>
      </w:r>
      <w:r>
        <w:rPr>
          <w:rFonts w:ascii="Microsoft YaHei" w:hAnsi="Microsoft YaHei" w:eastAsia="Microsoft YaHei" w:cs="Microsoft YaHei"/>
          <w:sz w:val="108"/>
          <w:szCs w:val="108"/>
          <w:b/>
          <w:bCs/>
          <w:color w:val="00338D"/>
          <w:spacing w:val="3"/>
        </w:rPr>
        <w:t xml:space="preserve"> </w:t>
      </w:r>
      <w:r>
        <w:rPr>
          <w:rFonts w:ascii="Microsoft YaHei" w:hAnsi="Microsoft YaHei" w:eastAsia="Microsoft YaHei" w:cs="Microsoft YaHei"/>
          <w:sz w:val="108"/>
          <w:szCs w:val="108"/>
          <w:b/>
          <w:bCs/>
          <w:color w:val="00338D"/>
          <w:spacing w:val="-6"/>
        </w:rPr>
        <w:t>和融资</w:t>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1805" w:right="1241" w:hanging="411"/>
        <w:spacing w:before="47" w:line="172" w:lineRule="auto"/>
        <w:rPr>
          <w:rFonts w:ascii="Microsoft YaHei" w:hAnsi="Microsoft YaHei" w:eastAsia="Microsoft YaHei" w:cs="Microsoft YaHei"/>
          <w:sz w:val="11"/>
          <w:szCs w:val="11"/>
        </w:rPr>
      </w:pPr>
      <w:r>
        <w:pict>
          <v:shape id="_x0000_s1322" style="position:absolute;margin-left:129.61pt;margin-top:1.36928pt;mso-position-vertical-relative:text;mso-position-horizontal-relative:text;width:421.55pt;height:15.6pt;z-index:-249858048;" filled="false" stroked="false" type="#_x0000_t202">
            <v:fill on="false"/>
            <v:stroke on="false"/>
            <v:path/>
            <v:imagedata o:title=""/>
            <o:lock v:ext="edit" aspectratio="false"/>
            <v:textbox inset="0mm,0mm,0mm,0mm">
              <w:txbxContent>
                <w:p>
                  <w:pPr>
                    <w:ind w:left="1284"/>
                    <w:spacing w:before="19" w:line="165"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rPr>
                    <w:t>中国合伙制会计师事务所，毕马威企业咨询</w:t>
                  </w:r>
                  <w:r>
                    <w:rPr>
                      <w:rFonts w:ascii="Microsoft YaHei" w:hAnsi="Microsoft YaHei" w:eastAsia="Microsoft YaHei" w:cs="Microsoft YaHei"/>
                      <w:sz w:val="11"/>
                      <w:szCs w:val="11"/>
                      <w:color w:val="BFBFBF"/>
                      <w:spacing w:val="4"/>
                    </w:rPr>
                    <w:t xml:space="preserve"> </w:t>
                  </w:r>
                  <w:r>
                    <w:rPr>
                      <w:rFonts w:ascii="Microsoft YaHei" w:hAnsi="Microsoft YaHei" w:eastAsia="Microsoft YaHei" w:cs="Microsoft YaHei"/>
                      <w:sz w:val="11"/>
                      <w:szCs w:val="11"/>
                      <w:color w:val="BFBFBF"/>
                    </w:rPr>
                    <w:t>(中国                    中国有限责任公司，毕马威会计师事务所    澳门特别行政区合伙制事务所，及毕马威</w:t>
                  </w:r>
                </w:p>
                <w:p>
                  <w:pPr>
                    <w:ind w:left="20"/>
                    <w:spacing w:line="180"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rPr>
                    <w:t>香港特别行政区合伙制事务所，均是与英国私营担保有限公司    毕马威国际有限公司相关联的独立成员所全球性组织中的成员。版权所有，不得转载。在中国印刷。</w:t>
                  </w:r>
                </w:p>
              </w:txbxContent>
            </v:textbox>
          </v:shape>
        </w:pict>
      </w:r>
      <w:r>
        <w:rPr>
          <w:rFonts w:ascii="Microsoft YaHei" w:hAnsi="Microsoft YaHei" w:eastAsia="Microsoft YaHei" w:cs="Microsoft YaHei"/>
          <w:sz w:val="11"/>
          <w:szCs w:val="11"/>
          <w:color w:val="7F7F7F"/>
          <w:spacing w:val="-1"/>
        </w:rPr>
        <w:t>© 2023</w:t>
      </w:r>
      <w:r>
        <w:rPr>
          <w:rFonts w:ascii="Microsoft YaHei" w:hAnsi="Microsoft YaHei" w:eastAsia="Microsoft YaHei" w:cs="Microsoft YaHei"/>
          <w:sz w:val="11"/>
          <w:szCs w:val="11"/>
          <w:color w:val="7F7F7F"/>
          <w:spacing w:val="-6"/>
        </w:rPr>
        <w:t xml:space="preserve"> </w:t>
      </w:r>
      <w:r>
        <w:rPr>
          <w:rFonts w:ascii="Microsoft YaHei" w:hAnsi="Microsoft YaHei" w:eastAsia="Microsoft YaHei" w:cs="Microsoft YaHei"/>
          <w:sz w:val="11"/>
          <w:szCs w:val="11"/>
          <w:color w:val="7F7F7F"/>
          <w:spacing w:val="-1"/>
        </w:rPr>
        <w:t>毕马威华振会计师事务所(特殊普通合伙)</w:t>
      </w:r>
      <w:r>
        <w:rPr>
          <w:rFonts w:ascii="Microsoft YaHei" w:hAnsi="Microsoft YaHei" w:eastAsia="Microsoft YaHei" w:cs="Microsoft YaHei"/>
          <w:sz w:val="11"/>
          <w:szCs w:val="11"/>
          <w:color w:val="7F7F7F"/>
          <w:spacing w:val="-12"/>
        </w:rPr>
        <w:t xml:space="preserve"> </w:t>
      </w:r>
      <w:r>
        <w:rPr>
          <w:rFonts w:ascii="Microsoft YaHei" w:hAnsi="Microsoft YaHei" w:eastAsia="Microsoft YaHei" w:cs="Microsoft YaHei"/>
          <w:sz w:val="11"/>
          <w:szCs w:val="11"/>
          <w:color w:val="7F7F7F"/>
          <w:spacing w:val="-1"/>
        </w:rPr>
        <w:t>— 中国合伙制会计师事务所，毕马威企业咨询</w:t>
      </w:r>
      <w:r>
        <w:rPr>
          <w:rFonts w:ascii="Microsoft YaHei" w:hAnsi="Microsoft YaHei" w:eastAsia="Microsoft YaHei" w:cs="Microsoft YaHei"/>
          <w:sz w:val="11"/>
          <w:szCs w:val="11"/>
          <w:color w:val="7F7F7F"/>
          <w:spacing w:val="-8"/>
        </w:rPr>
        <w:t xml:space="preserve"> </w:t>
      </w:r>
      <w:r>
        <w:rPr>
          <w:rFonts w:ascii="Microsoft YaHei" w:hAnsi="Microsoft YaHei" w:eastAsia="Microsoft YaHei" w:cs="Microsoft YaHei"/>
          <w:sz w:val="11"/>
          <w:szCs w:val="11"/>
          <w:color w:val="7F7F7F"/>
          <w:spacing w:val="-1"/>
        </w:rPr>
        <w:t>(中国)有限公司 — 中国有限责任公司，毕马威会计师事务所</w:t>
      </w:r>
      <w:r>
        <w:rPr>
          <w:rFonts w:ascii="Microsoft YaHei" w:hAnsi="Microsoft YaHei" w:eastAsia="Microsoft YaHei" w:cs="Microsoft YaHei"/>
          <w:sz w:val="11"/>
          <w:szCs w:val="11"/>
          <w:color w:val="7F7F7F"/>
          <w:spacing w:val="-8"/>
        </w:rPr>
        <w:t xml:space="preserve"> </w:t>
      </w:r>
      <w:r>
        <w:rPr>
          <w:rFonts w:ascii="Microsoft YaHei" w:hAnsi="Microsoft YaHei" w:eastAsia="Microsoft YaHei" w:cs="Microsoft YaHei"/>
          <w:sz w:val="11"/>
          <w:szCs w:val="11"/>
          <w:color w:val="7F7F7F"/>
          <w:spacing w:val="-1"/>
        </w:rPr>
        <w:t>— 澳门特别行政区合伙制事务所，</w:t>
      </w:r>
      <w:r>
        <w:rPr>
          <w:rFonts w:ascii="Microsoft YaHei" w:hAnsi="Microsoft YaHei" w:eastAsia="Microsoft YaHei" w:cs="Microsoft YaHei"/>
          <w:sz w:val="11"/>
          <w:szCs w:val="11"/>
          <w:color w:val="7F7F7F"/>
          <w:spacing w:val="-2"/>
        </w:rPr>
        <w:t>及毕马威</w:t>
      </w:r>
      <w:r>
        <w:rPr>
          <w:rFonts w:ascii="Microsoft YaHei" w:hAnsi="Microsoft YaHei" w:eastAsia="Microsoft YaHei" w:cs="Microsoft YaHei"/>
          <w:sz w:val="11"/>
          <w:szCs w:val="11"/>
          <w:color w:val="7F7F7F"/>
        </w:rPr>
        <w:t xml:space="preserve"> </w:t>
      </w:r>
      <w:r>
        <w:rPr>
          <w:rFonts w:ascii="Microsoft YaHei" w:hAnsi="Microsoft YaHei" w:eastAsia="Microsoft YaHei" w:cs="Microsoft YaHei"/>
          <w:sz w:val="11"/>
          <w:szCs w:val="11"/>
          <w:color w:val="7F7F7F"/>
        </w:rPr>
        <w:t>会计师事务所 —</w:t>
      </w:r>
      <w:r>
        <w:rPr>
          <w:rFonts w:ascii="Microsoft YaHei" w:hAnsi="Microsoft YaHei" w:eastAsia="Microsoft YaHei" w:cs="Microsoft YaHei"/>
          <w:sz w:val="11"/>
          <w:szCs w:val="11"/>
          <w:color w:val="7F7F7F"/>
          <w:spacing w:val="-6"/>
        </w:rPr>
        <w:t xml:space="preserve"> </w:t>
      </w:r>
      <w:r>
        <w:rPr>
          <w:rFonts w:ascii="Microsoft YaHei" w:hAnsi="Microsoft YaHei" w:eastAsia="Microsoft YaHei" w:cs="Microsoft YaHei"/>
          <w:sz w:val="11"/>
          <w:szCs w:val="11"/>
          <w:color w:val="7F7F7F"/>
        </w:rPr>
        <w:t>香港特别行政区合伙制事务所，</w:t>
      </w:r>
      <w:r>
        <w:rPr>
          <w:rFonts w:ascii="Microsoft YaHei" w:hAnsi="Microsoft YaHei" w:eastAsia="Microsoft YaHei" w:cs="Microsoft YaHei"/>
          <w:sz w:val="11"/>
          <w:szCs w:val="11"/>
          <w:color w:val="7F7F7F"/>
          <w:spacing w:val="-1"/>
        </w:rPr>
        <w:t>均是与英国私营担保有限公司</w:t>
      </w:r>
      <w:r>
        <w:rPr>
          <w:rFonts w:ascii="Microsoft YaHei" w:hAnsi="Microsoft YaHei" w:eastAsia="Microsoft YaHei" w:cs="Microsoft YaHei"/>
          <w:sz w:val="11"/>
          <w:szCs w:val="11"/>
          <w:color w:val="7F7F7F"/>
          <w:spacing w:val="-13"/>
        </w:rPr>
        <w:t xml:space="preserve"> </w:t>
      </w:r>
      <w:r>
        <w:rPr>
          <w:rFonts w:ascii="Microsoft YaHei" w:hAnsi="Microsoft YaHei" w:eastAsia="Microsoft YaHei" w:cs="Microsoft YaHei"/>
          <w:sz w:val="11"/>
          <w:szCs w:val="11"/>
          <w:color w:val="7F7F7F"/>
          <w:spacing w:val="-1"/>
        </w:rPr>
        <w:t>— 毕马威国际有限公司相关联的独立成员所全球性组织中的成员。版权所有，不得转载。在中国印刷。</w:t>
      </w:r>
    </w:p>
    <w:p>
      <w:pPr>
        <w:spacing w:line="172" w:lineRule="auto"/>
        <w:sectPr>
          <w:pgSz w:w="12245" w:h="17180"/>
          <w:pgMar w:top="400" w:right="0" w:bottom="0" w:left="0" w:header="0" w:footer="0" w:gutter="0"/>
        </w:sectPr>
        <w:rPr>
          <w:rFonts w:ascii="Microsoft YaHei" w:hAnsi="Microsoft YaHei" w:eastAsia="Microsoft YaHei" w:cs="Microsoft YaHei"/>
          <w:sz w:val="11"/>
          <w:szCs w:val="11"/>
        </w:rPr>
      </w:pPr>
    </w:p>
    <w:p>
      <w:pPr>
        <w:ind w:left="7674"/>
        <w:spacing w:before="314" w:line="193" w:lineRule="auto"/>
        <w:rPr>
          <w:rFonts w:ascii="Microsoft YaHei" w:hAnsi="Microsoft YaHei" w:eastAsia="Microsoft YaHei" w:cs="Microsoft YaHei"/>
          <w:sz w:val="18"/>
          <w:szCs w:val="18"/>
        </w:rPr>
      </w:pPr>
      <w:r>
        <w:pict>
          <v:rect id="_x0000_s1324" style="position:absolute;margin-left:611.99pt;margin-top:0pt;mso-position-vertical-relative:page;mso-position-horizontal-relative:page;width:0.25pt;height:859pt;z-index:253507584;" o:allowincell="f" fillcolor="#000000" filled="true" stroked="false"/>
        </w:pict>
      </w:r>
      <w:r>
        <w:rPr>
          <w:rFonts w:ascii="Microsoft YaHei" w:hAnsi="Microsoft YaHei" w:eastAsia="Microsoft YaHei" w:cs="Microsoft YaHei"/>
          <w:sz w:val="18"/>
          <w:szCs w:val="18"/>
          <w:color w:val="A8A8A8"/>
          <w:spacing w:val="-1"/>
        </w:rPr>
        <w:t>新型储能助力能源转型</w:t>
      </w:r>
      <w:r>
        <w:rPr>
          <w:rFonts w:ascii="Microsoft YaHei" w:hAnsi="Microsoft YaHei" w:eastAsia="Microsoft YaHei" w:cs="Microsoft YaHei"/>
          <w:sz w:val="18"/>
          <w:szCs w:val="18"/>
          <w:color w:val="A8A8A8"/>
          <w:spacing w:val="25"/>
        </w:rPr>
        <w:t xml:space="preserve">  </w:t>
      </w:r>
      <w:r>
        <w:rPr>
          <w:sz w:val="18"/>
          <w:szCs w:val="18"/>
          <w:position w:val="-4"/>
        </w:rPr>
        <w:drawing>
          <wp:inline distT="0" distB="0" distL="0" distR="0">
            <wp:extent cx="6350" cy="130175"/>
            <wp:effectExtent l="0" t="0" r="0" b="0"/>
            <wp:docPr id="668" name="IM 668"/>
            <wp:cNvGraphicFramePr/>
            <a:graphic>
              <a:graphicData uri="http://schemas.openxmlformats.org/drawingml/2006/picture">
                <pic:pic>
                  <pic:nvPicPr>
                    <pic:cNvPr id="668" name="IM 668"/>
                    <pic:cNvPicPr/>
                  </pic:nvPicPr>
                  <pic:blipFill>
                    <a:blip r:embed="rId319"/>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spacing w:val="17"/>
          <w:w w:val="101"/>
        </w:rPr>
        <w:t xml:space="preserve">  </w:t>
      </w:r>
      <w:r>
        <w:rPr>
          <w:rFonts w:ascii="Microsoft YaHei" w:hAnsi="Microsoft YaHei" w:eastAsia="Microsoft YaHei" w:cs="Microsoft YaHei"/>
          <w:sz w:val="18"/>
          <w:szCs w:val="18"/>
          <w:b/>
          <w:bCs/>
          <w:color w:val="A8A8A8"/>
          <w:spacing w:val="-1"/>
        </w:rPr>
        <w:t>64</w:t>
      </w:r>
    </w:p>
    <w:p>
      <w:pPr>
        <w:ind w:left="89"/>
        <w:spacing w:before="375" w:line="168" w:lineRule="auto"/>
        <w:outlineLvl w:val="0"/>
        <w:rPr>
          <w:rFonts w:ascii="Microsoft YaHei" w:hAnsi="Microsoft YaHei" w:eastAsia="Microsoft YaHei" w:cs="Microsoft YaHei"/>
          <w:sz w:val="72"/>
          <w:szCs w:val="72"/>
        </w:rPr>
      </w:pPr>
      <w:r>
        <w:rPr>
          <w:rFonts w:ascii="Microsoft YaHei" w:hAnsi="Microsoft YaHei" w:eastAsia="Microsoft YaHei" w:cs="Microsoft YaHei"/>
          <w:sz w:val="72"/>
          <w:szCs w:val="72"/>
          <w:b/>
          <w:bCs/>
          <w:color w:val="00338D"/>
          <w:spacing w:val="-6"/>
        </w:rPr>
        <w:t>中国储能企业和储能基础</w:t>
      </w:r>
    </w:p>
    <w:p>
      <w:pPr>
        <w:ind w:left="42"/>
        <w:spacing w:line="180" w:lineRule="auto"/>
        <w:rPr>
          <w:rFonts w:ascii="Microsoft YaHei" w:hAnsi="Microsoft YaHei" w:eastAsia="Microsoft YaHei" w:cs="Microsoft YaHei"/>
          <w:sz w:val="72"/>
          <w:szCs w:val="72"/>
        </w:rPr>
      </w:pPr>
      <w:r>
        <w:rPr>
          <w:rFonts w:ascii="Microsoft YaHei" w:hAnsi="Microsoft YaHei" w:eastAsia="Microsoft YaHei" w:cs="Microsoft YaHei"/>
          <w:sz w:val="72"/>
          <w:szCs w:val="72"/>
          <w:b/>
          <w:bCs/>
          <w:color w:val="00338D"/>
          <w:spacing w:val="-4"/>
        </w:rPr>
        <w:t>研究爆发</w:t>
      </w:r>
    </w:p>
    <w:p>
      <w:pPr>
        <w:ind w:left="34"/>
        <w:spacing w:before="228" w:line="180" w:lineRule="auto"/>
        <w:rPr>
          <w:rFonts w:ascii="Microsoft YaHei" w:hAnsi="Microsoft YaHei" w:eastAsia="Microsoft YaHei" w:cs="Microsoft YaHei"/>
          <w:sz w:val="36"/>
          <w:szCs w:val="36"/>
        </w:rPr>
      </w:pPr>
      <w:r>
        <w:rPr>
          <w:rFonts w:ascii="Microsoft YaHei" w:hAnsi="Microsoft YaHei" w:eastAsia="Microsoft YaHei" w:cs="Microsoft YaHei"/>
          <w:sz w:val="36"/>
          <w:szCs w:val="36"/>
          <w:b/>
          <w:bCs/>
          <w:color w:val="00338D"/>
          <w:spacing w:val="-2"/>
        </w:rPr>
        <w:t>新成立储能企业激增</w:t>
      </w:r>
    </w:p>
    <w:p>
      <w:pPr>
        <w:ind w:left="8" w:right="2827" w:firstLine="2"/>
        <w:spacing w:before="120" w:line="216"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在2021年之前，每年新成立的储能相关企业三四千家。在实现“双碳”</w:t>
      </w:r>
      <w:r>
        <w:rPr>
          <w:rFonts w:ascii="Microsoft YaHei" w:hAnsi="Microsoft YaHei" w:eastAsia="Microsoft YaHei" w:cs="Microsoft YaHei"/>
          <w:sz w:val="21"/>
          <w:szCs w:val="21"/>
          <w:spacing w:val="-15"/>
        </w:rPr>
        <w:t xml:space="preserve"> </w:t>
      </w:r>
      <w:r>
        <w:rPr>
          <w:rFonts w:ascii="Microsoft YaHei" w:hAnsi="Microsoft YaHei" w:eastAsia="Microsoft YaHei" w:cs="Microsoft YaHei"/>
          <w:sz w:val="21"/>
          <w:szCs w:val="21"/>
          <w:spacing w:val="1"/>
        </w:rPr>
        <w:t>目标和政策支</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持新型储能的背景下，储能发展进入了快车道。2022年成立了38,294家储能相关企业，</w:t>
      </w:r>
      <w:r>
        <w:rPr>
          <w:rFonts w:ascii="Microsoft YaHei" w:hAnsi="Microsoft YaHei" w:eastAsia="Microsoft YaHei" w:cs="Microsoft YaHei"/>
          <w:sz w:val="21"/>
          <w:szCs w:val="21"/>
          <w:spacing w:val="18"/>
        </w:rPr>
        <w:t xml:space="preserve"> </w:t>
      </w:r>
      <w:r>
        <w:rPr>
          <w:rFonts w:ascii="Microsoft YaHei" w:hAnsi="Microsoft YaHei" w:eastAsia="Microsoft YaHei" w:cs="Microsoft YaHei"/>
          <w:sz w:val="21"/>
          <w:szCs w:val="21"/>
        </w:rPr>
        <w:t>是2021年的5.8倍（图</w:t>
      </w:r>
      <w:r>
        <w:rPr>
          <w:rFonts w:ascii="Microsoft YaHei" w:hAnsi="Microsoft YaHei" w:eastAsia="Microsoft YaHei" w:cs="Microsoft YaHei"/>
          <w:sz w:val="21"/>
          <w:szCs w:val="21"/>
          <w:spacing w:val="57"/>
          <w:w w:val="101"/>
        </w:rPr>
        <w:t xml:space="preserve"> </w:t>
      </w:r>
      <w:r>
        <w:rPr>
          <w:rFonts w:ascii="Microsoft YaHei" w:hAnsi="Microsoft YaHei" w:eastAsia="Microsoft YaHei" w:cs="Microsoft YaHei"/>
          <w:sz w:val="21"/>
          <w:szCs w:val="21"/>
        </w:rPr>
        <w:t>25）</w:t>
      </w:r>
      <w:r>
        <w:rPr>
          <w:rFonts w:ascii="Microsoft YaHei" w:hAnsi="Microsoft YaHei" w:eastAsia="Microsoft YaHei" w:cs="Microsoft YaHei"/>
          <w:sz w:val="21"/>
          <w:szCs w:val="21"/>
          <w:spacing w:val="-39"/>
        </w:rPr>
        <w:t xml:space="preserve"> </w:t>
      </w:r>
      <w:r>
        <w:rPr>
          <w:rFonts w:ascii="Microsoft YaHei" w:hAnsi="Microsoft YaHei" w:eastAsia="Microsoft YaHei" w:cs="Microsoft YaHei"/>
          <w:sz w:val="21"/>
          <w:szCs w:val="21"/>
        </w:rPr>
        <w:t>。新设企业数量激增一定程度上也反映了储能赛道的火</w:t>
      </w:r>
      <w:r>
        <w:rPr>
          <w:rFonts w:ascii="Microsoft YaHei" w:hAnsi="Microsoft YaHei" w:eastAsia="Microsoft YaHei" w:cs="Microsoft YaHei"/>
          <w:sz w:val="21"/>
          <w:szCs w:val="21"/>
          <w:spacing w:val="-1"/>
        </w:rPr>
        <w:t>热，</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华兴资本报告指出，储能赛道是2022年第二、第三季度投资人最关注的热点，连续两    </w:t>
      </w:r>
      <w:r>
        <w:rPr>
          <w:rFonts w:ascii="Microsoft YaHei" w:hAnsi="Microsoft YaHei" w:eastAsia="Microsoft YaHei" w:cs="Microsoft YaHei"/>
          <w:sz w:val="21"/>
          <w:szCs w:val="21"/>
        </w:rPr>
        <w:t>个季度排名第一</w:t>
      </w:r>
      <w:r>
        <w:rPr>
          <w:rFonts w:ascii="Microsoft YaHei" w:hAnsi="Microsoft YaHei" w:eastAsia="Microsoft YaHei" w:cs="Microsoft YaHei"/>
          <w:sz w:val="13"/>
          <w:szCs w:val="13"/>
          <w:position w:val="5"/>
        </w:rPr>
        <w:t>63</w:t>
      </w:r>
      <w:r>
        <w:rPr>
          <w:rFonts w:ascii="Microsoft YaHei" w:hAnsi="Microsoft YaHei" w:eastAsia="Microsoft YaHei" w:cs="Microsoft YaHei"/>
          <w:sz w:val="21"/>
          <w:szCs w:val="21"/>
        </w:rPr>
        <w:t>。</w:t>
      </w:r>
    </w:p>
    <w:p>
      <w:pPr>
        <w:spacing w:before="187" w:line="585" w:lineRule="exact"/>
        <w:rPr/>
      </w:pPr>
      <w:r>
        <w:rPr>
          <w:position w:val="-11"/>
        </w:rPr>
        <w:pict>
          <v:group id="_x0000_s1326" style="mso-position-vertical-relative:line;mso-position-horizontal-relative:char;width:482.2pt;height:29.3pt;" filled="false" stroked="false" coordsize="9644,585" coordorigin="0,0">
            <v:group id="_x0000_s1328" style="position:absolute;left:0;top:0;width:9644;height:585;" filled="false" stroked="false" coordsize="9644,585" coordorigin="0,0">
              <v:shape id="_x0000_s1330" style="position:absolute;left:0;top:66;width:9644;height:519;" fillcolor="#F1F1F1" filled="true" stroked="false" coordsize="9644,519" coordorigin="0,0" path="m,l9643,0l9643,518l0,518l0,0xe"/>
              <v:shape id="_x0000_s1332" style="position:absolute;left:2;top:0;width:610;height:100;" filled="false" strokecolor="#00338D" strokeweight="5.00pt" coordsize="610,100" coordorigin="0,0" path="m0,50l610,50e">
                <v:stroke joinstyle="miter"/>
              </v:shape>
            </v:group>
            <v:shape id="_x0000_s1334" style="position:absolute;left:-20;top:-20;width:9684;height:625;" filled="false" stroked="false" type="#_x0000_t202">
              <v:fill on="false"/>
              <v:stroke on="false"/>
              <v:path/>
              <v:imagedata o:title=""/>
              <o:lock v:ext="edit" aspectratio="false"/>
              <v:textbox inset="0mm,0mm,0mm,0mm">
                <w:txbxContent>
                  <w:p>
                    <w:pPr>
                      <w:ind w:left="180"/>
                      <w:spacing w:before="207" w:line="21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338D"/>
                        <w:spacing w:val="-3"/>
                      </w:rPr>
                      <w:t>图 25 </w:t>
                    </w:r>
                    <w:r>
                      <w:rPr>
                        <w:sz w:val="21"/>
                        <w:szCs w:val="21"/>
                        <w:position w:val="-5"/>
                      </w:rPr>
                      <w:drawing>
                        <wp:inline distT="0" distB="0" distL="0" distR="0">
                          <wp:extent cx="12700" cy="175666"/>
                          <wp:effectExtent l="0" t="0" r="0" b="0"/>
                          <wp:docPr id="670" name="IM 670"/>
                          <wp:cNvGraphicFramePr/>
                          <a:graphic>
                            <a:graphicData uri="http://schemas.openxmlformats.org/drawingml/2006/picture">
                              <pic:pic>
                                <pic:nvPicPr>
                                  <pic:cNvPr id="670" name="IM 670"/>
                                  <pic:cNvPicPr/>
                                </pic:nvPicPr>
                                <pic:blipFill>
                                  <a:blip r:embed="rId320"/>
                                  <a:stretch>
                                    <a:fillRect/>
                                  </a:stretch>
                                </pic:blipFill>
                                <pic:spPr>
                                  <a:xfrm rot="0">
                                    <a:off x="0" y="0"/>
                                    <a:ext cx="12700" cy="175666"/>
                                  </a:xfrm>
                                  <a:prstGeom prst="rect">
                                    <a:avLst/>
                                  </a:prstGeom>
                                </pic:spPr>
                              </pic:pic>
                            </a:graphicData>
                          </a:graphic>
                        </wp:inline>
                      </w:drawing>
                    </w:r>
                    <w:r>
                      <w:rPr>
                        <w:rFonts w:ascii="Microsoft YaHei" w:hAnsi="Microsoft YaHei" w:eastAsia="Microsoft YaHei" w:cs="Microsoft YaHei"/>
                        <w:sz w:val="21"/>
                        <w:szCs w:val="21"/>
                        <w:b/>
                        <w:bCs/>
                        <w:color w:val="00338D"/>
                        <w:spacing w:val="24"/>
                      </w:rPr>
                      <w:t xml:space="preserve">  </w:t>
                    </w:r>
                    <w:r>
                      <w:rPr>
                        <w:rFonts w:ascii="Microsoft YaHei" w:hAnsi="Microsoft YaHei" w:eastAsia="Microsoft YaHei" w:cs="Microsoft YaHei"/>
                        <w:sz w:val="21"/>
                        <w:szCs w:val="21"/>
                        <w:b/>
                        <w:bCs/>
                        <w:color w:val="00338D"/>
                        <w:spacing w:val="-3"/>
                      </w:rPr>
                      <w:t>2018年至2022年新成立储能企业数量</w:t>
                    </w:r>
                  </w:p>
                </w:txbxContent>
              </v:textbox>
            </v:shape>
          </v:group>
        </w:pict>
      </w:r>
    </w:p>
    <w:p>
      <w:pPr>
        <w:pStyle w:val="BodyText"/>
        <w:rPr/>
      </w:pPr>
      <w:r/>
    </w:p>
    <w:p>
      <w:pPr>
        <w:ind w:left="56"/>
        <w:spacing w:before="78" w:line="189" w:lineRule="exact"/>
        <w:rPr>
          <w:rFonts w:ascii="Microsoft YaHei" w:hAnsi="Microsoft YaHei" w:eastAsia="Microsoft YaHei" w:cs="Microsoft YaHei"/>
          <w:sz w:val="18"/>
          <w:szCs w:val="18"/>
        </w:rPr>
      </w:pPr>
      <w:r>
        <w:pict>
          <v:shape id="_x0000_s1336" style="position:absolute;margin-left:36.965pt;margin-top:7.96606pt;mso-position-vertical-relative:text;mso-position-horizontal-relative:text;width:3.5pt;height:95.9pt;z-index:253505536;" filled="false" strokecolor="#000000" strokeweight="0.25pt" coordsize="70,1918" coordorigin="0,0" path="m67,1850l67,2m0,1850l67,1850m0,1480l67,1480m0,1111l67,1111m0,741l67,741m0,372l67,372m0,2l67,2m67,1850l67,1917e">
            <v:stroke miterlimit="10"/>
          </v:shape>
        </w:pict>
      </w:r>
      <w:r>
        <w:rPr>
          <w:rFonts w:ascii="Microsoft YaHei" w:hAnsi="Microsoft YaHei" w:eastAsia="Microsoft YaHei" w:cs="Microsoft YaHei"/>
          <w:sz w:val="18"/>
          <w:szCs w:val="18"/>
          <w:spacing w:val="-4"/>
        </w:rPr>
        <w:t>50,000</w:t>
      </w:r>
    </w:p>
    <w:p>
      <w:pPr>
        <w:ind w:left="8486"/>
        <w:spacing w:line="180" w:lineRule="exact"/>
        <w:rPr>
          <w:rFonts w:ascii="Microsoft YaHei" w:hAnsi="Microsoft YaHei" w:eastAsia="Microsoft YaHei" w:cs="Microsoft YaHei"/>
          <w:sz w:val="18"/>
          <w:szCs w:val="18"/>
        </w:rPr>
      </w:pPr>
      <w:r>
        <w:rPr>
          <w:rFonts w:ascii="Microsoft YaHei" w:hAnsi="Microsoft YaHei" w:eastAsia="Microsoft YaHei" w:cs="Microsoft YaHei"/>
          <w:sz w:val="18"/>
          <w:szCs w:val="18"/>
          <w:spacing w:val="-3"/>
        </w:rPr>
        <w:t>38,294</w:t>
      </w:r>
    </w:p>
    <w:p>
      <w:pPr>
        <w:ind w:left="55"/>
        <w:spacing w:before="1" w:line="179" w:lineRule="auto"/>
        <w:rPr>
          <w:rFonts w:ascii="Microsoft YaHei" w:hAnsi="Microsoft YaHei" w:eastAsia="Microsoft YaHei" w:cs="Microsoft YaHei"/>
          <w:sz w:val="18"/>
          <w:szCs w:val="18"/>
        </w:rPr>
      </w:pPr>
      <w:r>
        <w:drawing>
          <wp:anchor distT="0" distB="0" distL="0" distR="0" simplePos="0" relativeHeight="253500416" behindDoc="0" locked="0" layoutInCell="1" allowOverlap="1">
            <wp:simplePos x="0" y="0"/>
            <wp:positionH relativeFrom="column">
              <wp:posOffset>896112</wp:posOffset>
            </wp:positionH>
            <wp:positionV relativeFrom="paragraph">
              <wp:posOffset>93153</wp:posOffset>
            </wp:positionV>
            <wp:extent cx="4843271" cy="896111"/>
            <wp:effectExtent l="0" t="0" r="0" b="0"/>
            <wp:wrapNone/>
            <wp:docPr id="672" name="IM 672"/>
            <wp:cNvGraphicFramePr/>
            <a:graphic>
              <a:graphicData uri="http://schemas.openxmlformats.org/drawingml/2006/picture">
                <pic:pic>
                  <pic:nvPicPr>
                    <pic:cNvPr id="672" name="IM 672"/>
                    <pic:cNvPicPr/>
                  </pic:nvPicPr>
                  <pic:blipFill>
                    <a:blip r:embed="rId321"/>
                    <a:stretch>
                      <a:fillRect/>
                    </a:stretch>
                  </pic:blipFill>
                  <pic:spPr>
                    <a:xfrm rot="0">
                      <a:off x="0" y="0"/>
                      <a:ext cx="4843271" cy="896111"/>
                    </a:xfrm>
                    <a:prstGeom prst="rect">
                      <a:avLst/>
                    </a:prstGeom>
                  </pic:spPr>
                </pic:pic>
              </a:graphicData>
            </a:graphic>
          </wp:anchor>
        </w:drawing>
      </w:r>
      <w:r>
        <w:rPr>
          <w:rFonts w:ascii="Microsoft YaHei" w:hAnsi="Microsoft YaHei" w:eastAsia="Microsoft YaHei" w:cs="Microsoft YaHei"/>
          <w:sz w:val="18"/>
          <w:szCs w:val="18"/>
          <w:spacing w:val="-3"/>
        </w:rPr>
        <w:t>40,000</w:t>
      </w:r>
    </w:p>
    <w:p>
      <w:pPr>
        <w:ind w:left="57"/>
        <w:spacing w:before="139" w:line="179"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4"/>
        </w:rPr>
        <w:t>30,000</w:t>
      </w:r>
    </w:p>
    <w:p>
      <w:pPr>
        <w:ind w:left="59"/>
        <w:spacing w:before="139" w:line="179"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4"/>
        </w:rPr>
        <w:t>20,000</w:t>
      </w:r>
    </w:p>
    <w:p>
      <w:pPr>
        <w:ind w:left="67"/>
        <w:spacing w:before="139" w:line="179" w:lineRule="auto"/>
        <w:rPr>
          <w:rFonts w:ascii="Microsoft YaHei" w:hAnsi="Microsoft YaHei" w:eastAsia="Microsoft YaHei" w:cs="Microsoft YaHei"/>
          <w:sz w:val="18"/>
          <w:szCs w:val="18"/>
        </w:rPr>
      </w:pPr>
      <w:r>
        <w:pict>
          <v:shape id="_x0000_s1338" style="position:absolute;margin-left:337.762pt;margin-top:0.022856pt;mso-position-vertical-relative:text;mso-position-horizontal-relative:text;width:24.35pt;height:13.55pt;z-index:253520896;" filled="false" stroked="false" type="#_x0000_t202">
            <v:fill on="false"/>
            <v:stroke on="false"/>
            <v:path/>
            <v:imagedata o:title=""/>
            <o:lock v:ext="edit" aspectratio="false"/>
            <v:textbox inset="0mm,0mm,0mm,0mm">
              <w:txbxContent>
                <w:p>
                  <w:pPr>
                    <w:ind w:left="20"/>
                    <w:spacing w:before="20" w:line="179"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4"/>
                    </w:rPr>
                    <w:t>6,631</w:t>
                  </w:r>
                </w:p>
              </w:txbxContent>
            </v:textbox>
          </v:shape>
        </w:pict>
      </w:r>
      <w:r>
        <w:pict>
          <v:shape id="_x0000_s1340" style="position:absolute;margin-left:249.088pt;margin-top:5.53131pt;mso-position-vertical-relative:text;mso-position-horizontal-relative:text;width:24.6pt;height:13.55pt;z-index:253519872;" filled="false" stroked="false" type="#_x0000_t202">
            <v:fill on="false"/>
            <v:stroke on="false"/>
            <v:path/>
            <v:imagedata o:title=""/>
            <o:lock v:ext="edit" aspectratio="false"/>
            <v:textbox inset="0mm,0mm,0mm,0mm">
              <w:txbxContent>
                <w:p>
                  <w:pPr>
                    <w:ind w:left="20"/>
                    <w:spacing w:before="20" w:line="179"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3"/>
                    </w:rPr>
                    <w:t>3,650</w:t>
                  </w:r>
                </w:p>
              </w:txbxContent>
            </v:textbox>
          </v:shape>
        </w:pict>
      </w:r>
      <w:r>
        <w:pict>
          <v:shape id="_x0000_s1342" style="position:absolute;margin-left:72.2331pt;margin-top:5.93259pt;mso-position-vertical-relative:text;mso-position-horizontal-relative:text;width:24.6pt;height:13.55pt;z-index:253518848;" filled="false" stroked="false" type="#_x0000_t202">
            <v:fill on="false"/>
            <v:stroke on="false"/>
            <v:path/>
            <v:imagedata o:title=""/>
            <o:lock v:ext="edit" aspectratio="false"/>
            <v:textbox inset="0mm,0mm,0mm,0mm">
              <w:txbxContent>
                <w:p>
                  <w:pPr>
                    <w:ind w:left="20"/>
                    <w:spacing w:before="20" w:line="179"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3"/>
                    </w:rPr>
                    <w:t>3,433</w:t>
                  </w:r>
                </w:p>
              </w:txbxContent>
            </v:textbox>
          </v:shape>
        </w:pict>
      </w:r>
      <w:r>
        <w:pict>
          <v:shape id="_x0000_s1344" style="position:absolute;margin-left:160.579pt;margin-top:4.43692pt;mso-position-vertical-relative:text;mso-position-horizontal-relative:text;width:24.65pt;height:13.55pt;z-index:253517824;" filled="false" stroked="false" type="#_x0000_t202">
            <v:fill on="false"/>
            <v:stroke on="false"/>
            <v:path/>
            <v:imagedata o:title=""/>
            <o:lock v:ext="edit" aspectratio="false"/>
            <v:textbox inset="0mm,0mm,0mm,0mm">
              <w:txbxContent>
                <w:p>
                  <w:pPr>
                    <w:ind w:left="20"/>
                    <w:spacing w:before="20" w:line="179"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2"/>
                    </w:rPr>
                    <w:t>4,244</w:t>
                  </w:r>
                </w:p>
              </w:txbxContent>
            </v:textbox>
          </v:shape>
        </w:pict>
      </w:r>
      <w:r>
        <w:rPr>
          <w:rFonts w:ascii="Microsoft YaHei" w:hAnsi="Microsoft YaHei" w:eastAsia="Microsoft YaHei" w:cs="Microsoft YaHei"/>
          <w:sz w:val="18"/>
          <w:szCs w:val="18"/>
          <w:spacing w:val="-5"/>
        </w:rPr>
        <w:t>10,000</w:t>
      </w:r>
    </w:p>
    <w:p>
      <w:pPr>
        <w:ind w:left="510"/>
        <w:spacing w:before="139" w:line="172" w:lineRule="auto"/>
        <w:rPr>
          <w:rFonts w:ascii="Microsoft YaHei" w:hAnsi="Microsoft YaHei" w:eastAsia="Microsoft YaHei" w:cs="Microsoft YaHei"/>
          <w:sz w:val="18"/>
          <w:szCs w:val="18"/>
        </w:rPr>
      </w:pPr>
      <w:r>
        <w:pict>
          <v:shape id="_x0000_s1346" style="position:absolute;margin-left:40.325pt;margin-top:11.0276pt;mso-position-vertical-relative:text;mso-position-horizontal-relative:text;width:442.25pt;height:3.5pt;z-index:253502464;" filled="false" strokecolor="#000000" strokeweight="0.25pt" coordsize="8845,70" coordorigin="0,0" path="m0,2l8841,2m1766,2l1766,69m3537,2l3537,69m5304,2l5304,69m7075,2l7075,69m8841,2l8841,69e">
            <v:stroke miterlimit="10"/>
          </v:shape>
        </w:pict>
      </w:r>
      <w:r>
        <w:rPr>
          <w:rFonts w:ascii="Microsoft YaHei" w:hAnsi="Microsoft YaHei" w:eastAsia="Microsoft YaHei" w:cs="Microsoft YaHei"/>
          <w:sz w:val="18"/>
          <w:szCs w:val="18"/>
        </w:rPr>
        <w:t>0</w:t>
      </w:r>
    </w:p>
    <w:p>
      <w:pPr>
        <w:ind w:left="1495"/>
        <w:spacing w:before="72" w:line="172"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8"/>
        </w:rPr>
        <w:t>2018</w:t>
      </w:r>
      <w:r>
        <w:rPr>
          <w:rFonts w:ascii="Microsoft YaHei" w:hAnsi="Microsoft YaHei" w:eastAsia="Microsoft YaHei" w:cs="Microsoft YaHei"/>
          <w:sz w:val="18"/>
          <w:szCs w:val="18"/>
          <w:spacing w:val="2"/>
        </w:rPr>
        <w:t xml:space="preserve">                         </w:t>
      </w:r>
      <w:r>
        <w:rPr>
          <w:rFonts w:ascii="Microsoft YaHei" w:hAnsi="Microsoft YaHei" w:eastAsia="Microsoft YaHei" w:cs="Microsoft YaHei"/>
          <w:sz w:val="18"/>
          <w:szCs w:val="18"/>
          <w:spacing w:val="-8"/>
        </w:rPr>
        <w:t>2019</w:t>
      </w:r>
      <w:r>
        <w:rPr>
          <w:rFonts w:ascii="Microsoft YaHei" w:hAnsi="Microsoft YaHei" w:eastAsia="Microsoft YaHei" w:cs="Microsoft YaHei"/>
          <w:sz w:val="18"/>
          <w:szCs w:val="18"/>
          <w:spacing w:val="2"/>
        </w:rPr>
        <w:t xml:space="preserve">                         </w:t>
      </w:r>
      <w:r>
        <w:rPr>
          <w:rFonts w:ascii="Microsoft YaHei" w:hAnsi="Microsoft YaHei" w:eastAsia="Microsoft YaHei" w:cs="Microsoft YaHei"/>
          <w:sz w:val="18"/>
          <w:szCs w:val="18"/>
          <w:spacing w:val="-8"/>
        </w:rPr>
        <w:t>2020</w:t>
      </w:r>
      <w:r>
        <w:rPr>
          <w:rFonts w:ascii="Microsoft YaHei" w:hAnsi="Microsoft YaHei" w:eastAsia="Microsoft YaHei" w:cs="Microsoft YaHei"/>
          <w:sz w:val="18"/>
          <w:szCs w:val="18"/>
          <w:spacing w:val="2"/>
        </w:rPr>
        <w:t xml:space="preserve">                         </w:t>
      </w:r>
      <w:r>
        <w:rPr>
          <w:rFonts w:ascii="Microsoft YaHei" w:hAnsi="Microsoft YaHei" w:eastAsia="Microsoft YaHei" w:cs="Microsoft YaHei"/>
          <w:sz w:val="18"/>
          <w:szCs w:val="18"/>
          <w:spacing w:val="-8"/>
        </w:rPr>
        <w:t>2021</w:t>
      </w:r>
      <w:r>
        <w:rPr>
          <w:rFonts w:ascii="Microsoft YaHei" w:hAnsi="Microsoft YaHei" w:eastAsia="Microsoft YaHei" w:cs="Microsoft YaHei"/>
          <w:sz w:val="18"/>
          <w:szCs w:val="18"/>
          <w:spacing w:val="2"/>
        </w:rPr>
        <w:t xml:space="preserve">                     </w:t>
      </w:r>
      <w:r>
        <w:rPr>
          <w:rFonts w:ascii="Microsoft YaHei" w:hAnsi="Microsoft YaHei" w:eastAsia="Microsoft YaHei" w:cs="Microsoft YaHei"/>
          <w:sz w:val="18"/>
          <w:szCs w:val="18"/>
          <w:spacing w:val="1"/>
        </w:rPr>
        <w:t xml:space="preserve">    </w:t>
      </w:r>
      <w:r>
        <w:rPr>
          <w:rFonts w:ascii="Microsoft YaHei" w:hAnsi="Microsoft YaHei" w:eastAsia="Microsoft YaHei" w:cs="Microsoft YaHei"/>
          <w:sz w:val="18"/>
          <w:szCs w:val="18"/>
          <w:spacing w:val="-8"/>
        </w:rPr>
        <w:t>2022</w:t>
      </w:r>
    </w:p>
    <w:p>
      <w:pPr>
        <w:ind w:left="8"/>
        <w:spacing w:before="108" w:line="178"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7"/>
        </w:rPr>
        <w:t>数据来源：天眼查，毕马威分析</w:t>
      </w:r>
    </w:p>
    <w:p>
      <w:pPr>
        <w:ind w:left="11" w:right="1366" w:hanging="3"/>
        <w:spacing w:before="1" w:line="181"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10"/>
        </w:rPr>
        <w:t>注：本文储能相关企业包括储能全产业链相关企业，涵盖储能</w:t>
      </w:r>
      <w:r>
        <w:rPr>
          <w:rFonts w:ascii="Microsoft YaHei" w:hAnsi="Microsoft YaHei" w:eastAsia="Microsoft YaHei" w:cs="Microsoft YaHei"/>
          <w:sz w:val="15"/>
          <w:szCs w:val="15"/>
          <w:spacing w:val="9"/>
        </w:rPr>
        <w:t>系统及上游零部件、材料，储能工程设计、储能技术服务、储能项目投资运</w:t>
      </w:r>
      <w:r>
        <w:rPr>
          <w:rFonts w:ascii="Microsoft YaHei" w:hAnsi="Microsoft YaHei" w:eastAsia="Microsoft YaHei" w:cs="Microsoft YaHei"/>
          <w:sz w:val="15"/>
          <w:szCs w:val="15"/>
        </w:rPr>
        <w:t xml:space="preserve"> </w:t>
      </w:r>
      <w:r>
        <w:rPr>
          <w:rFonts w:ascii="Microsoft YaHei" w:hAnsi="Microsoft YaHei" w:eastAsia="Microsoft YaHei" w:cs="Microsoft YaHei"/>
          <w:sz w:val="15"/>
          <w:szCs w:val="15"/>
        </w:rPr>
        <w:t>营等环节。</w:t>
      </w:r>
    </w:p>
    <w:p>
      <w:pPr>
        <w:pStyle w:val="BodyText"/>
        <w:spacing w:line="411" w:lineRule="auto"/>
        <w:rPr/>
      </w:pPr>
      <w:r/>
    </w:p>
    <w:p>
      <w:pPr>
        <w:ind w:left="8" w:right="3002"/>
        <w:spacing w:before="91" w:line="21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地域分布看，广东省、</w:t>
      </w:r>
      <w:r>
        <w:rPr>
          <w:rFonts w:ascii="Microsoft YaHei" w:hAnsi="Microsoft YaHei" w:eastAsia="Microsoft YaHei" w:cs="Microsoft YaHei"/>
          <w:sz w:val="21"/>
          <w:szCs w:val="21"/>
          <w:spacing w:val="-27"/>
        </w:rPr>
        <w:t xml:space="preserve"> </w:t>
      </w:r>
      <w:r>
        <w:rPr>
          <w:rFonts w:ascii="Microsoft YaHei" w:hAnsi="Microsoft YaHei" w:eastAsia="Microsoft YaHei" w:cs="Microsoft YaHei"/>
          <w:sz w:val="21"/>
          <w:szCs w:val="21"/>
        </w:rPr>
        <w:t>江苏省产业集聚效应明显。2022</w:t>
      </w:r>
      <w:r>
        <w:rPr>
          <w:rFonts w:ascii="Microsoft YaHei" w:hAnsi="Microsoft YaHei" w:eastAsia="Microsoft YaHei" w:cs="Microsoft YaHei"/>
          <w:sz w:val="21"/>
          <w:szCs w:val="21"/>
          <w:spacing w:val="-30"/>
        </w:rPr>
        <w:t xml:space="preserve"> </w:t>
      </w:r>
      <w:r>
        <w:rPr>
          <w:rFonts w:ascii="Microsoft YaHei" w:hAnsi="Microsoft YaHei" w:eastAsia="Microsoft YaHei" w:cs="Microsoft YaHei"/>
          <w:sz w:val="21"/>
          <w:szCs w:val="21"/>
        </w:rPr>
        <w:t>，广东省（包括深圳）</w:t>
      </w:r>
      <w:r>
        <w:rPr>
          <w:rFonts w:ascii="Microsoft YaHei" w:hAnsi="Microsoft YaHei" w:eastAsia="Microsoft YaHei" w:cs="Microsoft YaHei"/>
          <w:sz w:val="21"/>
          <w:szCs w:val="21"/>
          <w:spacing w:val="-42"/>
        </w:rPr>
        <w:t xml:space="preserve"> </w:t>
      </w:r>
      <w:r>
        <w:rPr>
          <w:rFonts w:ascii="Microsoft YaHei" w:hAnsi="Microsoft YaHei" w:eastAsia="Microsoft YaHei" w:cs="Microsoft YaHei"/>
          <w:sz w:val="21"/>
          <w:szCs w:val="21"/>
        </w:rPr>
        <w:t>和江苏 </w:t>
      </w:r>
      <w:r>
        <w:rPr>
          <w:rFonts w:ascii="Microsoft YaHei" w:hAnsi="Microsoft YaHei" w:eastAsia="Microsoft YaHei" w:cs="Microsoft YaHei"/>
          <w:sz w:val="21"/>
          <w:szCs w:val="21"/>
          <w:spacing w:val="-1"/>
        </w:rPr>
        <w:t>省新成立的储能相关企业分别为4,044、3,225家</w:t>
      </w:r>
      <w:r>
        <w:rPr>
          <w:rFonts w:ascii="Microsoft YaHei" w:hAnsi="Microsoft YaHei" w:eastAsia="Microsoft YaHei" w:cs="Microsoft YaHei"/>
          <w:sz w:val="21"/>
          <w:szCs w:val="21"/>
          <w:spacing w:val="-11"/>
        </w:rPr>
        <w:t xml:space="preserve"> </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占比10%、8%（图  26）</w:t>
      </w:r>
      <w:r>
        <w:rPr>
          <w:rFonts w:ascii="Microsoft YaHei" w:hAnsi="Microsoft YaHei" w:eastAsia="Microsoft YaHei" w:cs="Microsoft YaHei"/>
          <w:sz w:val="21"/>
          <w:szCs w:val="21"/>
          <w:spacing w:val="-39"/>
        </w:rPr>
        <w:t xml:space="preserve"> </w:t>
      </w:r>
      <w:r>
        <w:rPr>
          <w:rFonts w:ascii="Microsoft YaHei" w:hAnsi="Microsoft YaHei" w:eastAsia="Microsoft YaHei" w:cs="Microsoft YaHei"/>
          <w:sz w:val="21"/>
          <w:szCs w:val="21"/>
          <w:spacing w:val="-1"/>
        </w:rPr>
        <w:t>。广东省</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和江苏省经济发达</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，对用电需求大</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2"/>
        </w:rPr>
        <w:t>，且电池、</w:t>
      </w:r>
      <w:r>
        <w:rPr>
          <w:rFonts w:ascii="Microsoft YaHei" w:hAnsi="Microsoft YaHei" w:eastAsia="Microsoft YaHei" w:cs="Microsoft YaHei"/>
          <w:sz w:val="21"/>
          <w:szCs w:val="21"/>
          <w:spacing w:val="-37"/>
        </w:rPr>
        <w:t xml:space="preserve"> </w:t>
      </w:r>
      <w:r>
        <w:rPr>
          <w:rFonts w:ascii="Microsoft YaHei" w:hAnsi="Microsoft YaHei" w:eastAsia="Microsoft YaHei" w:cs="Microsoft YaHei"/>
          <w:sz w:val="21"/>
          <w:szCs w:val="21"/>
          <w:spacing w:val="2"/>
        </w:rPr>
        <w:t>电力调度、储能系统等产业配套完善，</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技术人才集聚，企业靠近终端需求和人才聚集地</w:t>
      </w:r>
      <w:r>
        <w:rPr>
          <w:rFonts w:ascii="Microsoft YaHei" w:hAnsi="Microsoft YaHei" w:eastAsia="Microsoft YaHei" w:cs="Microsoft YaHei"/>
          <w:sz w:val="21"/>
          <w:szCs w:val="21"/>
          <w:spacing w:val="-1"/>
        </w:rPr>
        <w:t>，利于储能产业发挥集聚效应。</w:t>
      </w:r>
    </w:p>
    <w:p>
      <w:pPr>
        <w:pStyle w:val="BodyText"/>
        <w:spacing w:line="384" w:lineRule="auto"/>
        <w:rPr/>
      </w:pPr>
      <w:r>
        <w:pict>
          <v:rect id="_x0000_s1348" style="position:absolute;margin-left:0.119995pt;margin-top:14.5321pt;mso-position-vertical-relative:text;mso-position-horizontal-relative:text;width:30.5pt;height:5pt;z-index:253521920;" fillcolor="#00338D" filled="true" stroked="false"/>
        </w:pict>
      </w:r>
      <w:r/>
    </w:p>
    <w:p>
      <w:pPr>
        <w:ind w:left="160"/>
        <w:spacing w:before="91" w:line="215" w:lineRule="auto"/>
        <w:rPr>
          <w:sz w:val="21"/>
          <w:szCs w:val="21"/>
        </w:rPr>
      </w:pPr>
      <w:r>
        <mc:AlternateContent xmlns:mc="http://schemas.openxmlformats.org/markup-compatibility/2006">
          <mc:Choice Requires="wps">
            <w:drawing>
              <wp:anchor distT="0" distB="0" distL="0" distR="0" simplePos="0" relativeHeight="253498368" behindDoc="1" locked="0" layoutInCell="1" allowOverlap="1">
                <wp:simplePos x="0" y="0"/>
                <wp:positionH relativeFrom="column">
                  <wp:posOffset>0</wp:posOffset>
                </wp:positionH>
                <wp:positionV relativeFrom="paragraph">
                  <wp:posOffset>-18367</wp:posOffset>
                </wp:positionV>
                <wp:extent cx="6123940" cy="329565"/>
                <wp:effectExtent l="0" t="0" r="0" b="0"/>
                <wp:wrapNone/>
                <wp:docPr id="674" name="Rect 674"/>
                <wp:cNvGraphicFramePr/>
                <a:graphic>
                  <a:graphicData uri="http://schemas.microsoft.com/office/word/2010/wordprocessingShape">
                    <wps:wsp>
                      <wps:cNvPr id="674" name="Rect 674"/>
                      <wps:cNvSpPr/>
                      <wps:spPr>
                        <a:xfrm>
                          <a:off x="0" y="-18367"/>
                          <a:ext cx="6123940" cy="329565"/>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350" style="position:absolute;margin-left:0pt;margin-top:-1.44627pt;mso-position-vertical-relative:text;mso-position-horizontal-relative:text;width:482.2pt;height:25.95pt;z-index:-249818112;" fillcolor="#F1F1F1" filled="true" stroked="false"/>
            </w:pict>
          </mc:Fallback>
        </mc:AlternateContent>
      </w:r>
      <w:r>
        <w:pict>
          <v:shape id="_x0000_s1352" style="position:absolute;margin-left:45.0364pt;margin-top:5.33636pt;mso-position-vertical-relative:text;mso-position-horizontal-relative:text;width:205.4pt;height:15.35pt;z-index:253501440;" filled="false" stroked="false" type="#_x0000_t202">
            <v:fill on="false"/>
            <v:stroke on="false"/>
            <v:path/>
            <v:imagedata o:title=""/>
            <o:lock v:ext="edit" aspectratio="false"/>
            <v:textbox inset="0mm,0mm,0mm,0mm">
              <w:txbxContent>
                <w:p>
                  <w:pPr>
                    <w:ind w:left="20"/>
                    <w:spacing w:before="20" w:line="17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338D"/>
                      <w:spacing w:val="-1"/>
                    </w:rPr>
                    <w:t>2022年新成立储能企业省份（直辖市）分布</w:t>
                  </w:r>
                </w:p>
              </w:txbxContent>
            </v:textbox>
          </v:shape>
        </w:pict>
      </w:r>
      <w:r>
        <w:rPr>
          <w:rFonts w:ascii="Microsoft YaHei" w:hAnsi="Microsoft YaHei" w:eastAsia="Microsoft YaHei" w:cs="Microsoft YaHei"/>
          <w:sz w:val="21"/>
          <w:szCs w:val="21"/>
          <w:b/>
          <w:bCs/>
          <w:color w:val="00338D"/>
          <w:spacing w:val="-11"/>
        </w:rPr>
        <w:t>图</w:t>
      </w:r>
      <w:r>
        <w:rPr>
          <w:rFonts w:ascii="Microsoft YaHei" w:hAnsi="Microsoft YaHei" w:eastAsia="Microsoft YaHei" w:cs="Microsoft YaHei"/>
          <w:sz w:val="21"/>
          <w:szCs w:val="21"/>
          <w:b/>
          <w:bCs/>
          <w:color w:val="00338D"/>
          <w:spacing w:val="-7"/>
        </w:rPr>
        <w:t xml:space="preserve"> </w:t>
      </w:r>
      <w:r>
        <w:rPr>
          <w:rFonts w:ascii="Microsoft YaHei" w:hAnsi="Microsoft YaHei" w:eastAsia="Microsoft YaHei" w:cs="Microsoft YaHei"/>
          <w:sz w:val="21"/>
          <w:szCs w:val="21"/>
          <w:b/>
          <w:bCs/>
          <w:color w:val="00338D"/>
          <w:spacing w:val="-11"/>
        </w:rPr>
        <w:t>26</w:t>
      </w:r>
      <w:r>
        <w:rPr>
          <w:rFonts w:ascii="Microsoft YaHei" w:hAnsi="Microsoft YaHei" w:eastAsia="Microsoft YaHei" w:cs="Microsoft YaHei"/>
          <w:sz w:val="21"/>
          <w:szCs w:val="21"/>
          <w:b/>
          <w:bCs/>
          <w:color w:val="00338D"/>
          <w:spacing w:val="13"/>
        </w:rPr>
        <w:t xml:space="preserve"> </w:t>
      </w:r>
      <w:r>
        <w:rPr>
          <w:sz w:val="21"/>
          <w:szCs w:val="21"/>
          <w:position w:val="-5"/>
        </w:rPr>
        <w:drawing>
          <wp:inline distT="0" distB="0" distL="0" distR="0">
            <wp:extent cx="12700" cy="175666"/>
            <wp:effectExtent l="0" t="0" r="0" b="0"/>
            <wp:docPr id="676" name="IM 676"/>
            <wp:cNvGraphicFramePr/>
            <a:graphic>
              <a:graphicData uri="http://schemas.openxmlformats.org/drawingml/2006/picture">
                <pic:pic>
                  <pic:nvPicPr>
                    <pic:cNvPr id="676" name="IM 676"/>
                    <pic:cNvPicPr/>
                  </pic:nvPicPr>
                  <pic:blipFill>
                    <a:blip r:embed="rId322"/>
                    <a:stretch>
                      <a:fillRect/>
                    </a:stretch>
                  </pic:blipFill>
                  <pic:spPr>
                    <a:xfrm rot="0">
                      <a:off x="0" y="0"/>
                      <a:ext cx="12700" cy="175666"/>
                    </a:xfrm>
                    <a:prstGeom prst="rect">
                      <a:avLst/>
                    </a:prstGeom>
                  </pic:spPr>
                </pic:pic>
              </a:graphicData>
            </a:graphic>
          </wp:inline>
        </w:drawing>
      </w:r>
    </w:p>
    <w:p>
      <w:pPr>
        <w:pStyle w:val="BodyText"/>
        <w:spacing w:line="295" w:lineRule="auto"/>
        <w:rPr/>
      </w:pPr>
      <w:r/>
    </w:p>
    <w:p>
      <w:pPr>
        <w:pStyle w:val="BodyText"/>
        <w:ind w:left="34"/>
        <w:spacing w:before="59" w:line="196" w:lineRule="auto"/>
        <w:rPr>
          <w:sz w:val="20"/>
          <w:szCs w:val="20"/>
        </w:rPr>
      </w:pPr>
      <w:r>
        <w:pict>
          <v:shape id="_x0000_s1354" style="position:absolute;margin-left:44.1277pt;margin-top:5.60634pt;mso-position-vertical-relative:text;mso-position-horizontal-relative:text;width:26.95pt;height:11.4pt;z-index:253506560;" filled="false" stroked="false" type="#_x0000_t202">
            <v:fill on="false"/>
            <v:stroke on="false"/>
            <v:path/>
            <v:imagedata o:title=""/>
            <o:lock v:ext="edit" aspectratio="false"/>
            <v:textbox inset="0mm,0mm,0mm,0mm">
              <w:txbxContent>
                <w:p>
                  <w:pPr>
                    <w:pStyle w:val="BodyText"/>
                    <w:ind w:left="20"/>
                    <w:spacing w:before="19" w:line="196" w:lineRule="auto"/>
                    <w:rPr>
                      <w:sz w:val="20"/>
                      <w:szCs w:val="20"/>
                    </w:rPr>
                  </w:pPr>
                  <w:r>
                    <w:rPr>
                      <w:sz w:val="20"/>
                      <w:szCs w:val="20"/>
                      <w:spacing w:val="-1"/>
                    </w:rPr>
                    <w:t>4,004</w:t>
                  </w:r>
                </w:p>
              </w:txbxContent>
            </v:textbox>
          </v:shape>
        </w:pict>
      </w:r>
      <w:r>
        <w:pict>
          <v:shape id="_x0000_s1356" style="position:absolute;margin-left:32.41pt;margin-top:6.90137pt;mso-position-vertical-relative:text;mso-position-horizontal-relative:text;width:3.4pt;height:126.25pt;z-index:253504512;" filled="false" strokecolor="#000000" strokeweight="0.50pt" coordsize="68,2525" coordorigin="0,0" path="m62,2467l62,5m0,2467l62,2467m0,2193l62,2193m0,1920l62,1920m0,1646l62,1646m0,1372l62,1372m0,1099l62,1099m0,825l62,825m0,552l62,552m0,278l62,278m0,5l62,5m62,2467l62,2524e">
            <v:stroke miterlimit="10"/>
          </v:shape>
        </w:pict>
      </w:r>
      <w:r>
        <w:rPr>
          <w:sz w:val="20"/>
          <w:szCs w:val="20"/>
          <w:spacing w:val="-1"/>
        </w:rPr>
        <w:t>4,500</w:t>
      </w:r>
    </w:p>
    <w:p>
      <w:pPr>
        <w:pStyle w:val="BodyText"/>
        <w:ind w:left="34"/>
        <w:spacing w:before="85" w:line="196" w:lineRule="auto"/>
        <w:rPr>
          <w:sz w:val="20"/>
          <w:szCs w:val="20"/>
        </w:rPr>
      </w:pPr>
      <w:r>
        <w:drawing>
          <wp:anchor distT="0" distB="0" distL="0" distR="0" simplePos="0" relativeHeight="253499392" behindDoc="0" locked="0" layoutInCell="1" allowOverlap="1">
            <wp:simplePos x="0" y="0"/>
            <wp:positionH relativeFrom="column">
              <wp:posOffset>588263</wp:posOffset>
            </wp:positionH>
            <wp:positionV relativeFrom="paragraph">
              <wp:posOffset>105025</wp:posOffset>
            </wp:positionV>
            <wp:extent cx="5373623" cy="1389888"/>
            <wp:effectExtent l="0" t="0" r="0" b="0"/>
            <wp:wrapNone/>
            <wp:docPr id="678" name="IM 678"/>
            <wp:cNvGraphicFramePr/>
            <a:graphic>
              <a:graphicData uri="http://schemas.openxmlformats.org/drawingml/2006/picture">
                <pic:pic>
                  <pic:nvPicPr>
                    <pic:cNvPr id="678" name="IM 678"/>
                    <pic:cNvPicPr/>
                  </pic:nvPicPr>
                  <pic:blipFill>
                    <a:blip r:embed="rId323"/>
                    <a:stretch>
                      <a:fillRect/>
                    </a:stretch>
                  </pic:blipFill>
                  <pic:spPr>
                    <a:xfrm rot="0">
                      <a:off x="0" y="0"/>
                      <a:ext cx="5373623" cy="1389888"/>
                    </a:xfrm>
                    <a:prstGeom prst="rect">
                      <a:avLst/>
                    </a:prstGeom>
                  </pic:spPr>
                </pic:pic>
              </a:graphicData>
            </a:graphic>
          </wp:anchor>
        </w:drawing>
      </w:r>
      <w:r>
        <w:rPr>
          <w:sz w:val="20"/>
          <w:szCs w:val="20"/>
          <w:spacing w:val="-1"/>
        </w:rPr>
        <w:t>4,000</w:t>
      </w:r>
    </w:p>
    <w:p>
      <w:pPr>
        <w:pStyle w:val="BodyText"/>
        <w:ind w:left="40"/>
        <w:spacing w:before="85" w:line="196" w:lineRule="auto"/>
        <w:rPr>
          <w:sz w:val="20"/>
          <w:szCs w:val="20"/>
        </w:rPr>
      </w:pPr>
      <w:r>
        <w:pict>
          <v:shape id="_x0000_s1358" style="position:absolute;margin-left:88.9636pt;margin-top:0.969299pt;mso-position-vertical-relative:text;mso-position-horizontal-relative:text;width:26.65pt;height:11.4pt;z-index:253510656;" filled="false" stroked="false" type="#_x0000_t202">
            <v:fill on="false"/>
            <v:stroke on="false"/>
            <v:path/>
            <v:imagedata o:title=""/>
            <o:lock v:ext="edit" aspectratio="false"/>
            <v:textbox inset="0mm,0mm,0mm,0mm">
              <w:txbxContent>
                <w:p>
                  <w:pPr>
                    <w:pStyle w:val="BodyText"/>
                    <w:ind w:left="20"/>
                    <w:spacing w:before="19" w:line="196" w:lineRule="auto"/>
                    <w:rPr>
                      <w:sz w:val="20"/>
                      <w:szCs w:val="20"/>
                    </w:rPr>
                  </w:pPr>
                  <w:r>
                    <w:rPr>
                      <w:sz w:val="20"/>
                      <w:szCs w:val="20"/>
                      <w:spacing w:val="-2"/>
                    </w:rPr>
                    <w:t>3,225</w:t>
                  </w:r>
                </w:p>
              </w:txbxContent>
            </v:textbox>
          </v:shape>
        </w:pict>
      </w:r>
      <w:r>
        <w:pict>
          <v:shape id="_x0000_s1360" style="position:absolute;margin-left:133.507pt;margin-top:5.64641pt;mso-position-vertical-relative:text;mso-position-horizontal-relative:text;width:26.65pt;height:11.4pt;z-index:253509632;" filled="false" stroked="false" type="#_x0000_t202">
            <v:fill on="false"/>
            <v:stroke on="false"/>
            <v:path/>
            <v:imagedata o:title=""/>
            <o:lock v:ext="edit" aspectratio="false"/>
            <v:textbox inset="0mm,0mm,0mm,0mm">
              <w:txbxContent>
                <w:p>
                  <w:pPr>
                    <w:pStyle w:val="BodyText"/>
                    <w:ind w:left="20"/>
                    <w:spacing w:before="19" w:line="196" w:lineRule="auto"/>
                    <w:rPr>
                      <w:sz w:val="20"/>
                      <w:szCs w:val="20"/>
                    </w:rPr>
                  </w:pPr>
                  <w:r>
                    <w:rPr>
                      <w:sz w:val="20"/>
                      <w:szCs w:val="20"/>
                      <w:spacing w:val="-2"/>
                    </w:rPr>
                    <w:t>3,054</w:t>
                  </w:r>
                </w:p>
              </w:txbxContent>
            </v:textbox>
          </v:shape>
        </w:pict>
      </w:r>
      <w:r>
        <w:rPr>
          <w:sz w:val="20"/>
          <w:szCs w:val="20"/>
          <w:spacing w:val="-2"/>
        </w:rPr>
        <w:t>3,500</w:t>
      </w:r>
    </w:p>
    <w:p>
      <w:pPr>
        <w:pStyle w:val="BodyText"/>
        <w:ind w:left="40"/>
        <w:spacing w:before="86" w:line="196" w:lineRule="auto"/>
        <w:rPr>
          <w:sz w:val="20"/>
          <w:szCs w:val="20"/>
        </w:rPr>
      </w:pPr>
      <w:r>
        <w:rPr>
          <w:sz w:val="20"/>
          <w:szCs w:val="20"/>
          <w:spacing w:val="-2"/>
        </w:rPr>
        <w:t>3,000</w:t>
      </w:r>
    </w:p>
    <w:p>
      <w:pPr>
        <w:pStyle w:val="BodyText"/>
        <w:ind w:left="37"/>
        <w:spacing w:before="86" w:line="196" w:lineRule="auto"/>
        <w:rPr>
          <w:sz w:val="20"/>
          <w:szCs w:val="20"/>
        </w:rPr>
      </w:pPr>
      <w:r>
        <w:pict>
          <v:shape id="_x0000_s1362" style="position:absolute;margin-left:177.92pt;margin-top:-2.73007pt;mso-position-vertical-relative:text;mso-position-horizontal-relative:text;width:26.8pt;height:11.4pt;z-index:253508608;" filled="false" stroked="false" type="#_x0000_t202">
            <v:fill on="false"/>
            <v:stroke on="false"/>
            <v:path/>
            <v:imagedata o:title=""/>
            <o:lock v:ext="edit" aspectratio="false"/>
            <v:textbox inset="0mm,0mm,0mm,0mm">
              <w:txbxContent>
                <w:p>
                  <w:pPr>
                    <w:pStyle w:val="BodyText"/>
                    <w:ind w:left="20"/>
                    <w:spacing w:before="19" w:line="196" w:lineRule="auto"/>
                    <w:rPr>
                      <w:sz w:val="20"/>
                      <w:szCs w:val="20"/>
                    </w:rPr>
                  </w:pPr>
                  <w:r>
                    <w:rPr>
                      <w:sz w:val="20"/>
                      <w:szCs w:val="20"/>
                      <w:spacing w:val="-2"/>
                    </w:rPr>
                    <w:t>2,360</w:t>
                  </w:r>
                </w:p>
              </w:txbxContent>
            </v:textbox>
          </v:shape>
        </w:pict>
      </w:r>
      <w:r>
        <w:pict>
          <v:shape id="_x0000_s1364" style="position:absolute;margin-left:223.27pt;margin-top:8.97279pt;mso-position-vertical-relative:text;mso-position-horizontal-relative:text;width:26pt;height:11.4pt;z-index:253515776;" filled="false" stroked="false" type="#_x0000_t202">
            <v:fill on="false"/>
            <v:stroke on="false"/>
            <v:path/>
            <v:imagedata o:title=""/>
            <o:lock v:ext="edit" aspectratio="false"/>
            <v:textbox inset="0mm,0mm,0mm,0mm">
              <w:txbxContent>
                <w:p>
                  <w:pPr>
                    <w:pStyle w:val="BodyText"/>
                    <w:ind w:left="20"/>
                    <w:spacing w:before="19" w:line="196" w:lineRule="auto"/>
                    <w:rPr>
                      <w:sz w:val="20"/>
                      <w:szCs w:val="20"/>
                    </w:rPr>
                  </w:pPr>
                  <w:r>
                    <w:rPr>
                      <w:sz w:val="20"/>
                      <w:szCs w:val="20"/>
                      <w:spacing w:val="-5"/>
                    </w:rPr>
                    <w:t>1,932</w:t>
                  </w:r>
                </w:p>
              </w:txbxContent>
            </v:textbox>
          </v:shape>
        </w:pict>
      </w:r>
      <w:r>
        <w:rPr>
          <w:sz w:val="20"/>
          <w:szCs w:val="20"/>
          <w:spacing w:val="-2"/>
        </w:rPr>
        <w:t>2,500</w:t>
      </w:r>
    </w:p>
    <w:p>
      <w:pPr>
        <w:pStyle w:val="BodyText"/>
        <w:ind w:left="37"/>
        <w:spacing w:before="86" w:line="196" w:lineRule="auto"/>
        <w:rPr>
          <w:sz w:val="20"/>
          <w:szCs w:val="20"/>
        </w:rPr>
      </w:pPr>
      <w:r>
        <w:pict>
          <v:shape id="_x0000_s1366" style="position:absolute;margin-left:267.813pt;margin-top:-0.139526pt;mso-position-vertical-relative:text;mso-position-horizontal-relative:text;width:26pt;height:11.4pt;z-index:253513728;" filled="false" stroked="false" type="#_x0000_t202">
            <v:fill on="false"/>
            <v:stroke on="false"/>
            <v:path/>
            <v:imagedata o:title=""/>
            <o:lock v:ext="edit" aspectratio="false"/>
            <v:textbox inset="0mm,0mm,0mm,0mm">
              <w:txbxContent>
                <w:p>
                  <w:pPr>
                    <w:pStyle w:val="BodyText"/>
                    <w:ind w:left="20"/>
                    <w:spacing w:before="19" w:line="196" w:lineRule="auto"/>
                    <w:rPr>
                      <w:sz w:val="20"/>
                      <w:szCs w:val="20"/>
                    </w:rPr>
                  </w:pPr>
                  <w:r>
                    <w:rPr>
                      <w:sz w:val="20"/>
                      <w:szCs w:val="20"/>
                      <w:spacing w:val="-5"/>
                    </w:rPr>
                    <w:t>1,765</w:t>
                  </w:r>
                </w:p>
              </w:txbxContent>
            </v:textbox>
          </v:shape>
        </w:pict>
      </w:r>
      <w:r>
        <w:pict>
          <v:shape id="_x0000_s1368" style="position:absolute;margin-left:312.357pt;margin-top:2.28978pt;mso-position-vertical-relative:text;mso-position-horizontal-relative:text;width:26pt;height:11.4pt;z-index:253512704;" filled="false" stroked="false" type="#_x0000_t202">
            <v:fill on="false"/>
            <v:stroke on="false"/>
            <v:path/>
            <v:imagedata o:title=""/>
            <o:lock v:ext="edit" aspectratio="false"/>
            <v:textbox inset="0mm,0mm,0mm,0mm">
              <w:txbxContent>
                <w:p>
                  <w:pPr>
                    <w:pStyle w:val="BodyText"/>
                    <w:ind w:left="20"/>
                    <w:spacing w:before="19" w:line="196" w:lineRule="auto"/>
                    <w:rPr>
                      <w:sz w:val="20"/>
                      <w:szCs w:val="20"/>
                    </w:rPr>
                  </w:pPr>
                  <w:r>
                    <w:rPr>
                      <w:sz w:val="20"/>
                      <w:szCs w:val="20"/>
                      <w:spacing w:val="-5"/>
                    </w:rPr>
                    <w:t>1,676</w:t>
                  </w:r>
                </w:p>
              </w:txbxContent>
            </v:textbox>
          </v:shape>
        </w:pict>
      </w:r>
      <w:r>
        <w:pict>
          <v:shape id="_x0000_s1370" style="position:absolute;margin-left:356.9pt;margin-top:5.24323pt;mso-position-vertical-relative:text;mso-position-horizontal-relative:text;width:26pt;height:11.4pt;z-index:253514752;" filled="false" stroked="false" type="#_x0000_t202">
            <v:fill on="false"/>
            <v:stroke on="false"/>
            <v:path/>
            <v:imagedata o:title=""/>
            <o:lock v:ext="edit" aspectratio="false"/>
            <v:textbox inset="0mm,0mm,0mm,0mm">
              <w:txbxContent>
                <w:p>
                  <w:pPr>
                    <w:pStyle w:val="BodyText"/>
                    <w:ind w:left="20"/>
                    <w:spacing w:before="19" w:line="196" w:lineRule="auto"/>
                    <w:rPr>
                      <w:sz w:val="20"/>
                      <w:szCs w:val="20"/>
                    </w:rPr>
                  </w:pPr>
                  <w:r>
                    <w:rPr>
                      <w:sz w:val="20"/>
                      <w:szCs w:val="20"/>
                      <w:spacing w:val="-5"/>
                    </w:rPr>
                    <w:t>1,568</w:t>
                  </w:r>
                </w:p>
              </w:txbxContent>
            </v:textbox>
          </v:shape>
        </w:pict>
      </w:r>
      <w:r>
        <w:rPr>
          <w:sz w:val="20"/>
          <w:szCs w:val="20"/>
          <w:spacing w:val="-2"/>
        </w:rPr>
        <w:t>2,000</w:t>
      </w:r>
    </w:p>
    <w:p>
      <w:pPr>
        <w:pStyle w:val="BodyText"/>
        <w:ind w:left="54"/>
        <w:spacing w:before="85" w:line="196" w:lineRule="auto"/>
        <w:rPr>
          <w:sz w:val="20"/>
          <w:szCs w:val="20"/>
        </w:rPr>
      </w:pPr>
      <w:r>
        <w:pict>
          <v:shape id="_x0000_s1372" style="position:absolute;margin-left:401.444pt;margin-top:-3.89934pt;mso-position-vertical-relative:text;mso-position-horizontal-relative:text;width:26pt;height:11.4pt;z-index:253516800;" filled="false" stroked="false" type="#_x0000_t202">
            <v:fill on="false"/>
            <v:stroke on="false"/>
            <v:path/>
            <v:imagedata o:title=""/>
            <o:lock v:ext="edit" aspectratio="false"/>
            <v:textbox inset="0mm,0mm,0mm,0mm">
              <w:txbxContent>
                <w:p>
                  <w:pPr>
                    <w:pStyle w:val="BodyText"/>
                    <w:ind w:left="20"/>
                    <w:spacing w:before="19" w:line="196" w:lineRule="auto"/>
                    <w:rPr>
                      <w:sz w:val="20"/>
                      <w:szCs w:val="20"/>
                    </w:rPr>
                  </w:pPr>
                  <w:r>
                    <w:rPr>
                      <w:sz w:val="20"/>
                      <w:szCs w:val="20"/>
                      <w:spacing w:val="-5"/>
                    </w:rPr>
                    <w:t>1,402</w:t>
                  </w:r>
                </w:p>
              </w:txbxContent>
            </v:textbox>
          </v:shape>
        </w:pict>
      </w:r>
      <w:r>
        <w:pict>
          <v:shape id="_x0000_s1374" style="position:absolute;margin-left:445.987pt;margin-top:0.39473pt;mso-position-vertical-relative:text;mso-position-horizontal-relative:text;width:26pt;height:11.4pt;z-index:253511680;" filled="false" stroked="false" type="#_x0000_t202">
            <v:fill on="false"/>
            <v:stroke on="false"/>
            <v:path/>
            <v:imagedata o:title=""/>
            <o:lock v:ext="edit" aspectratio="false"/>
            <v:textbox inset="0mm,0mm,0mm,0mm">
              <w:txbxContent>
                <w:p>
                  <w:pPr>
                    <w:pStyle w:val="BodyText"/>
                    <w:ind w:left="20"/>
                    <w:spacing w:before="19" w:line="196" w:lineRule="auto"/>
                    <w:rPr>
                      <w:sz w:val="20"/>
                      <w:szCs w:val="20"/>
                    </w:rPr>
                  </w:pPr>
                  <w:r>
                    <w:rPr>
                      <w:sz w:val="20"/>
                      <w:szCs w:val="20"/>
                      <w:spacing w:val="-5"/>
                    </w:rPr>
                    <w:t>1,245</w:t>
                  </w:r>
                </w:p>
              </w:txbxContent>
            </v:textbox>
          </v:shape>
        </w:pict>
      </w:r>
      <w:r>
        <w:rPr>
          <w:sz w:val="20"/>
          <w:szCs w:val="20"/>
          <w:spacing w:val="-5"/>
        </w:rPr>
        <w:t>1,500</w:t>
      </w:r>
    </w:p>
    <w:p>
      <w:pPr>
        <w:pStyle w:val="BodyText"/>
        <w:ind w:left="54"/>
        <w:spacing w:before="86" w:line="196" w:lineRule="auto"/>
        <w:rPr>
          <w:sz w:val="20"/>
          <w:szCs w:val="20"/>
        </w:rPr>
      </w:pPr>
      <w:r>
        <w:rPr>
          <w:sz w:val="20"/>
          <w:szCs w:val="20"/>
          <w:spacing w:val="-5"/>
        </w:rPr>
        <w:t>1,000</w:t>
      </w:r>
    </w:p>
    <w:p>
      <w:pPr>
        <w:pStyle w:val="BodyText"/>
        <w:ind w:left="207"/>
        <w:spacing w:before="87" w:line="195" w:lineRule="auto"/>
        <w:rPr>
          <w:sz w:val="20"/>
          <w:szCs w:val="20"/>
        </w:rPr>
      </w:pPr>
      <w:r>
        <w:rPr>
          <w:sz w:val="20"/>
          <w:szCs w:val="20"/>
          <w:spacing w:val="-3"/>
        </w:rPr>
        <w:t>500</w:t>
      </w:r>
    </w:p>
    <w:p>
      <w:pPr>
        <w:pStyle w:val="BodyText"/>
        <w:ind w:left="429"/>
        <w:spacing w:before="86" w:line="195" w:lineRule="auto"/>
        <w:rPr>
          <w:sz w:val="20"/>
          <w:szCs w:val="20"/>
        </w:rPr>
      </w:pPr>
      <w:r>
        <w:pict>
          <v:shape id="_x0000_s1376" style="position:absolute;margin-left:35.53pt;margin-top:8.37319pt;mso-position-vertical-relative:text;mso-position-horizontal-relative:text;width:445.7pt;height:3.15pt;z-index:253503488;" filled="false" strokecolor="#000000" strokeweight="0.50pt" coordsize="8914,63" coordorigin="0,0" path="m0,5l8908,5m888,5l888,62m1780,5l1780,62m2668,5l2668,62m3561,5l3561,62m4454,5l4454,62m5342,5l5342,62m6235,5l6235,62m7123,5l7123,62m8015,5l8015,62m8908,5l8908,62e">
            <v:stroke miterlimit="10"/>
          </v:shape>
        </w:pict>
      </w:r>
      <w:r>
        <w:rPr>
          <w:sz w:val="20"/>
          <w:szCs w:val="20"/>
        </w:rPr>
        <w:t>0</w:t>
      </w:r>
    </w:p>
    <w:p>
      <w:pPr>
        <w:ind w:left="854"/>
        <w:spacing w:before="45" w:line="221" w:lineRule="auto"/>
        <w:rPr>
          <w:rFonts w:ascii="PMingLiU" w:hAnsi="PMingLiU" w:eastAsia="PMingLiU" w:cs="PMingLiU"/>
          <w:sz w:val="20"/>
          <w:szCs w:val="20"/>
        </w:rPr>
      </w:pPr>
      <w:r>
        <w:rPr>
          <w:rFonts w:ascii="PMingLiU" w:hAnsi="PMingLiU" w:eastAsia="PMingLiU" w:cs="PMingLiU"/>
          <w:sz w:val="20"/>
          <w:szCs w:val="20"/>
        </w:rPr>
        <w:t>广东省     江苏省      北京市     浙江省      山东省      海南省 </w:t>
      </w:r>
      <w:r>
        <w:rPr>
          <w:rFonts w:ascii="PMingLiU" w:hAnsi="PMingLiU" w:eastAsia="PMingLiU" w:cs="PMingLiU"/>
          <w:sz w:val="20"/>
          <w:szCs w:val="20"/>
          <w:spacing w:val="-1"/>
        </w:rPr>
        <w:t xml:space="preserve">     安徽省     湖南省      四川省      上海市</w:t>
      </w:r>
    </w:p>
    <w:p>
      <w:pPr>
        <w:ind w:left="8"/>
        <w:spacing w:before="173" w:line="185"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7"/>
        </w:rPr>
        <w:t>数据来源：天眼查，毕马威分析</w:t>
      </w:r>
    </w:p>
    <w:p>
      <w:pPr>
        <w:pStyle w:val="BodyText"/>
        <w:spacing w:line="309" w:lineRule="auto"/>
        <w:rPr/>
      </w:pPr>
      <w:r>
        <w:pict>
          <v:shape id="_x0000_s1378" style="position:absolute;margin-left:0.25pt;margin-top:7.49459pt;mso-position-vertical-relative:text;mso-position-horizontal-relative:text;width:81.3pt;height:0.5pt;z-index:253522944;" filled="false" strokecolor="#000000" strokeweight="0.50pt" coordsize="1626,10" coordorigin="0,0" path="m0,5l1625,5e">
            <v:stroke joinstyle="miter"/>
          </v:shape>
        </w:pict>
      </w:r>
      <w:r/>
    </w:p>
    <w:p>
      <w:pPr>
        <w:ind w:left="6"/>
        <w:spacing w:before="57" w:line="189"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3"/>
          <w:position w:val="4"/>
        </w:rPr>
        <w:t>63 </w:t>
      </w:r>
      <w:r>
        <w:rPr>
          <w:rFonts w:ascii="Microsoft YaHei" w:hAnsi="Microsoft YaHei" w:eastAsia="Microsoft YaHei" w:cs="Microsoft YaHei"/>
          <w:sz w:val="13"/>
          <w:szCs w:val="13"/>
          <w:spacing w:val="3"/>
        </w:rPr>
        <w:t>华兴资本， 《2022年第三期市场温度报告》</w:t>
      </w:r>
      <w:r>
        <w:rPr>
          <w:rFonts w:ascii="Microsoft YaHei" w:hAnsi="Microsoft YaHei" w:eastAsia="Microsoft YaHei" w:cs="Microsoft YaHei"/>
          <w:sz w:val="13"/>
          <w:szCs w:val="13"/>
          <w:spacing w:val="-3"/>
        </w:rPr>
        <w:t xml:space="preserve"> </w:t>
      </w:r>
      <w:r>
        <w:rPr>
          <w:rFonts w:ascii="Microsoft YaHei" w:hAnsi="Microsoft YaHei" w:eastAsia="Microsoft YaHei" w:cs="Microsoft YaHei"/>
          <w:sz w:val="13"/>
          <w:szCs w:val="13"/>
          <w:spacing w:val="3"/>
        </w:rPr>
        <w:t>，2022年10月</w:t>
      </w:r>
    </w:p>
    <w:p>
      <w:pPr>
        <w:ind w:left="505" w:right="1241" w:hanging="411"/>
        <w:spacing w:before="175"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1300" w:header="0" w:footer="0" w:gutter="0"/>
        </w:sectPr>
        <w:rPr>
          <w:rFonts w:ascii="Microsoft YaHei" w:hAnsi="Microsoft YaHei" w:eastAsia="Microsoft YaHei" w:cs="Microsoft YaHei"/>
          <w:sz w:val="11"/>
          <w:szCs w:val="11"/>
        </w:rPr>
      </w:pPr>
    </w:p>
    <w:p>
      <w:pPr>
        <w:spacing w:before="314" w:line="193" w:lineRule="auto"/>
        <w:rPr>
          <w:rFonts w:ascii="Microsoft YaHei" w:hAnsi="Microsoft YaHei" w:eastAsia="Microsoft YaHei" w:cs="Microsoft YaHei"/>
          <w:sz w:val="18"/>
          <w:szCs w:val="18"/>
        </w:rPr>
      </w:pPr>
      <w:r>
        <w:pict>
          <v:rect id="_x0000_s1380" style="position:absolute;margin-left:611.99pt;margin-top:0pt;mso-position-vertical-relative:page;mso-position-horizontal-relative:page;width:0.25pt;height:859pt;z-index:253547520;" o:allowincell="f" fillcolor="#000000" filled="true" stroked="false"/>
        </w:pict>
      </w:r>
      <w:r>
        <w:rPr>
          <w:rFonts w:ascii="Microsoft YaHei" w:hAnsi="Microsoft YaHei" w:eastAsia="Microsoft YaHei" w:cs="Microsoft YaHei"/>
          <w:sz w:val="18"/>
          <w:szCs w:val="18"/>
          <w:b/>
          <w:bCs/>
          <w:color w:val="A8A8A8"/>
          <w:spacing w:val="-2"/>
        </w:rPr>
        <w:t>65</w:t>
      </w:r>
      <w:r>
        <w:rPr>
          <w:rFonts w:ascii="Microsoft YaHei" w:hAnsi="Microsoft YaHei" w:eastAsia="Microsoft YaHei" w:cs="Microsoft YaHei"/>
          <w:sz w:val="18"/>
          <w:szCs w:val="18"/>
          <w:b/>
          <w:bCs/>
          <w:color w:val="A8A8A8"/>
          <w:spacing w:val="18"/>
        </w:rPr>
        <w:t xml:space="preserve">  </w:t>
      </w:r>
      <w:r>
        <w:rPr>
          <w:sz w:val="18"/>
          <w:szCs w:val="18"/>
          <w:position w:val="-4"/>
        </w:rPr>
        <w:drawing>
          <wp:inline distT="0" distB="0" distL="0" distR="0">
            <wp:extent cx="6350" cy="130175"/>
            <wp:effectExtent l="0" t="0" r="0" b="0"/>
            <wp:docPr id="680" name="IM 680"/>
            <wp:cNvGraphicFramePr/>
            <a:graphic>
              <a:graphicData uri="http://schemas.openxmlformats.org/drawingml/2006/picture">
                <pic:pic>
                  <pic:nvPicPr>
                    <pic:cNvPr id="680" name="IM 680"/>
                    <pic:cNvPicPr/>
                  </pic:nvPicPr>
                  <pic:blipFill>
                    <a:blip r:embed="rId324"/>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A8A8A8"/>
          <w:spacing w:val="26"/>
          <w:w w:val="101"/>
        </w:rPr>
        <w:t xml:space="preserve">  </w:t>
      </w:r>
      <w:r>
        <w:rPr>
          <w:rFonts w:ascii="Microsoft YaHei" w:hAnsi="Microsoft YaHei" w:eastAsia="Microsoft YaHei" w:cs="Microsoft YaHei"/>
          <w:sz w:val="18"/>
          <w:szCs w:val="18"/>
          <w:color w:val="A8A8A8"/>
          <w:spacing w:val="-2"/>
        </w:rPr>
        <w:t>新型储能助力能源转型</w:t>
      </w:r>
    </w:p>
    <w:p>
      <w:pPr>
        <w:ind w:left="389"/>
        <w:spacing w:before="368" w:line="181" w:lineRule="auto"/>
        <w:outlineLvl w:val="0"/>
        <w:rPr>
          <w:rFonts w:ascii="Microsoft YaHei" w:hAnsi="Microsoft YaHei" w:eastAsia="Microsoft YaHei" w:cs="Microsoft YaHei"/>
          <w:sz w:val="36"/>
          <w:szCs w:val="36"/>
        </w:rPr>
      </w:pPr>
      <w:r>
        <w:rPr>
          <w:rFonts w:ascii="Microsoft YaHei" w:hAnsi="Microsoft YaHei" w:eastAsia="Microsoft YaHei" w:cs="Microsoft YaHei"/>
          <w:sz w:val="36"/>
          <w:szCs w:val="36"/>
          <w:b/>
          <w:bCs/>
          <w:color w:val="00338D"/>
          <w:spacing w:val="-2"/>
        </w:rPr>
        <w:t>中国已成为全球储能技术基础研究最活跃的国家</w:t>
      </w:r>
    </w:p>
    <w:p>
      <w:pPr>
        <w:ind w:left="342" w:right="2824" w:firstLine="4"/>
        <w:spacing w:before="116" w:line="216"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学术界同样关注储能</w:t>
      </w:r>
      <w:r>
        <w:rPr>
          <w:rFonts w:ascii="Microsoft YaHei" w:hAnsi="Microsoft YaHei" w:eastAsia="Microsoft YaHei" w:cs="Microsoft YaHei"/>
          <w:sz w:val="21"/>
          <w:szCs w:val="21"/>
          <w:spacing w:val="-13"/>
        </w:rPr>
        <w:t xml:space="preserve"> </w:t>
      </w:r>
      <w:r>
        <w:rPr>
          <w:rFonts w:ascii="Microsoft YaHei" w:hAnsi="Microsoft YaHei" w:eastAsia="Microsoft YaHei" w:cs="Microsoft YaHei"/>
          <w:sz w:val="21"/>
          <w:szCs w:val="21"/>
          <w:spacing w:val="3"/>
        </w:rPr>
        <w:t>，对电池、蓄能等储能相关的研究增加。世界储能技术基础研究</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先进的国家分为两类：第一类是美国、德国、英国和澳大利亚为代表的西方发达国家；</w:t>
      </w:r>
      <w:r>
        <w:rPr>
          <w:rFonts w:ascii="Microsoft YaHei" w:hAnsi="Microsoft YaHei" w:eastAsia="Microsoft YaHei" w:cs="Microsoft YaHei"/>
          <w:sz w:val="21"/>
          <w:szCs w:val="21"/>
          <w:spacing w:val="14"/>
        </w:rPr>
        <w:t xml:space="preserve"> </w:t>
      </w:r>
      <w:r>
        <w:rPr>
          <w:rFonts w:ascii="Microsoft YaHei" w:hAnsi="Microsoft YaHei" w:eastAsia="Microsoft YaHei" w:cs="Microsoft YaHei"/>
          <w:sz w:val="21"/>
          <w:szCs w:val="21"/>
          <w:spacing w:val="8"/>
        </w:rPr>
        <w:t>第二类</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8"/>
        </w:rPr>
        <w:t>是中国</w:t>
      </w:r>
      <w:r>
        <w:rPr>
          <w:rFonts w:ascii="Microsoft YaHei" w:hAnsi="Microsoft YaHei" w:eastAsia="Microsoft YaHei" w:cs="Microsoft YaHei"/>
          <w:sz w:val="21"/>
          <w:szCs w:val="21"/>
          <w:spacing w:val="-32"/>
        </w:rPr>
        <w:t xml:space="preserve"> </w:t>
      </w:r>
      <w:r>
        <w:rPr>
          <w:rFonts w:ascii="Microsoft YaHei" w:hAnsi="Microsoft YaHei" w:eastAsia="Microsoft YaHei" w:cs="Microsoft YaHei"/>
          <w:sz w:val="21"/>
          <w:szCs w:val="21"/>
          <w:spacing w:val="8"/>
        </w:rPr>
        <w:t>、</w:t>
      </w:r>
      <w:r>
        <w:rPr>
          <w:rFonts w:ascii="Microsoft YaHei" w:hAnsi="Microsoft YaHei" w:eastAsia="Microsoft YaHei" w:cs="Microsoft YaHei"/>
          <w:sz w:val="21"/>
          <w:szCs w:val="21"/>
          <w:spacing w:val="-32"/>
        </w:rPr>
        <w:t xml:space="preserve"> </w:t>
      </w:r>
      <w:r>
        <w:rPr>
          <w:rFonts w:ascii="Microsoft YaHei" w:hAnsi="Microsoft YaHei" w:eastAsia="Microsoft YaHei" w:cs="Microsoft YaHei"/>
          <w:sz w:val="21"/>
          <w:szCs w:val="21"/>
          <w:spacing w:val="8"/>
        </w:rPr>
        <w:t>印</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8"/>
        </w:rPr>
        <w:t>度和</w:t>
      </w:r>
      <w:r>
        <w:rPr>
          <w:rFonts w:ascii="Microsoft YaHei" w:hAnsi="Microsoft YaHei" w:eastAsia="Microsoft YaHei" w:cs="Microsoft YaHei"/>
          <w:sz w:val="21"/>
          <w:szCs w:val="21"/>
          <w:spacing w:val="-33"/>
        </w:rPr>
        <w:t xml:space="preserve"> </w:t>
      </w:r>
      <w:r>
        <w:rPr>
          <w:rFonts w:ascii="Microsoft YaHei" w:hAnsi="Microsoft YaHei" w:eastAsia="Microsoft YaHei" w:cs="Microsoft YaHei"/>
          <w:sz w:val="21"/>
          <w:szCs w:val="21"/>
          <w:spacing w:val="8"/>
        </w:rPr>
        <w:t>韩国为代表</w:t>
      </w:r>
      <w:r>
        <w:rPr>
          <w:rFonts w:ascii="Microsoft YaHei" w:hAnsi="Microsoft YaHei" w:eastAsia="Microsoft YaHei" w:cs="Microsoft YaHei"/>
          <w:sz w:val="21"/>
          <w:szCs w:val="21"/>
          <w:spacing w:val="-24"/>
        </w:rPr>
        <w:t xml:space="preserve"> </w:t>
      </w:r>
      <w:r>
        <w:rPr>
          <w:rFonts w:ascii="Microsoft YaHei" w:hAnsi="Microsoft YaHei" w:eastAsia="Microsoft YaHei" w:cs="Microsoft YaHei"/>
          <w:sz w:val="21"/>
          <w:szCs w:val="21"/>
          <w:spacing w:val="8"/>
        </w:rPr>
        <w:t>的新兴</w:t>
      </w:r>
      <w:r>
        <w:rPr>
          <w:rFonts w:ascii="Microsoft YaHei" w:hAnsi="Microsoft YaHei" w:eastAsia="Microsoft YaHei" w:cs="Microsoft YaHei"/>
          <w:sz w:val="21"/>
          <w:szCs w:val="21"/>
          <w:spacing w:val="-24"/>
        </w:rPr>
        <w:t xml:space="preserve"> </w:t>
      </w:r>
      <w:r>
        <w:rPr>
          <w:rFonts w:ascii="Microsoft YaHei" w:hAnsi="Microsoft YaHei" w:eastAsia="Microsoft YaHei" w:cs="Microsoft YaHei"/>
          <w:sz w:val="21"/>
          <w:szCs w:val="21"/>
          <w:spacing w:val="8"/>
        </w:rPr>
        <w:t>国家</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8"/>
        </w:rPr>
        <w:t>。</w:t>
      </w:r>
      <w:r>
        <w:rPr>
          <w:rFonts w:ascii="Microsoft YaHei" w:hAnsi="Microsoft YaHei" w:eastAsia="Microsoft YaHei" w:cs="Microsoft YaHei"/>
          <w:sz w:val="21"/>
          <w:szCs w:val="21"/>
          <w:spacing w:val="-42"/>
        </w:rPr>
        <w:t xml:space="preserve"> </w:t>
      </w:r>
      <w:r>
        <w:rPr>
          <w:rFonts w:ascii="Microsoft YaHei" w:hAnsi="Microsoft YaHei" w:eastAsia="Microsoft YaHei" w:cs="Microsoft YaHei"/>
          <w:sz w:val="21"/>
          <w:szCs w:val="21"/>
          <w:spacing w:val="8"/>
        </w:rPr>
        <w:t>根据</w:t>
      </w:r>
      <w:r>
        <w:rPr>
          <w:rFonts w:ascii="Microsoft YaHei" w:hAnsi="Microsoft YaHei" w:eastAsia="Microsoft YaHei" w:cs="Microsoft YaHei"/>
          <w:sz w:val="21"/>
          <w:szCs w:val="21"/>
          <w:spacing w:val="-33"/>
        </w:rPr>
        <w:t xml:space="preserve"> </w:t>
      </w:r>
      <w:r>
        <w:rPr>
          <w:rFonts w:ascii="Microsoft YaHei" w:hAnsi="Microsoft YaHei" w:eastAsia="Microsoft YaHei" w:cs="Microsoft YaHei"/>
          <w:sz w:val="21"/>
          <w:szCs w:val="21"/>
        </w:rPr>
        <w:t>Web</w:t>
      </w:r>
      <w:r>
        <w:rPr>
          <w:rFonts w:ascii="Microsoft YaHei" w:hAnsi="Microsoft YaHei" w:eastAsia="Microsoft YaHei" w:cs="Microsoft YaHei"/>
          <w:sz w:val="21"/>
          <w:szCs w:val="21"/>
          <w:spacing w:val="8"/>
        </w:rPr>
        <w:t xml:space="preserve">  </w:t>
      </w:r>
      <w:r>
        <w:rPr>
          <w:rFonts w:ascii="Microsoft YaHei" w:hAnsi="Microsoft YaHei" w:eastAsia="Microsoft YaHei" w:cs="Microsoft YaHei"/>
          <w:sz w:val="21"/>
          <w:szCs w:val="21"/>
        </w:rPr>
        <w:t>of</w:t>
      </w:r>
      <w:r>
        <w:rPr>
          <w:rFonts w:ascii="Microsoft YaHei" w:hAnsi="Microsoft YaHei" w:eastAsia="Microsoft YaHei" w:cs="Microsoft YaHei"/>
          <w:sz w:val="21"/>
          <w:szCs w:val="21"/>
          <w:spacing w:val="8"/>
        </w:rPr>
        <w:t xml:space="preserve">  </w:t>
      </w:r>
      <w:r>
        <w:rPr>
          <w:rFonts w:ascii="Microsoft YaHei" w:hAnsi="Microsoft YaHei" w:eastAsia="Microsoft YaHei" w:cs="Microsoft YaHei"/>
          <w:sz w:val="21"/>
          <w:szCs w:val="21"/>
        </w:rPr>
        <w:t>Science</w:t>
      </w:r>
      <w:r>
        <w:rPr>
          <w:rFonts w:ascii="Microsoft YaHei" w:hAnsi="Microsoft YaHei" w:eastAsia="Microsoft YaHei" w:cs="Microsoft YaHei"/>
          <w:sz w:val="21"/>
          <w:szCs w:val="21"/>
          <w:spacing w:val="-30"/>
        </w:rPr>
        <w:t xml:space="preserve"> </w:t>
      </w:r>
      <w:r>
        <w:rPr>
          <w:rFonts w:ascii="Microsoft YaHei" w:hAnsi="Microsoft YaHei" w:eastAsia="Microsoft YaHei" w:cs="Microsoft YaHei"/>
          <w:sz w:val="21"/>
          <w:szCs w:val="21"/>
          <w:spacing w:val="8"/>
        </w:rPr>
        <w:t>数据库以</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spacing w:val="-17"/>
        </w:rPr>
        <w:t xml:space="preserve"> </w:t>
      </w:r>
      <w:r>
        <w:rPr>
          <w:rFonts w:ascii="Microsoft YaHei" w:hAnsi="Microsoft YaHei" w:eastAsia="Microsoft YaHei" w:cs="Microsoft YaHei"/>
          <w:sz w:val="21"/>
          <w:szCs w:val="21"/>
          <w:spacing w:val="-1"/>
        </w:rPr>
        <w:t>Energy  Storage”</w:t>
      </w:r>
      <w:r>
        <w:rPr>
          <w:rFonts w:ascii="Microsoft YaHei" w:hAnsi="Microsoft YaHei" w:eastAsia="Microsoft YaHei" w:cs="Microsoft YaHei"/>
          <w:sz w:val="21"/>
          <w:szCs w:val="21"/>
          <w:spacing w:val="-31"/>
        </w:rPr>
        <w:t xml:space="preserve"> </w:t>
      </w:r>
      <w:r>
        <w:rPr>
          <w:rFonts w:ascii="Microsoft YaHei" w:hAnsi="Microsoft YaHei" w:eastAsia="Microsoft YaHei" w:cs="Microsoft YaHei"/>
          <w:sz w:val="21"/>
          <w:szCs w:val="21"/>
          <w:spacing w:val="-1"/>
        </w:rPr>
        <w:t>为主</w:t>
      </w:r>
      <w:r>
        <w:rPr>
          <w:rFonts w:ascii="Microsoft YaHei" w:hAnsi="Microsoft YaHei" w:eastAsia="Microsoft YaHei" w:cs="Microsoft YaHei"/>
          <w:sz w:val="21"/>
          <w:szCs w:val="21"/>
          <w:spacing w:val="-30"/>
        </w:rPr>
        <w:t xml:space="preserve"> </w:t>
      </w:r>
      <w:r>
        <w:rPr>
          <w:rFonts w:ascii="Microsoft YaHei" w:hAnsi="Microsoft YaHei" w:eastAsia="Microsoft YaHei" w:cs="Microsoft YaHei"/>
          <w:sz w:val="21"/>
          <w:szCs w:val="21"/>
          <w:spacing w:val="-1"/>
        </w:rPr>
        <w:t>题词统</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1"/>
        </w:rPr>
        <w:t>计的</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1"/>
        </w:rPr>
        <w:t>SCI</w:t>
      </w:r>
      <w:r>
        <w:rPr>
          <w:rFonts w:ascii="Microsoft YaHei" w:hAnsi="Microsoft YaHei" w:eastAsia="Microsoft YaHei" w:cs="Microsoft YaHei"/>
          <w:sz w:val="21"/>
          <w:szCs w:val="21"/>
          <w:spacing w:val="-33"/>
        </w:rPr>
        <w:t xml:space="preserve"> </w:t>
      </w:r>
      <w:r>
        <w:rPr>
          <w:rFonts w:ascii="Microsoft YaHei" w:hAnsi="Microsoft YaHei" w:eastAsia="Microsoft YaHei" w:cs="Microsoft YaHei"/>
          <w:sz w:val="21"/>
          <w:szCs w:val="21"/>
          <w:spacing w:val="-1"/>
        </w:rPr>
        <w:t>论文</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数</w:t>
      </w:r>
      <w:r>
        <w:rPr>
          <w:rFonts w:ascii="Microsoft YaHei" w:hAnsi="Microsoft YaHei" w:eastAsia="Microsoft YaHei" w:cs="Microsoft YaHei"/>
          <w:sz w:val="21"/>
          <w:szCs w:val="21"/>
          <w:spacing w:val="-15"/>
        </w:rPr>
        <w:t xml:space="preserve"> </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1"/>
        </w:rPr>
        <w:t>2021</w:t>
      </w:r>
      <w:r>
        <w:rPr>
          <w:rFonts w:ascii="Microsoft YaHei" w:hAnsi="Microsoft YaHei" w:eastAsia="Microsoft YaHei" w:cs="Microsoft YaHei"/>
          <w:sz w:val="21"/>
          <w:szCs w:val="21"/>
          <w:spacing w:val="-30"/>
        </w:rPr>
        <w:t xml:space="preserve"> </w:t>
      </w:r>
      <w:r>
        <w:rPr>
          <w:rFonts w:ascii="Microsoft YaHei" w:hAnsi="Microsoft YaHei" w:eastAsia="Microsoft YaHei" w:cs="Microsoft YaHei"/>
          <w:sz w:val="21"/>
          <w:szCs w:val="21"/>
          <w:spacing w:val="-1"/>
        </w:rPr>
        <w:t>年</w:t>
      </w:r>
      <w:r>
        <w:rPr>
          <w:rFonts w:ascii="Microsoft YaHei" w:hAnsi="Microsoft YaHei" w:eastAsia="Microsoft YaHei" w:cs="Microsoft YaHei"/>
          <w:sz w:val="21"/>
          <w:szCs w:val="21"/>
          <w:spacing w:val="-17"/>
        </w:rPr>
        <w:t xml:space="preserve"> </w:t>
      </w:r>
      <w:r>
        <w:rPr>
          <w:rFonts w:ascii="Microsoft YaHei" w:hAnsi="Microsoft YaHei" w:eastAsia="Microsoft YaHei" w:cs="Microsoft YaHei"/>
          <w:sz w:val="21"/>
          <w:szCs w:val="21"/>
          <w:spacing w:val="-1"/>
        </w:rPr>
        <w:t>中</w:t>
      </w:r>
      <w:r>
        <w:rPr>
          <w:rFonts w:ascii="Microsoft YaHei" w:hAnsi="Microsoft YaHei" w:eastAsia="Microsoft YaHei" w:cs="Microsoft YaHei"/>
          <w:sz w:val="21"/>
          <w:szCs w:val="21"/>
          <w:spacing w:val="-19"/>
        </w:rPr>
        <w:t xml:space="preserve"> </w:t>
      </w:r>
      <w:r>
        <w:rPr>
          <w:rFonts w:ascii="Microsoft YaHei" w:hAnsi="Microsoft YaHei" w:eastAsia="Microsoft YaHei" w:cs="Microsoft YaHei"/>
          <w:sz w:val="21"/>
          <w:szCs w:val="21"/>
          <w:spacing w:val="-1"/>
        </w:rPr>
        <w:t>国机构</w:t>
      </w:r>
      <w:r>
        <w:rPr>
          <w:rFonts w:ascii="Microsoft YaHei" w:hAnsi="Microsoft YaHei" w:eastAsia="Microsoft YaHei" w:cs="Microsoft YaHei"/>
          <w:sz w:val="21"/>
          <w:szCs w:val="21"/>
          <w:spacing w:val="-32"/>
        </w:rPr>
        <w:t xml:space="preserve"> </w:t>
      </w:r>
      <w:r>
        <w:rPr>
          <w:rFonts w:ascii="Microsoft YaHei" w:hAnsi="Microsoft YaHei" w:eastAsia="Microsoft YaHei" w:cs="Microsoft YaHei"/>
          <w:sz w:val="21"/>
          <w:szCs w:val="21"/>
          <w:spacing w:val="-1"/>
        </w:rPr>
        <w:t>和</w:t>
      </w:r>
      <w:r>
        <w:rPr>
          <w:rFonts w:ascii="Microsoft YaHei" w:hAnsi="Microsoft YaHei" w:eastAsia="Microsoft YaHei" w:cs="Microsoft YaHei"/>
          <w:sz w:val="21"/>
          <w:szCs w:val="21"/>
          <w:spacing w:val="-2"/>
        </w:rPr>
        <w:t>学者</w:t>
      </w:r>
      <w:r>
        <w:rPr>
          <w:rFonts w:ascii="Microsoft YaHei" w:hAnsi="Microsoft YaHei" w:eastAsia="Microsoft YaHei" w:cs="Microsoft YaHei"/>
          <w:sz w:val="21"/>
          <w:szCs w:val="21"/>
          <w:spacing w:val="-27"/>
        </w:rPr>
        <w:t xml:space="preserve"> </w:t>
      </w:r>
      <w:r>
        <w:rPr>
          <w:rFonts w:ascii="Microsoft YaHei" w:hAnsi="Microsoft YaHei" w:eastAsia="Microsoft YaHei" w:cs="Microsoft YaHei"/>
          <w:sz w:val="21"/>
          <w:szCs w:val="21"/>
          <w:spacing w:val="-2"/>
        </w:rPr>
        <w:t>共发</w:t>
      </w:r>
      <w:r>
        <w:rPr>
          <w:rFonts w:ascii="Microsoft YaHei" w:hAnsi="Microsoft YaHei" w:eastAsia="Microsoft YaHei" w:cs="Microsoft YaHei"/>
          <w:sz w:val="21"/>
          <w:szCs w:val="21"/>
          <w:spacing w:val="-30"/>
        </w:rPr>
        <w:t xml:space="preserve"> </w:t>
      </w:r>
      <w:r>
        <w:rPr>
          <w:rFonts w:ascii="Microsoft YaHei" w:hAnsi="Microsoft YaHei" w:eastAsia="Microsoft YaHei" w:cs="Microsoft YaHei"/>
          <w:sz w:val="21"/>
          <w:szCs w:val="21"/>
          <w:spacing w:val="-2"/>
        </w:rPr>
        <w:t>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11,949篇储能技术论文，居世界第一位，遥遥领先于第二位美国的3</w:t>
      </w:r>
      <w:r>
        <w:rPr>
          <w:rFonts w:ascii="Microsoft YaHei" w:hAnsi="Microsoft YaHei" w:eastAsia="Microsoft YaHei" w:cs="Microsoft YaHei"/>
          <w:sz w:val="21"/>
          <w:szCs w:val="21"/>
          <w:spacing w:val="-1"/>
        </w:rPr>
        <w:t>,336篇和第三位印</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度的2,420篇，且超过了第二到第七位国家发表论文的总</w:t>
      </w:r>
      <w:r>
        <w:rPr>
          <w:rFonts w:ascii="Microsoft YaHei" w:hAnsi="Microsoft YaHei" w:eastAsia="Microsoft YaHei" w:cs="Microsoft YaHei"/>
          <w:sz w:val="21"/>
          <w:szCs w:val="21"/>
        </w:rPr>
        <w:t>和，中国已经成为全球储能技    </w:t>
      </w:r>
      <w:r>
        <w:rPr>
          <w:rFonts w:ascii="Microsoft YaHei" w:hAnsi="Microsoft YaHei" w:eastAsia="Microsoft YaHei" w:cs="Microsoft YaHei"/>
          <w:sz w:val="21"/>
          <w:szCs w:val="21"/>
          <w:spacing w:val="-2"/>
        </w:rPr>
        <w:t>术基础研究最活跃的国家（图</w:t>
      </w:r>
      <w:r>
        <w:rPr>
          <w:rFonts w:ascii="Microsoft YaHei" w:hAnsi="Microsoft YaHei" w:eastAsia="Microsoft YaHei" w:cs="Microsoft YaHei"/>
          <w:sz w:val="21"/>
          <w:szCs w:val="21"/>
          <w:spacing w:val="-19"/>
        </w:rPr>
        <w:t xml:space="preserve"> </w:t>
      </w:r>
      <w:r>
        <w:rPr>
          <w:rFonts w:ascii="Microsoft YaHei" w:hAnsi="Microsoft YaHei" w:eastAsia="Microsoft YaHei" w:cs="Microsoft YaHei"/>
          <w:sz w:val="21"/>
          <w:szCs w:val="21"/>
          <w:spacing w:val="-2"/>
        </w:rPr>
        <w:t>27）。</w:t>
      </w:r>
    </w:p>
    <w:p>
      <w:pPr>
        <w:pStyle w:val="BodyText"/>
        <w:spacing w:line="281" w:lineRule="auto"/>
        <w:rPr/>
      </w:pPr>
      <w:r>
        <w:pict>
          <v:rect id="_x0000_s1382" style="position:absolute;margin-left:16.7428pt;margin-top:7.58453pt;mso-position-vertical-relative:text;mso-position-horizontal-relative:text;width:30.5pt;height:5pt;z-index:253550592;" fillcolor="#00338D" filled="true" stroked="false"/>
        </w:pict>
      </w:r>
      <w:r/>
    </w:p>
    <w:p>
      <w:pPr>
        <w:ind w:left="1253"/>
        <w:spacing w:before="90" w:line="180" w:lineRule="auto"/>
        <w:rPr>
          <w:rFonts w:ascii="Microsoft YaHei" w:hAnsi="Microsoft YaHei" w:eastAsia="Microsoft YaHei" w:cs="Microsoft YaHei"/>
          <w:sz w:val="21"/>
          <w:szCs w:val="21"/>
        </w:rPr>
      </w:pPr>
      <w:r>
        <mc:AlternateContent xmlns:mc="http://schemas.openxmlformats.org/markup-compatibility/2006">
          <mc:Choice Requires="wps">
            <w:drawing>
              <wp:anchor distT="0" distB="0" distL="0" distR="0" simplePos="0" relativeHeight="253537280" behindDoc="1" locked="0" layoutInCell="1" allowOverlap="1">
                <wp:simplePos x="0" y="0"/>
                <wp:positionH relativeFrom="column">
                  <wp:posOffset>211109</wp:posOffset>
                </wp:positionH>
                <wp:positionV relativeFrom="paragraph">
                  <wp:posOffset>-40792</wp:posOffset>
                </wp:positionV>
                <wp:extent cx="6123940" cy="329565"/>
                <wp:effectExtent l="0" t="0" r="0" b="0"/>
                <wp:wrapNone/>
                <wp:docPr id="682" name="Rect 682"/>
                <wp:cNvGraphicFramePr/>
                <a:graphic>
                  <a:graphicData uri="http://schemas.microsoft.com/office/word/2010/wordprocessingShape">
                    <wps:wsp>
                      <wps:cNvPr id="682" name="Rect 682"/>
                      <wps:cNvSpPr/>
                      <wps:spPr>
                        <a:xfrm>
                          <a:off x="211109" y="-40792"/>
                          <a:ext cx="6123940" cy="329565"/>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384" style="position:absolute;margin-left:16.6228pt;margin-top:-3.21205pt;mso-position-vertical-relative:text;mso-position-horizontal-relative:text;width:482.2pt;height:25.95pt;z-index:-249779200;" fillcolor="#F1F1F1" filled="true" stroked="false"/>
            </w:pict>
          </mc:Fallback>
        </mc:AlternateContent>
      </w:r>
      <w:r>
        <w:pict>
          <v:shape id="_x0000_s1386" style="position:absolute;margin-left:23.6318pt;margin-top:4.03161pt;mso-position-vertical-relative:text;mso-position-horizontal-relative:text;width:26.65pt;height:15.05pt;z-index:253546496;" filled="false" stroked="false" type="#_x0000_t202">
            <v:fill on="false"/>
            <v:stroke on="false"/>
            <v:path/>
            <v:imagedata o:title=""/>
            <o:lock v:ext="edit" aspectratio="false"/>
            <v:textbox inset="0mm,0mm,0mm,0mm">
              <w:txbxContent>
                <w:p>
                  <w:pPr>
                    <w:ind w:left="20"/>
                    <w:spacing w:before="19" w:line="17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338D"/>
                      <w:spacing w:val="-8"/>
                    </w:rPr>
                    <w:t>图 27</w:t>
                  </w:r>
                </w:p>
              </w:txbxContent>
            </v:textbox>
          </v:shape>
        </w:pict>
      </w:r>
      <w:r>
        <w:pict>
          <v:shape id="_x0000_s1388" style="position:absolute;margin-left:53.5828pt;margin-top:8.80797pt;mso-position-vertical-relative:text;mso-position-horizontal-relative:text;width:1pt;height:13.85pt;z-index:253570048;" filled="false" strokecolor="#00C0AE" strokeweight="1.00pt" coordsize="20,277" coordorigin="0,0" path="m10,0l10,276e">
            <v:stroke joinstyle="miter"/>
          </v:shape>
        </w:pict>
      </w:r>
      <w:r>
        <w:rPr>
          <w:rFonts w:ascii="Microsoft YaHei" w:hAnsi="Microsoft YaHei" w:eastAsia="Microsoft YaHei" w:cs="Microsoft YaHei"/>
          <w:sz w:val="21"/>
          <w:szCs w:val="21"/>
          <w:b/>
          <w:bCs/>
          <w:color w:val="00338D"/>
          <w:spacing w:val="-1"/>
        </w:rPr>
        <w:t>2021年世界主要国家储能技术发表SCI论文数</w:t>
      </w:r>
    </w:p>
    <w:p>
      <w:pPr>
        <w:ind w:left="871"/>
        <w:spacing w:before="335" w:line="161" w:lineRule="auto"/>
        <w:rPr>
          <w:rFonts w:ascii="Trebuchet MS" w:hAnsi="Trebuchet MS" w:eastAsia="Trebuchet MS" w:cs="Trebuchet MS"/>
          <w:sz w:val="36"/>
          <w:szCs w:val="36"/>
        </w:rPr>
      </w:pPr>
      <w:r>
        <w:pict>
          <v:shape id="_x0000_s1390" style="position:absolute;margin-left:102.793pt;margin-top:18.7841pt;mso-position-vertical-relative:text;mso-position-horizontal-relative:text;width:108.9pt;height:0.5pt;z-index:253553664;" filled="false" strokecolor="#7F7F7F" strokeweight="0.50pt" coordsize="2178,10" coordorigin="0,0" path="m0,5l2177,5e">
            <v:stroke joinstyle="miter"/>
          </v:shape>
        </w:pict>
      </w:r>
      <w:r>
        <w:pict>
          <v:shape id="_x0000_s1392" style="position:absolute;margin-left:211.669pt;margin-top:18.7979pt;mso-position-vertical-relative:text;mso-position-horizontal-relative:text;width:14.45pt;height:5.55pt;z-index:253552640;" filled="false" strokecolor="#7F7F7F" strokeweight="0.50pt" coordsize="288,111" coordorigin="0,0" path="m286,105l1,4e">
            <v:stroke joinstyle="miter"/>
          </v:shape>
        </w:pict>
      </w:r>
      <w:r>
        <w:rPr>
          <w:rFonts w:ascii="Microsoft YaHei" w:hAnsi="Microsoft YaHei" w:eastAsia="Microsoft YaHei" w:cs="Microsoft YaHei"/>
          <w:sz w:val="21"/>
          <w:szCs w:val="21"/>
          <w:color w:val="76D2FF"/>
          <w:spacing w:val="-4"/>
          <w:position w:val="1"/>
        </w:rPr>
        <w:t>其他</w:t>
      </w:r>
      <w:r>
        <w:rPr>
          <w:rFonts w:ascii="Microsoft YaHei" w:hAnsi="Microsoft YaHei" w:eastAsia="Microsoft YaHei" w:cs="Microsoft YaHei"/>
          <w:sz w:val="21"/>
          <w:szCs w:val="21"/>
          <w:color w:val="76D2FF"/>
          <w:spacing w:val="14"/>
          <w:position w:val="1"/>
        </w:rPr>
        <w:t xml:space="preserve"> </w:t>
      </w:r>
      <w:r>
        <w:rPr>
          <w:rFonts w:ascii="Trebuchet MS" w:hAnsi="Trebuchet MS" w:eastAsia="Trebuchet MS" w:cs="Trebuchet MS"/>
          <w:sz w:val="36"/>
          <w:szCs w:val="36"/>
          <w:b/>
          <w:bCs/>
          <w:color w:val="76D2FF"/>
          <w:spacing w:val="-50"/>
          <w:w w:val="90"/>
        </w:rPr>
        <w:t>3,915</w:t>
      </w:r>
    </w:p>
    <w:p>
      <w:pPr>
        <w:ind w:left="869"/>
        <w:spacing w:before="136" w:line="161" w:lineRule="auto"/>
        <w:rPr>
          <w:rFonts w:ascii="Trebuchet MS" w:hAnsi="Trebuchet MS" w:eastAsia="Trebuchet MS" w:cs="Trebuchet MS"/>
          <w:sz w:val="36"/>
          <w:szCs w:val="36"/>
        </w:rPr>
      </w:pPr>
      <w:r>
        <w:pict>
          <v:shape id="_x0000_s1394" style="position:absolute;margin-left:121.513pt;margin-top:10.6805pt;mso-position-vertical-relative:text;mso-position-horizontal-relative:text;width:65.95pt;height:0.5pt;z-index:253559808;" filled="false" strokecolor="#7F7F7F" strokeweight="0.50pt" coordsize="1318,10" coordorigin="0,0" path="m0,5l1318,5e">
            <v:stroke joinstyle="miter"/>
          </v:shape>
        </w:pict>
      </w:r>
      <w:r>
        <w:pict>
          <v:shape id="_x0000_s1396" style="position:absolute;margin-left:167.912pt;margin-top:23.6987pt;mso-position-vertical-relative:text;mso-position-horizontal-relative:text;width:13.5pt;height:11.4pt;z-index:253549568;" filled="false" strokecolor="#7F7F7F" strokeweight="0.50pt" coordsize="270,227" coordorigin="0,0" path="m265,3l3,223e">
            <v:stroke joinstyle="miter"/>
          </v:shape>
        </w:pict>
      </w:r>
      <w:r>
        <w:rPr>
          <w:rFonts w:ascii="Microsoft YaHei" w:hAnsi="Microsoft YaHei" w:eastAsia="Microsoft YaHei" w:cs="Microsoft YaHei"/>
          <w:sz w:val="21"/>
          <w:szCs w:val="21"/>
          <w:color w:val="B497FF"/>
          <w:spacing w:val="-1"/>
          <w:position w:val="1"/>
        </w:rPr>
        <w:t>澳大利亚</w:t>
      </w:r>
      <w:r>
        <w:rPr>
          <w:rFonts w:ascii="Microsoft YaHei" w:hAnsi="Microsoft YaHei" w:eastAsia="Microsoft YaHei" w:cs="Microsoft YaHei"/>
          <w:sz w:val="21"/>
          <w:szCs w:val="21"/>
          <w:color w:val="B497FF"/>
          <w:spacing w:val="20"/>
          <w:position w:val="1"/>
        </w:rPr>
        <w:t xml:space="preserve"> </w:t>
      </w:r>
      <w:r>
        <w:rPr>
          <w:rFonts w:ascii="Trebuchet MS" w:hAnsi="Trebuchet MS" w:eastAsia="Trebuchet MS" w:cs="Trebuchet MS"/>
          <w:sz w:val="36"/>
          <w:szCs w:val="36"/>
          <w:b/>
          <w:bCs/>
          <w:color w:val="B497FF"/>
          <w:spacing w:val="-41"/>
          <w:w w:val="86"/>
        </w:rPr>
        <w:t>1,054</w:t>
      </w:r>
    </w:p>
    <w:p>
      <w:pPr>
        <w:ind w:left="870"/>
        <w:spacing w:before="196" w:line="282" w:lineRule="exact"/>
        <w:rPr>
          <w:rFonts w:ascii="Trebuchet MS" w:hAnsi="Trebuchet MS" w:eastAsia="Trebuchet MS" w:cs="Trebuchet MS"/>
          <w:sz w:val="36"/>
          <w:szCs w:val="36"/>
        </w:rPr>
      </w:pPr>
      <w:r>
        <w:pict>
          <v:shape id="_x0000_s1398" style="position:absolute;margin-left:102.793pt;margin-top:13.081pt;mso-position-vertical-relative:text;mso-position-horizontal-relative:text;width:65.15pt;height:0.5pt;z-index:253560832;" filled="false" strokecolor="#7F7F7F" strokeweight="0.50pt" coordsize="1303,10" coordorigin="0,0" path="m0,5l1302,5e">
            <v:stroke joinstyle="miter"/>
          </v:shape>
        </w:pict>
      </w:r>
      <w:r>
        <w:pict>
          <v:shape id="_x0000_s1400" style="position:absolute;margin-left:157.088pt;margin-top:23.9629pt;mso-position-vertical-relative:text;mso-position-horizontal-relative:text;width:16.05pt;height:17.6pt;z-index:253544448;" filled="false" strokecolor="#7F7F7F" strokeweight="0.50pt" coordsize="320,352" coordorigin="0,0" path="m316,3l3,347e">
            <v:stroke joinstyle="miter"/>
          </v:shape>
        </w:pict>
      </w:r>
      <w:r>
        <w:rPr>
          <w:rFonts w:ascii="Microsoft YaHei" w:hAnsi="Microsoft YaHei" w:eastAsia="Microsoft YaHei" w:cs="Microsoft YaHei"/>
          <w:sz w:val="21"/>
          <w:szCs w:val="21"/>
          <w:color w:val="FD349C"/>
          <w:spacing w:val="-4"/>
          <w:position w:val="-4"/>
        </w:rPr>
        <w:t>英国</w:t>
      </w:r>
      <w:r>
        <w:rPr>
          <w:rFonts w:ascii="Microsoft YaHei" w:hAnsi="Microsoft YaHei" w:eastAsia="Microsoft YaHei" w:cs="Microsoft YaHei"/>
          <w:sz w:val="21"/>
          <w:szCs w:val="21"/>
          <w:color w:val="FD349C"/>
          <w:spacing w:val="17"/>
          <w:position w:val="-4"/>
        </w:rPr>
        <w:t xml:space="preserve"> </w:t>
      </w:r>
      <w:r>
        <w:rPr>
          <w:rFonts w:ascii="Trebuchet MS" w:hAnsi="Trebuchet MS" w:eastAsia="Trebuchet MS" w:cs="Trebuchet MS"/>
          <w:sz w:val="36"/>
          <w:szCs w:val="36"/>
          <w:b/>
          <w:bCs/>
          <w:color w:val="FD349C"/>
          <w:spacing w:val="-37"/>
          <w:w w:val="82"/>
          <w:position w:val="-4"/>
        </w:rPr>
        <w:t>1,202</w:t>
      </w:r>
    </w:p>
    <w:p>
      <w:pPr>
        <w:ind w:left="7771"/>
        <w:spacing w:line="281" w:lineRule="exact"/>
        <w:rPr>
          <w:rFonts w:ascii="Trebuchet MS" w:hAnsi="Trebuchet MS" w:eastAsia="Trebuchet MS" w:cs="Trebuchet MS"/>
          <w:sz w:val="36"/>
          <w:szCs w:val="36"/>
        </w:rPr>
      </w:pPr>
      <w:r>
        <w:pict>
          <v:shape id="_x0000_s1402" style="position:absolute;margin-left:321.673pt;margin-top:8.41357pt;mso-position-vertical-relative:text;mso-position-horizontal-relative:text;width:60.45pt;height:0.5pt;z-index:253561856;" filled="false" strokecolor="#7F7F7F" strokeweight="0.50pt" coordsize="1209,10" coordorigin="0,0" path="m0,5l1208,5e">
            <v:stroke joinstyle="miter"/>
          </v:shape>
        </w:pict>
      </w:r>
      <w:r>
        <w:rPr>
          <w:rFonts w:ascii="Microsoft YaHei" w:hAnsi="Microsoft YaHei" w:eastAsia="Microsoft YaHei" w:cs="Microsoft YaHei"/>
          <w:sz w:val="21"/>
          <w:szCs w:val="21"/>
          <w:color w:val="00338D"/>
          <w:spacing w:val="-2"/>
          <w:position w:val="-5"/>
        </w:rPr>
        <w:t>中国</w:t>
      </w:r>
      <w:r>
        <w:rPr>
          <w:rFonts w:ascii="Trebuchet MS" w:hAnsi="Trebuchet MS" w:eastAsia="Trebuchet MS" w:cs="Trebuchet MS"/>
          <w:sz w:val="36"/>
          <w:szCs w:val="36"/>
          <w:b/>
          <w:bCs/>
          <w:color w:val="00338D"/>
          <w:spacing w:val="-49"/>
          <w:w w:val="86"/>
          <w:position w:val="-4"/>
        </w:rPr>
        <w:t>11,949</w:t>
      </w:r>
    </w:p>
    <w:p>
      <w:pPr>
        <w:ind w:left="868"/>
        <w:spacing w:before="2" w:line="160" w:lineRule="auto"/>
        <w:rPr>
          <w:rFonts w:ascii="Trebuchet MS" w:hAnsi="Trebuchet MS" w:eastAsia="Trebuchet MS" w:cs="Trebuchet MS"/>
          <w:sz w:val="36"/>
          <w:szCs w:val="36"/>
        </w:rPr>
      </w:pPr>
      <w:r>
        <w:pict>
          <v:shape id="_x0000_s1404" style="position:absolute;margin-left:102.793pt;margin-top:3.50598pt;mso-position-vertical-relative:text;mso-position-horizontal-relative:text;width:54.45pt;height:0.5pt;z-index:253564928;" filled="false" strokecolor="#7F7F7F" strokeweight="0.50pt" coordsize="1089,10" coordorigin="0,0" path="m0,5l1088,5e">
            <v:stroke joinstyle="miter"/>
          </v:shape>
        </w:pict>
      </w:r>
      <w:r>
        <w:pict>
          <v:shape id="_x0000_s1406" style="position:absolute;margin-left:157.088pt;margin-top:7.66785pt;mso-position-vertical-relative:text;mso-position-horizontal-relative:text;width:16.05pt;height:17.6pt;z-index:253545472;" filled="false" strokecolor="#7F7F7F" strokeweight="0.50pt" coordsize="320,352" coordorigin="0,0" path="m316,3l3,347e">
            <v:stroke joinstyle="miter"/>
          </v:shape>
        </w:pict>
      </w:r>
      <w:r>
        <w:rPr>
          <w:rFonts w:ascii="Microsoft YaHei" w:hAnsi="Microsoft YaHei" w:eastAsia="Microsoft YaHei" w:cs="Microsoft YaHei"/>
          <w:sz w:val="21"/>
          <w:szCs w:val="21"/>
          <w:color w:val="A8A8A8"/>
          <w:spacing w:val="-3"/>
          <w:position w:val="1"/>
        </w:rPr>
        <w:t>德国</w:t>
      </w:r>
      <w:r>
        <w:rPr>
          <w:rFonts w:ascii="Microsoft YaHei" w:hAnsi="Microsoft YaHei" w:eastAsia="Microsoft YaHei" w:cs="Microsoft YaHei"/>
          <w:sz w:val="21"/>
          <w:szCs w:val="21"/>
          <w:color w:val="A8A8A8"/>
          <w:spacing w:val="11"/>
          <w:position w:val="1"/>
        </w:rPr>
        <w:t xml:space="preserve"> </w:t>
      </w:r>
      <w:r>
        <w:rPr>
          <w:rFonts w:ascii="Trebuchet MS" w:hAnsi="Trebuchet MS" w:eastAsia="Trebuchet MS" w:cs="Trebuchet MS"/>
          <w:sz w:val="36"/>
          <w:szCs w:val="36"/>
          <w:b/>
          <w:bCs/>
          <w:color w:val="A8A8A8"/>
          <w:spacing w:val="-40"/>
          <w:w w:val="84"/>
        </w:rPr>
        <w:t>1,229</w:t>
      </w:r>
    </w:p>
    <w:p>
      <w:pPr>
        <w:ind w:left="870"/>
        <w:spacing w:before="167" w:line="161" w:lineRule="auto"/>
        <w:rPr>
          <w:rFonts w:ascii="Trebuchet MS" w:hAnsi="Trebuchet MS" w:eastAsia="Trebuchet MS" w:cs="Trebuchet MS"/>
          <w:sz w:val="36"/>
          <w:szCs w:val="36"/>
        </w:rPr>
      </w:pPr>
      <w:r>
        <w:pict>
          <v:shape id="_x0000_s1408" style="position:absolute;margin-left:102.793pt;margin-top:10.4553pt;mso-position-vertical-relative:text;mso-position-horizontal-relative:text;width:54.45pt;height:0.5pt;z-index:253569024;" filled="false" strokecolor="#7F7F7F" strokeweight="0.50pt" coordsize="1089,10" coordorigin="0,0" path="m0,5l1088,5e">
            <v:stroke joinstyle="miter"/>
          </v:shape>
        </w:pict>
      </w:r>
      <w:r>
        <w:pict>
          <v:shape id="_x0000_s1410" style="position:absolute;margin-left:102.793pt;margin-top:35.4153pt;mso-position-vertical-relative:text;mso-position-horizontal-relative:text;width:79.45pt;height:0.5pt;z-index:253554688;" filled="false" strokecolor="#7F7F7F" strokeweight="0.50pt" coordsize="1588,10" coordorigin="0,0" path="m0,5l1588,5e">
            <v:stroke joinstyle="miter"/>
          </v:shape>
        </w:pict>
      </w:r>
      <w:r>
        <w:rPr>
          <w:rFonts w:ascii="Microsoft YaHei" w:hAnsi="Microsoft YaHei" w:eastAsia="Microsoft YaHei" w:cs="Microsoft YaHei"/>
          <w:sz w:val="21"/>
          <w:szCs w:val="21"/>
          <w:color w:val="098E7E"/>
          <w:spacing w:val="-4"/>
          <w:position w:val="3"/>
        </w:rPr>
        <w:t>韩国</w:t>
      </w:r>
      <w:r>
        <w:rPr>
          <w:rFonts w:ascii="Microsoft YaHei" w:hAnsi="Microsoft YaHei" w:eastAsia="Microsoft YaHei" w:cs="Microsoft YaHei"/>
          <w:sz w:val="21"/>
          <w:szCs w:val="21"/>
          <w:color w:val="098E7E"/>
          <w:spacing w:val="14"/>
          <w:position w:val="3"/>
        </w:rPr>
        <w:t xml:space="preserve"> </w:t>
      </w:r>
      <w:r>
        <w:rPr>
          <w:rFonts w:ascii="Trebuchet MS" w:hAnsi="Trebuchet MS" w:eastAsia="Trebuchet MS" w:cs="Trebuchet MS"/>
          <w:sz w:val="36"/>
          <w:szCs w:val="36"/>
          <w:b/>
          <w:bCs/>
          <w:color w:val="098E7E"/>
          <w:spacing w:val="-41"/>
          <w:w w:val="86"/>
        </w:rPr>
        <w:t>1,405</w:t>
      </w:r>
    </w:p>
    <w:p>
      <w:pPr>
        <w:ind w:left="874"/>
        <w:spacing w:before="257" w:line="161" w:lineRule="auto"/>
        <w:rPr>
          <w:rFonts w:ascii="Trebuchet MS" w:hAnsi="Trebuchet MS" w:eastAsia="Trebuchet MS" w:cs="Trebuchet MS"/>
          <w:sz w:val="36"/>
          <w:szCs w:val="36"/>
        </w:rPr>
      </w:pPr>
      <w:r>
        <w:rPr>
          <w:rFonts w:ascii="Microsoft YaHei" w:hAnsi="Microsoft YaHei" w:eastAsia="Microsoft YaHei" w:cs="Microsoft YaHei"/>
          <w:sz w:val="21"/>
          <w:szCs w:val="21"/>
          <w:color w:val="00C0AE"/>
          <w:spacing w:val="-6"/>
          <w:position w:val="3"/>
        </w:rPr>
        <w:t>印度</w:t>
      </w:r>
      <w:r>
        <w:rPr>
          <w:rFonts w:ascii="Microsoft YaHei" w:hAnsi="Microsoft YaHei" w:eastAsia="Microsoft YaHei" w:cs="Microsoft YaHei"/>
          <w:sz w:val="21"/>
          <w:szCs w:val="21"/>
          <w:color w:val="00C0AE"/>
          <w:spacing w:val="17"/>
          <w:w w:val="101"/>
          <w:position w:val="3"/>
        </w:rPr>
        <w:t xml:space="preserve"> </w:t>
      </w:r>
      <w:r>
        <w:rPr>
          <w:rFonts w:ascii="Trebuchet MS" w:hAnsi="Trebuchet MS" w:eastAsia="Trebuchet MS" w:cs="Trebuchet MS"/>
          <w:sz w:val="36"/>
          <w:szCs w:val="36"/>
          <w:b/>
          <w:bCs/>
          <w:color w:val="00C0AE"/>
          <w:spacing w:val="-25"/>
          <w:w w:val="80"/>
        </w:rPr>
        <w:t>2,420</w:t>
      </w:r>
    </w:p>
    <w:p>
      <w:pPr>
        <w:ind w:left="870"/>
        <w:spacing w:before="255" w:line="161" w:lineRule="auto"/>
        <w:rPr>
          <w:sz w:val="36"/>
          <w:szCs w:val="36"/>
        </w:rPr>
      </w:pPr>
      <w:r>
        <w:pict>
          <v:group id="_x0000_s1412" style="position:absolute;margin-left:170.475pt;margin-top:-129.941pt;mso-position-vertical-relative:text;mso-position-horizontal-relative:text;width:146.8pt;height:146.45pt;z-index:-249778176;" filled="false" stroked="false" coordsize="2936,2928" coordorigin="0,0">
            <v:shape id="_x0000_s1414" style="position:absolute;left:1459;top:80;width:1476;height:2847;" fillcolor="#00338D" filled="true" stroked="false" coordsize="1476,2847" coordorigin="0,0" path="m457,0c1223,248,1642,1071,1393,1837c1197,2440,634,2847,0,2844l6,1386l457,0xe"/>
            <v:shape id="_x0000_s1416" style="position:absolute;left:425;top:1467;width:1041;height:1458;" fillcolor="#00B8F5" filled="true" stroked="false" coordsize="1041,1458" coordorigin="0,0" path="m1034,1458m1034,1458c645,1456,272,1298,0,1020l1041,0l1034,1458xe"/>
            <v:shape id="_x0000_s1418" style="position:absolute;left:38;top:1467;width:1428;height:1020;" fillcolor="#00C0AE" filled="true" stroked="false" coordsize="1428,1020" coordorigin="0,0" path="m387,1020c190,820,56,567,0,292l1428,0l387,1020xe"/>
            <v:shape id="_x0000_s1420" style="position:absolute;left:0;top:1276;width:1466;height:482;" fillcolor="#098E7E" filled="true" stroked="false" coordsize="1466,482" coordorigin="0,0" path="m38,482c5,324,0,160,21,0l1466,190l38,482xe"/>
            <v:shape id="_x0000_s1422" style="position:absolute;left:21;top:869;width:1446;height:597;" fillcolor="#DADADA" filled="true" stroked="false" coordsize="1446,597" coordorigin="0,0" path="m0,407c18,266,57,129,115,0l1445,597l0,407xe"/>
            <v:shape id="_x0000_s1424" style="position:absolute;left:136;top:519;width:1330;height:948;" fillcolor="#FD349C" filled="true" stroked="false" coordsize="1330,948" coordorigin="0,0" path="m0,349c56,223,131,105,221,0l1329,947l0,349xe"/>
            <v:shape id="_x0000_s1426" style="position:absolute;left:358;top:275;width:1109;height:1191;" fillcolor="#B497FF" filled="true" stroked="false" coordsize="1109,1191" coordorigin="0,0" path="m0,244m0,244c78,152,169,70,268,0l1108,1191l0,244xe"/>
            <v:shape id="_x0000_s1428" style="position:absolute;left:627;top:0;width:1291;height:1468;" fillcolor="#76D2FF" filled="true" stroked="false" coordsize="1291,1468" coordorigin="0,0" path="m0,275c375,10,853,-61,1290,80l839,1467l0,275xe"/>
          </v:group>
        </w:pict>
      </w:r>
      <w:r>
        <w:rPr>
          <w:rFonts w:ascii="Microsoft YaHei" w:hAnsi="Microsoft YaHei" w:eastAsia="Microsoft YaHei" w:cs="Microsoft YaHei"/>
          <w:sz w:val="21"/>
          <w:szCs w:val="21"/>
          <w:color w:val="00B8F5"/>
          <w:spacing w:val="-4"/>
          <w:position w:val="3"/>
        </w:rPr>
        <w:t>美国</w:t>
      </w:r>
      <w:r>
        <w:rPr>
          <w:rFonts w:ascii="Microsoft YaHei" w:hAnsi="Microsoft YaHei" w:eastAsia="Microsoft YaHei" w:cs="Microsoft YaHei"/>
          <w:sz w:val="21"/>
          <w:szCs w:val="21"/>
          <w:color w:val="00B8F5"/>
          <w:spacing w:val="15"/>
          <w:w w:val="101"/>
          <w:position w:val="3"/>
        </w:rPr>
        <w:t xml:space="preserve"> </w:t>
      </w:r>
      <w:r>
        <w:rPr>
          <w:rFonts w:ascii="Trebuchet MS" w:hAnsi="Trebuchet MS" w:eastAsia="Trebuchet MS" w:cs="Trebuchet MS"/>
          <w:sz w:val="36"/>
          <w:szCs w:val="36"/>
          <w:b/>
          <w:bCs/>
          <w:color w:val="00B8F5"/>
          <w:spacing w:val="-36"/>
          <w:w w:val="79"/>
        </w:rPr>
        <w:t>3,336</w:t>
      </w:r>
      <w:r>
        <w:rPr>
          <w:rFonts w:ascii="Trebuchet MS" w:hAnsi="Trebuchet MS" w:eastAsia="Trebuchet MS" w:cs="Trebuchet MS"/>
          <w:sz w:val="36"/>
          <w:szCs w:val="36"/>
          <w:b/>
          <w:bCs/>
          <w:color w:val="00B8F5"/>
          <w:spacing w:val="-10"/>
        </w:rPr>
        <w:t xml:space="preserve"> </w:t>
      </w:r>
      <w:r>
        <w:rPr>
          <w:sz w:val="36"/>
          <w:szCs w:val="36"/>
          <w:position w:val="18"/>
        </w:rPr>
        <w:drawing>
          <wp:inline distT="0" distB="0" distL="0" distR="0">
            <wp:extent cx="1521091" cy="6350"/>
            <wp:effectExtent l="0" t="0" r="0" b="0"/>
            <wp:docPr id="684" name="IM 684"/>
            <wp:cNvGraphicFramePr/>
            <a:graphic>
              <a:graphicData uri="http://schemas.openxmlformats.org/drawingml/2006/picture">
                <pic:pic>
                  <pic:nvPicPr>
                    <pic:cNvPr id="684" name="IM 684"/>
                    <pic:cNvPicPr/>
                  </pic:nvPicPr>
                  <pic:blipFill>
                    <a:blip r:embed="rId325"/>
                    <a:stretch>
                      <a:fillRect/>
                    </a:stretch>
                  </pic:blipFill>
                  <pic:spPr>
                    <a:xfrm rot="0">
                      <a:off x="0" y="0"/>
                      <a:ext cx="1521091" cy="6350"/>
                    </a:xfrm>
                    <a:prstGeom prst="rect">
                      <a:avLst/>
                    </a:prstGeom>
                  </pic:spPr>
                </pic:pic>
              </a:graphicData>
            </a:graphic>
          </wp:inline>
        </w:drawing>
      </w:r>
    </w:p>
    <w:p>
      <w:pPr>
        <w:ind w:left="340"/>
        <w:spacing w:before="215" w:line="187"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4"/>
        </w:rPr>
        <w:t>数据来源： 《2021年中国储能技术研究进展》</w:t>
      </w:r>
      <w:r>
        <w:rPr>
          <w:rFonts w:ascii="Microsoft YaHei" w:hAnsi="Microsoft YaHei" w:eastAsia="Microsoft YaHei" w:cs="Microsoft YaHei"/>
          <w:sz w:val="15"/>
          <w:szCs w:val="15"/>
          <w:spacing w:val="3"/>
        </w:rPr>
        <w:t xml:space="preserve"> </w:t>
      </w:r>
      <w:r>
        <w:rPr>
          <w:rFonts w:ascii="Microsoft YaHei" w:hAnsi="Microsoft YaHei" w:eastAsia="Microsoft YaHei" w:cs="Microsoft YaHei"/>
          <w:sz w:val="15"/>
          <w:szCs w:val="15"/>
          <w:spacing w:val="4"/>
        </w:rPr>
        <w:t>，毕马威分析</w:t>
      </w:r>
    </w:p>
    <w:p>
      <w:pPr>
        <w:ind w:left="342" w:right="2824"/>
        <w:spacing w:before="251" w:line="215"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2021年中国机构和学者发布的锂离子电池、储热(包括储冷)、超级电容器、钠</w:t>
      </w:r>
      <w:r>
        <w:rPr>
          <w:rFonts w:ascii="Microsoft YaHei" w:hAnsi="Microsoft YaHei" w:eastAsia="Microsoft YaHei" w:cs="Microsoft YaHei"/>
          <w:sz w:val="21"/>
          <w:szCs w:val="21"/>
          <w:spacing w:val="3"/>
        </w:rPr>
        <w:t>离子电</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池的SCI论文数均超过1,000篇，是储能领域基础研究的热门领域（图</w:t>
      </w:r>
      <w:r>
        <w:rPr>
          <w:rFonts w:ascii="Microsoft YaHei" w:hAnsi="Microsoft YaHei" w:eastAsia="Microsoft YaHei" w:cs="Microsoft YaHei"/>
          <w:sz w:val="21"/>
          <w:szCs w:val="21"/>
          <w:spacing w:val="68"/>
        </w:rPr>
        <w:t xml:space="preserve"> </w:t>
      </w:r>
      <w:r>
        <w:rPr>
          <w:rFonts w:ascii="Microsoft YaHei" w:hAnsi="Microsoft YaHei" w:eastAsia="Microsoft YaHei" w:cs="Microsoft YaHei"/>
          <w:sz w:val="21"/>
          <w:szCs w:val="21"/>
          <w:spacing w:val="-1"/>
        </w:rPr>
        <w:t>28）。在分项技</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术方面</w:t>
      </w:r>
      <w:r>
        <w:rPr>
          <w:rFonts w:ascii="Microsoft YaHei" w:hAnsi="Microsoft YaHei" w:eastAsia="Microsoft YaHei" w:cs="Microsoft YaHei"/>
          <w:sz w:val="21"/>
          <w:szCs w:val="21"/>
          <w:spacing w:val="-11"/>
        </w:rPr>
        <w:t xml:space="preserve"> </w:t>
      </w:r>
      <w:r>
        <w:rPr>
          <w:rFonts w:ascii="Microsoft YaHei" w:hAnsi="Microsoft YaHei" w:eastAsia="Microsoft YaHei" w:cs="Microsoft YaHei"/>
          <w:sz w:val="21"/>
          <w:szCs w:val="21"/>
          <w:spacing w:val="2"/>
        </w:rPr>
        <w:t>，包括抽水蓄能、压缩空气、储热、飞轮、铅电池、锂离子电池、钠离子电池、</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8"/>
        </w:rPr>
        <w:t>液流电池、超级电容器、液态金属、金属离子电池和水系电池</w:t>
      </w:r>
      <w:r>
        <w:rPr>
          <w:rFonts w:ascii="Microsoft YaHei" w:hAnsi="Microsoft YaHei" w:eastAsia="Microsoft YaHei" w:cs="Microsoft YaHei"/>
          <w:sz w:val="21"/>
          <w:szCs w:val="21"/>
          <w:spacing w:val="-6"/>
        </w:rPr>
        <w:t xml:space="preserve"> </w:t>
      </w:r>
      <w:r>
        <w:rPr>
          <w:rFonts w:ascii="Microsoft YaHei" w:hAnsi="Microsoft YaHei" w:eastAsia="Microsoft YaHei" w:cs="Microsoft YaHei"/>
          <w:sz w:val="21"/>
          <w:szCs w:val="21"/>
          <w:spacing w:val="8"/>
        </w:rPr>
        <w:t>，</w:t>
      </w:r>
      <w:r>
        <w:rPr>
          <w:rFonts w:ascii="Microsoft YaHei" w:hAnsi="Microsoft YaHei" w:eastAsia="Microsoft YaHei" w:cs="Microsoft YaHei"/>
          <w:sz w:val="21"/>
          <w:szCs w:val="21"/>
          <w:spacing w:val="-37"/>
        </w:rPr>
        <w:t xml:space="preserve"> </w:t>
      </w:r>
      <w:r>
        <w:rPr>
          <w:rFonts w:ascii="Microsoft YaHei" w:hAnsi="Microsoft YaHei" w:eastAsia="Microsoft YaHei" w:cs="Microsoft YaHei"/>
          <w:sz w:val="21"/>
          <w:szCs w:val="21"/>
          <w:spacing w:val="8"/>
        </w:rPr>
        <w:t>中国机构和学者在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2021 年发表的SCI论文数均居世界第一。</w:t>
      </w:r>
    </w:p>
    <w:p>
      <w:pPr>
        <w:pStyle w:val="BodyText"/>
        <w:spacing w:line="351" w:lineRule="auto"/>
        <w:rPr/>
      </w:pPr>
      <w:r>
        <w:pict>
          <v:rect id="_x0000_s1430" style="position:absolute;margin-left:16.7428pt;margin-top:10.9979pt;mso-position-vertical-relative:text;mso-position-horizontal-relative:text;width:30.5pt;height:5pt;z-index:253551616;" fillcolor="#00338D" filled="true" stroked="false"/>
        </w:pict>
      </w:r>
      <w:r/>
    </w:p>
    <w:p>
      <w:pPr>
        <w:ind w:left="1253"/>
        <w:spacing w:before="90" w:line="180" w:lineRule="auto"/>
        <w:rPr>
          <w:rFonts w:ascii="Microsoft YaHei" w:hAnsi="Microsoft YaHei" w:eastAsia="Microsoft YaHei" w:cs="Microsoft YaHei"/>
          <w:sz w:val="21"/>
          <w:szCs w:val="21"/>
        </w:rPr>
      </w:pPr>
      <w:r>
        <mc:AlternateContent xmlns:mc="http://schemas.openxmlformats.org/markup-compatibility/2006">
          <mc:Choice Requires="wps">
            <w:drawing>
              <wp:anchor distT="0" distB="0" distL="0" distR="0" simplePos="0" relativeHeight="253539328" behindDoc="1" locked="0" layoutInCell="1" allowOverlap="1">
                <wp:simplePos x="0" y="0"/>
                <wp:positionH relativeFrom="column">
                  <wp:posOffset>211109</wp:posOffset>
                </wp:positionH>
                <wp:positionV relativeFrom="paragraph">
                  <wp:posOffset>-42168</wp:posOffset>
                </wp:positionV>
                <wp:extent cx="6123940" cy="332740"/>
                <wp:effectExtent l="0" t="0" r="0" b="0"/>
                <wp:wrapNone/>
                <wp:docPr id="686" name="Rect 686"/>
                <wp:cNvGraphicFramePr/>
                <a:graphic>
                  <a:graphicData uri="http://schemas.microsoft.com/office/word/2010/wordprocessingShape">
                    <wps:wsp>
                      <wps:cNvPr id="686" name="Rect 686"/>
                      <wps:cNvSpPr/>
                      <wps:spPr>
                        <a:xfrm>
                          <a:off x="211109" y="-42168"/>
                          <a:ext cx="6123940" cy="332740"/>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432" style="position:absolute;margin-left:16.6228pt;margin-top:-3.32032pt;mso-position-vertical-relative:text;mso-position-horizontal-relative:text;width:482.2pt;height:26.2pt;z-index:-249777152;" fillcolor="#F1F1F1" filled="true" stroked="false"/>
            </w:pict>
          </mc:Fallback>
        </mc:AlternateContent>
      </w:r>
      <w:r>
        <w:pict>
          <v:shape id="_x0000_s1434" style="position:absolute;margin-left:23.6319pt;margin-top:1.67968pt;mso-position-vertical-relative:text;mso-position-horizontal-relative:text;width:31.5pt;height:18.2pt;z-index:253543424;" filled="false" stroked="false" type="#_x0000_t202">
            <v:fill on="false"/>
            <v:stroke on="false"/>
            <v:path/>
            <v:imagedata o:title=""/>
            <o:lock v:ext="edit" aspectratio="false"/>
            <v:textbox inset="0mm,0mm,0mm,0mm">
              <w:txbxContent>
                <w:p>
                  <w:pPr>
                    <w:ind w:left="20"/>
                    <w:spacing w:before="20" w:line="215" w:lineRule="auto"/>
                    <w:rPr>
                      <w:sz w:val="21"/>
                      <w:szCs w:val="21"/>
                    </w:rPr>
                  </w:pPr>
                  <w:r>
                    <w:rPr>
                      <w:rFonts w:ascii="Microsoft YaHei" w:hAnsi="Microsoft YaHei" w:eastAsia="Microsoft YaHei" w:cs="Microsoft YaHei"/>
                      <w:sz w:val="21"/>
                      <w:szCs w:val="21"/>
                      <w:b/>
                      <w:bCs/>
                      <w:color w:val="00338D"/>
                      <w:spacing w:val="-11"/>
                    </w:rPr>
                    <w:t>图</w:t>
                  </w:r>
                  <w:r>
                    <w:rPr>
                      <w:rFonts w:ascii="Microsoft YaHei" w:hAnsi="Microsoft YaHei" w:eastAsia="Microsoft YaHei" w:cs="Microsoft YaHei"/>
                      <w:sz w:val="21"/>
                      <w:szCs w:val="21"/>
                      <w:b/>
                      <w:bCs/>
                      <w:color w:val="00338D"/>
                      <w:spacing w:val="-7"/>
                    </w:rPr>
                    <w:t xml:space="preserve"> </w:t>
                  </w:r>
                  <w:r>
                    <w:rPr>
                      <w:rFonts w:ascii="Microsoft YaHei" w:hAnsi="Microsoft YaHei" w:eastAsia="Microsoft YaHei" w:cs="Microsoft YaHei"/>
                      <w:sz w:val="21"/>
                      <w:szCs w:val="21"/>
                      <w:b/>
                      <w:bCs/>
                      <w:color w:val="00338D"/>
                      <w:spacing w:val="-11"/>
                    </w:rPr>
                    <w:t>28</w:t>
                  </w:r>
                  <w:r>
                    <w:rPr>
                      <w:rFonts w:ascii="Microsoft YaHei" w:hAnsi="Microsoft YaHei" w:eastAsia="Microsoft YaHei" w:cs="Microsoft YaHei"/>
                      <w:sz w:val="21"/>
                      <w:szCs w:val="21"/>
                      <w:b/>
                      <w:bCs/>
                      <w:color w:val="00338D"/>
                      <w:spacing w:val="13"/>
                    </w:rPr>
                    <w:t xml:space="preserve"> </w:t>
                  </w:r>
                  <w:r>
                    <w:rPr>
                      <w:sz w:val="21"/>
                      <w:szCs w:val="21"/>
                      <w:position w:val="-5"/>
                    </w:rPr>
                    <w:drawing>
                      <wp:inline distT="0" distB="0" distL="0" distR="0">
                        <wp:extent cx="12700" cy="175666"/>
                        <wp:effectExtent l="0" t="0" r="0" b="0"/>
                        <wp:docPr id="688" name="IM 688"/>
                        <wp:cNvGraphicFramePr/>
                        <a:graphic>
                          <a:graphicData uri="http://schemas.openxmlformats.org/drawingml/2006/picture">
                            <pic:pic>
                              <pic:nvPicPr>
                                <pic:cNvPr id="688" name="IM 688"/>
                                <pic:cNvPicPr/>
                              </pic:nvPicPr>
                              <pic:blipFill>
                                <a:blip r:embed="rId326"/>
                                <a:stretch>
                                  <a:fillRect/>
                                </a:stretch>
                              </pic:blipFill>
                              <pic:spPr>
                                <a:xfrm rot="0">
                                  <a:off x="0" y="0"/>
                                  <a:ext cx="12700" cy="175666"/>
                                </a:xfrm>
                                <a:prstGeom prst="rect">
                                  <a:avLst/>
                                </a:prstGeom>
                              </pic:spPr>
                            </pic:pic>
                          </a:graphicData>
                        </a:graphic>
                      </wp:inline>
                    </w:drawing>
                  </w:r>
                </w:p>
              </w:txbxContent>
            </v:textbox>
          </v:shape>
        </w:pict>
      </w:r>
      <w:r>
        <w:rPr>
          <w:rFonts w:ascii="Microsoft YaHei" w:hAnsi="Microsoft YaHei" w:eastAsia="Microsoft YaHei" w:cs="Microsoft YaHei"/>
          <w:sz w:val="21"/>
          <w:szCs w:val="21"/>
          <w:b/>
          <w:bCs/>
          <w:color w:val="00338D"/>
          <w:spacing w:val="-2"/>
        </w:rPr>
        <w:t>2021年中国主要储能技术发表SCI论文</w:t>
      </w:r>
    </w:p>
    <w:p>
      <w:pPr>
        <w:pStyle w:val="BodyText"/>
        <w:spacing w:line="367" w:lineRule="auto"/>
        <w:rPr/>
      </w:pPr>
      <w:r>
        <w:pict>
          <v:group id="_x0000_s1436" style="position:absolute;margin-left:174.642pt;margin-top:16.946pt;mso-position-vertical-relative:text;mso-position-horizontal-relative:text;width:143.25pt;height:143.45pt;z-index:253540352;" filled="false" stroked="false" coordsize="2865,2868" coordorigin="0,0">
            <v:shape id="_x0000_s1438" style="position:absolute;left:150;top:0;width:2421;height:1435;" fillcolor="#00338D" filled="true" stroked="false" coordsize="2421,1435" coordorigin="0,0" path="m0,810c345,102,1198,-190,1905,154c2109,253,2285,399,2421,580l1280,1434l0,810xe"/>
            <v:shape id="_x0000_s1440" style="position:absolute;left:1430;top:580;width:1433;height:1596;" fillcolor="#00B8F5" filled="true" stroked="false" coordsize="1433,1596" coordorigin="0,0" path="m1140,0c1490,466,1520,1099,1216,1596l0,854l1140,0xe"/>
            <v:shape id="_x0000_s1442" style="position:absolute;left:1369;top:1434;width:1278;height:1433;" fillcolor="#ACEAFF" filled="true" stroked="false" coordsize="1278,1433" coordorigin="0,0" path="m1277,742c1007,1185,518,1445,0,1423l61,0l1277,742xe"/>
            <v:shape id="_x0000_s1444" style="position:absolute;left:488;top:1434;width:943;height:1423;" fillcolor="#00C0AE" filled="true" stroked="false" coordsize="943,1423" coordorigin="0,0" path="m881,1423m881,1423c555,1409,244,1284,0,1068l942,0l881,1423xe"/>
            <v:shape id="_x0000_s1446" style="position:absolute;left:120;top:1434;width:1311;height:1069;" fillcolor="#098E7E" filled="true" stroked="false" coordsize="1311,1069" coordorigin="0,0" path="m368,1068c209,928,83,754,0,559l1310,0l368,1068xe"/>
            <v:shape id="_x0000_s1448" style="position:absolute;left:0;top:1390;width:1431;height:604;" fillcolor="#DADADA" filled="true" stroked="false" coordsize="1431,604" coordorigin="0,0" path="m120,603c38,413,0,207,6,0l1430,44l120,603xe"/>
            <v:shape id="_x0000_s1450" style="position:absolute;left:6;top:1125;width:1425;height:310;" fillcolor="#FD349C" filled="true" stroked="false" coordsize="1425,310" coordorigin="0,0" path="m0,264c2,175,13,86,33,0l1424,309l0,264xe"/>
            <v:shape id="_x0000_s1452" style="position:absolute;left:39;top:956;width:1391;height:479;" fillcolor="#FFA3DA" filled="true" stroked="false" coordsize="1391,479" coordorigin="0,0" path="m0,169c12,112,29,55,48,0l1391,478l0,169xe"/>
            <v:shape id="_x0000_s1454" style="position:absolute;left:88;top:810;width:1343;height:625;" fillcolor="#B497FF" filled="true" stroked="false" coordsize="1343,625" coordorigin="0,0" path="m0,145m0,145c17,96,38,47,61,0l1342,624l0,145xe"/>
          </v:group>
        </w:pict>
      </w:r>
      <w:r/>
    </w:p>
    <w:p>
      <w:pPr>
        <w:ind w:left="871"/>
        <w:spacing w:before="105" w:line="178" w:lineRule="auto"/>
        <w:rPr>
          <w:rFonts w:ascii="Trebuchet MS" w:hAnsi="Trebuchet MS" w:eastAsia="Trebuchet MS" w:cs="Trebuchet MS"/>
          <w:sz w:val="36"/>
          <w:szCs w:val="36"/>
        </w:rPr>
      </w:pPr>
      <w:r>
        <w:pict>
          <v:shape id="_x0000_s1456" style="position:absolute;margin-left:113.593pt;margin-top:12.0796pt;mso-position-vertical-relative:text;mso-position-horizontal-relative:text;width:54.45pt;height:0.5pt;z-index:253568000;" filled="false" strokecolor="#7F7F7F" strokeweight="0.50pt" coordsize="1089,10" coordorigin="0,0" path="m0,5l1088,5e">
            <v:stroke joinstyle="miter"/>
          </v:shape>
        </w:pict>
      </w:r>
      <w:r>
        <w:pict>
          <v:shape id="_x0000_s1458" style="position:absolute;margin-left:304.393pt;margin-top:15.9196pt;mso-position-vertical-relative:text;mso-position-horizontal-relative:text;width:77.9pt;height:0.5pt;z-index:253556736;" filled="false" strokecolor="#7F7F7F" strokeweight="0.50pt" coordsize="1558,10" coordorigin="0,0" path="m0,5l1557,5e">
            <v:stroke joinstyle="miter"/>
          </v:shape>
        </w:pict>
      </w:r>
      <w:r>
        <w:pict>
          <v:shape id="_x0000_s1460" style="position:absolute;margin-left:386.915pt;margin-top:7.12772pt;mso-position-vertical-relative:text;mso-position-horizontal-relative:text;width:86.55pt;height:16.35pt;z-index:253541376;" filled="false" stroked="false" type="#_x0000_t202">
            <v:fill on="false"/>
            <v:stroke on="false"/>
            <v:path/>
            <v:imagedata o:title=""/>
            <o:lock v:ext="edit" aspectratio="false"/>
            <v:textbox inset="0mm,0mm,0mm,0mm">
              <w:txbxContent>
                <w:p>
                  <w:pPr>
                    <w:spacing w:before="19" w:line="161" w:lineRule="auto"/>
                    <w:jc w:val="right"/>
                    <w:rPr>
                      <w:rFonts w:ascii="Trebuchet MS" w:hAnsi="Trebuchet MS" w:eastAsia="Trebuchet MS" w:cs="Trebuchet MS"/>
                      <w:sz w:val="36"/>
                      <w:szCs w:val="36"/>
                    </w:rPr>
                  </w:pPr>
                  <w:r>
                    <w:rPr>
                      <w:rFonts w:ascii="Microsoft YaHei" w:hAnsi="Microsoft YaHei" w:eastAsia="Microsoft YaHei" w:cs="Microsoft YaHei"/>
                      <w:sz w:val="21"/>
                      <w:szCs w:val="21"/>
                      <w:color w:val="00338D"/>
                      <w:spacing w:val="-1"/>
                      <w:position w:val="1"/>
                    </w:rPr>
                    <w:t>锂离子电池</w:t>
                  </w:r>
                  <w:r>
                    <w:rPr>
                      <w:rFonts w:ascii="Microsoft YaHei" w:hAnsi="Microsoft YaHei" w:eastAsia="Microsoft YaHei" w:cs="Microsoft YaHei"/>
                      <w:sz w:val="21"/>
                      <w:szCs w:val="21"/>
                      <w:color w:val="00338D"/>
                      <w:spacing w:val="31"/>
                      <w:position w:val="1"/>
                    </w:rPr>
                    <w:t xml:space="preserve"> </w:t>
                  </w:r>
                  <w:r>
                    <w:rPr>
                      <w:rFonts w:ascii="Trebuchet MS" w:hAnsi="Trebuchet MS" w:eastAsia="Trebuchet MS" w:cs="Trebuchet MS"/>
                      <w:sz w:val="36"/>
                      <w:szCs w:val="36"/>
                      <w:b/>
                      <w:bCs/>
                      <w:color w:val="00338D"/>
                      <w:spacing w:val="-46"/>
                      <w:w w:val="80"/>
                    </w:rPr>
                    <w:t>3,351</w:t>
                  </w:r>
                </w:p>
              </w:txbxContent>
            </v:textbox>
          </v:shape>
        </w:pict>
      </w:r>
      <w:r>
        <w:pict>
          <v:shape id="_x0000_s1462" style="position:absolute;margin-left:167.842pt;margin-top:12.2325pt;mso-position-vertical-relative:text;mso-position-horizontal-relative:text;width:11.8pt;height:38.5pt;z-index:253542400;" filled="false" strokecolor="#7F7F7F" strokeweight="0.50pt" coordsize="236,770" coordorigin="0,0" path="m230,536l4,1m165,767l4,453e">
            <v:stroke joinstyle="miter"/>
          </v:shape>
        </w:pict>
      </w:r>
      <w:r>
        <w:rPr>
          <w:rFonts w:ascii="Microsoft YaHei" w:hAnsi="Microsoft YaHei" w:eastAsia="Microsoft YaHei" w:cs="Microsoft YaHei"/>
          <w:sz w:val="21"/>
          <w:szCs w:val="21"/>
          <w:color w:val="B497FF"/>
          <w:spacing w:val="-2"/>
          <w:position w:val="1"/>
        </w:rPr>
        <w:t>液态金属</w:t>
      </w:r>
      <w:r>
        <w:rPr>
          <w:rFonts w:ascii="Microsoft YaHei" w:hAnsi="Microsoft YaHei" w:eastAsia="Microsoft YaHei" w:cs="Microsoft YaHei"/>
          <w:sz w:val="21"/>
          <w:szCs w:val="21"/>
          <w:color w:val="B497FF"/>
          <w:spacing w:val="23"/>
          <w:position w:val="1"/>
        </w:rPr>
        <w:t xml:space="preserve"> </w:t>
      </w:r>
      <w:r>
        <w:rPr>
          <w:rFonts w:ascii="Trebuchet MS" w:hAnsi="Trebuchet MS" w:eastAsia="Trebuchet MS" w:cs="Trebuchet MS"/>
          <w:sz w:val="36"/>
          <w:szCs w:val="36"/>
          <w:b/>
          <w:bCs/>
          <w:color w:val="B497FF"/>
          <w:spacing w:val="-51"/>
          <w:w w:val="92"/>
        </w:rPr>
        <w:t>182</w:t>
      </w:r>
    </w:p>
    <w:p>
      <w:pPr>
        <w:ind w:left="868"/>
        <w:spacing w:before="164" w:line="181" w:lineRule="auto"/>
        <w:rPr>
          <w:rFonts w:ascii="Trebuchet MS" w:hAnsi="Trebuchet MS" w:eastAsia="Trebuchet MS" w:cs="Trebuchet MS"/>
          <w:sz w:val="36"/>
          <w:szCs w:val="36"/>
        </w:rPr>
      </w:pPr>
      <w:r>
        <w:pict>
          <v:shape id="_x0000_s1464" style="position:absolute;margin-left:113.593pt;margin-top:13.5232pt;mso-position-vertical-relative:text;mso-position-horizontal-relative:text;width:54.45pt;height:0.5pt;z-index:253566976;" filled="false" strokecolor="#7F7F7F" strokeweight="0.50pt" coordsize="1089,10" coordorigin="0,0" path="m0,5l1088,5e">
            <v:stroke joinstyle="miter"/>
          </v:shape>
        </w:pict>
      </w:r>
      <w:r>
        <w:rPr>
          <w:rFonts w:ascii="Microsoft YaHei" w:hAnsi="Microsoft YaHei" w:eastAsia="Microsoft YaHei" w:cs="Microsoft YaHei"/>
          <w:sz w:val="21"/>
          <w:szCs w:val="21"/>
          <w:color w:val="FFA3DA"/>
          <w:spacing w:val="-1"/>
        </w:rPr>
        <w:t>金属离子</w:t>
      </w:r>
      <w:r>
        <w:rPr>
          <w:rFonts w:ascii="Microsoft YaHei" w:hAnsi="Microsoft YaHei" w:eastAsia="Microsoft YaHei" w:cs="Microsoft YaHei"/>
          <w:sz w:val="21"/>
          <w:szCs w:val="21"/>
          <w:color w:val="FFA3DA"/>
          <w:spacing w:val="20"/>
          <w:w w:val="101"/>
        </w:rPr>
        <w:t xml:space="preserve"> </w:t>
      </w:r>
      <w:r>
        <w:rPr>
          <w:rFonts w:ascii="Trebuchet MS" w:hAnsi="Trebuchet MS" w:eastAsia="Trebuchet MS" w:cs="Trebuchet MS"/>
          <w:sz w:val="36"/>
          <w:szCs w:val="36"/>
          <w:b/>
          <w:bCs/>
          <w:color w:val="FFA3DA"/>
          <w:spacing w:val="-31"/>
          <w:w w:val="89"/>
        </w:rPr>
        <w:t>203</w:t>
      </w:r>
    </w:p>
    <w:p>
      <w:pPr>
        <w:ind w:left="871"/>
        <w:spacing w:before="170" w:line="246" w:lineRule="exact"/>
        <w:rPr>
          <w:rFonts w:ascii="Trebuchet MS" w:hAnsi="Trebuchet MS" w:eastAsia="Trebuchet MS" w:cs="Trebuchet MS"/>
          <w:sz w:val="36"/>
          <w:szCs w:val="36"/>
        </w:rPr>
      </w:pPr>
      <w:r>
        <w:pict>
          <v:shape id="_x0000_s1466" style="position:absolute;margin-left:113.593pt;margin-top:16.5713pt;mso-position-vertical-relative:text;mso-position-horizontal-relative:text;width:54.45pt;height:0.5pt;z-index:253565952;" filled="false" strokecolor="#7F7F7F" strokeweight="0.50pt" coordsize="1089,10" coordorigin="0,0" path="m0,5l1088,5e">
            <v:stroke joinstyle="miter"/>
          </v:shape>
        </w:pict>
      </w:r>
      <w:r>
        <w:rPr>
          <w:rFonts w:ascii="Microsoft YaHei" w:hAnsi="Microsoft YaHei" w:eastAsia="Microsoft YaHei" w:cs="Microsoft YaHei"/>
          <w:sz w:val="21"/>
          <w:szCs w:val="21"/>
          <w:color w:val="FD349C"/>
          <w:spacing w:val="-2"/>
          <w:position w:val="-2"/>
        </w:rPr>
        <w:t>液流电池</w:t>
      </w:r>
      <w:r>
        <w:rPr>
          <w:rFonts w:ascii="Microsoft YaHei" w:hAnsi="Microsoft YaHei" w:eastAsia="Microsoft YaHei" w:cs="Microsoft YaHei"/>
          <w:sz w:val="21"/>
          <w:szCs w:val="21"/>
          <w:color w:val="FD349C"/>
          <w:spacing w:val="20"/>
          <w:position w:val="-2"/>
        </w:rPr>
        <w:t xml:space="preserve"> </w:t>
      </w:r>
      <w:r>
        <w:rPr>
          <w:rFonts w:ascii="Trebuchet MS" w:hAnsi="Trebuchet MS" w:eastAsia="Trebuchet MS" w:cs="Trebuchet MS"/>
          <w:sz w:val="36"/>
          <w:szCs w:val="36"/>
          <w:b/>
          <w:bCs/>
          <w:color w:val="FD349C"/>
          <w:spacing w:val="-26"/>
          <w:w w:val="86"/>
          <w:position w:val="-3"/>
        </w:rPr>
        <w:t>307</w:t>
      </w:r>
    </w:p>
    <w:p>
      <w:pPr>
        <w:ind w:left="7755"/>
        <w:spacing w:line="158" w:lineRule="auto"/>
        <w:rPr>
          <w:rFonts w:ascii="Trebuchet MS" w:hAnsi="Trebuchet MS" w:eastAsia="Trebuchet MS" w:cs="Trebuchet MS"/>
          <w:sz w:val="36"/>
          <w:szCs w:val="36"/>
        </w:rPr>
      </w:pPr>
      <w:r>
        <w:pict>
          <v:shape id="_x0000_s1468" style="position:absolute;margin-left:321.673pt;margin-top:8.3339pt;mso-position-vertical-relative:text;mso-position-horizontal-relative:text;width:60.45pt;height:0.5pt;z-index:253562880;" filled="false" strokecolor="#7F7F7F" strokeweight="0.50pt" coordsize="1209,10" coordorigin="0,0" path="m0,5l1208,5e">
            <v:stroke joinstyle="miter"/>
          </v:shape>
        </w:pict>
      </w:r>
      <w:r>
        <w:rPr>
          <w:rFonts w:ascii="Microsoft YaHei" w:hAnsi="Microsoft YaHei" w:eastAsia="Microsoft YaHei" w:cs="Microsoft YaHei"/>
          <w:sz w:val="21"/>
          <w:szCs w:val="21"/>
          <w:color w:val="00B8F5"/>
          <w:spacing w:val="-2"/>
          <w:position w:val="1"/>
        </w:rPr>
        <w:t>储热</w:t>
      </w:r>
      <w:r>
        <w:rPr>
          <w:rFonts w:ascii="Microsoft YaHei" w:hAnsi="Microsoft YaHei" w:eastAsia="Microsoft YaHei" w:cs="Microsoft YaHei"/>
          <w:sz w:val="21"/>
          <w:szCs w:val="21"/>
          <w:color w:val="00B8F5"/>
          <w:spacing w:val="35"/>
          <w:position w:val="1"/>
        </w:rPr>
        <w:t xml:space="preserve"> </w:t>
      </w:r>
      <w:r>
        <w:rPr>
          <w:rFonts w:ascii="Trebuchet MS" w:hAnsi="Trebuchet MS" w:eastAsia="Trebuchet MS" w:cs="Trebuchet MS"/>
          <w:sz w:val="36"/>
          <w:szCs w:val="36"/>
          <w:b/>
          <w:bCs/>
          <w:color w:val="00B8F5"/>
          <w:spacing w:val="-63"/>
          <w:w w:val="97"/>
        </w:rPr>
        <w:t>1,951</w:t>
      </w:r>
    </w:p>
    <w:p>
      <w:pPr>
        <w:ind w:left="868"/>
        <w:spacing w:before="19" w:line="178" w:lineRule="auto"/>
        <w:rPr>
          <w:rFonts w:ascii="Trebuchet MS" w:hAnsi="Trebuchet MS" w:eastAsia="Trebuchet MS" w:cs="Trebuchet MS"/>
          <w:sz w:val="36"/>
          <w:szCs w:val="36"/>
        </w:rPr>
      </w:pPr>
      <w:r>
        <w:pict>
          <v:shape id="_x0000_s1470" style="position:absolute;margin-left:102.793pt;margin-top:7.57187pt;mso-position-vertical-relative:text;mso-position-horizontal-relative:text;width:70.15pt;height:0.5pt;z-index:253557760;" filled="false" strokecolor="#7F7F7F" strokeweight="0.50pt" coordsize="1403,10" coordorigin="0,0" path="m0,5l1402,5e">
            <v:stroke joinstyle="miter"/>
          </v:shape>
        </w:pict>
      </w:r>
      <w:r>
        <w:rPr>
          <w:rFonts w:ascii="Microsoft YaHei" w:hAnsi="Microsoft YaHei" w:eastAsia="Microsoft YaHei" w:cs="Microsoft YaHei"/>
          <w:sz w:val="21"/>
          <w:szCs w:val="21"/>
          <w:color w:val="A8A8A8"/>
          <w:spacing w:val="-2"/>
          <w:position w:val="1"/>
        </w:rPr>
        <w:t>铅电池</w:t>
      </w:r>
      <w:r>
        <w:rPr>
          <w:rFonts w:ascii="Microsoft YaHei" w:hAnsi="Microsoft YaHei" w:eastAsia="Microsoft YaHei" w:cs="Microsoft YaHei"/>
          <w:sz w:val="21"/>
          <w:szCs w:val="21"/>
          <w:color w:val="A8A8A8"/>
          <w:spacing w:val="51"/>
          <w:w w:val="101"/>
          <w:position w:val="1"/>
        </w:rPr>
        <w:t xml:space="preserve"> </w:t>
      </w:r>
      <w:r>
        <w:rPr>
          <w:rFonts w:ascii="Trebuchet MS" w:hAnsi="Trebuchet MS" w:eastAsia="Trebuchet MS" w:cs="Trebuchet MS"/>
          <w:sz w:val="36"/>
          <w:szCs w:val="36"/>
          <w:b/>
          <w:bCs/>
          <w:color w:val="A8A8A8"/>
          <w:spacing w:val="-39"/>
          <w:w w:val="84"/>
        </w:rPr>
        <w:t>712</w:t>
      </w:r>
    </w:p>
    <w:p>
      <w:pPr>
        <w:ind w:left="870"/>
        <w:spacing w:before="196" w:line="234" w:lineRule="exact"/>
        <w:rPr>
          <w:rFonts w:ascii="Trebuchet MS" w:hAnsi="Trebuchet MS" w:eastAsia="Trebuchet MS" w:cs="Trebuchet MS"/>
          <w:sz w:val="36"/>
          <w:szCs w:val="36"/>
        </w:rPr>
      </w:pPr>
      <w:r>
        <w:pict>
          <v:shape id="_x0000_s1472" style="position:absolute;margin-left:113.593pt;margin-top:16.0563pt;mso-position-vertical-relative:text;mso-position-horizontal-relative:text;width:67.6pt;height:0.5pt;z-index:253558784;" filled="false" strokecolor="#7F7F7F" strokeweight="0.50pt" coordsize="1351,10" coordorigin="0,0" path="m0,5l1351,5e">
            <v:stroke joinstyle="miter"/>
          </v:shape>
        </w:pict>
      </w:r>
      <w:r>
        <w:pict>
          <v:shape id="_x0000_s1474" style="position:absolute;margin-left:301.88pt;margin-top:18.2427pt;mso-position-vertical-relative:text;mso-position-horizontal-relative:text;width:20pt;height:10.35pt;z-index:253548544;" filled="false" strokecolor="#7F7F7F" strokeweight="0.50pt" coordsize="400,207" coordorigin="0,0" path="m396,201l2,4e">
            <v:stroke joinstyle="miter"/>
          </v:shape>
        </w:pict>
      </w:r>
      <w:r>
        <w:rPr>
          <w:rFonts w:ascii="Microsoft YaHei" w:hAnsi="Microsoft YaHei" w:eastAsia="Microsoft YaHei" w:cs="Microsoft YaHei"/>
          <w:sz w:val="21"/>
          <w:szCs w:val="21"/>
          <w:color w:val="098E7E"/>
          <w:spacing w:val="-2"/>
          <w:position w:val="-7"/>
        </w:rPr>
        <w:t>水系电池</w:t>
      </w:r>
      <w:r>
        <w:rPr>
          <w:rFonts w:ascii="Microsoft YaHei" w:hAnsi="Microsoft YaHei" w:eastAsia="Microsoft YaHei" w:cs="Microsoft YaHei"/>
          <w:sz w:val="21"/>
          <w:szCs w:val="21"/>
          <w:color w:val="098E7E"/>
          <w:spacing w:val="31"/>
          <w:position w:val="-7"/>
        </w:rPr>
        <w:t xml:space="preserve"> </w:t>
      </w:r>
      <w:r>
        <w:rPr>
          <w:rFonts w:ascii="Trebuchet MS" w:hAnsi="Trebuchet MS" w:eastAsia="Trebuchet MS" w:cs="Trebuchet MS"/>
          <w:sz w:val="36"/>
          <w:szCs w:val="36"/>
          <w:b/>
          <w:bCs/>
          <w:color w:val="098E7E"/>
          <w:spacing w:val="-24"/>
          <w:w w:val="84"/>
          <w:position w:val="-8"/>
        </w:rPr>
        <w:t>729</w:t>
      </w:r>
    </w:p>
    <w:p>
      <w:pPr>
        <w:ind w:left="7756"/>
        <w:spacing w:line="247" w:lineRule="exact"/>
        <w:rPr>
          <w:rFonts w:ascii="Trebuchet MS" w:hAnsi="Trebuchet MS" w:eastAsia="Trebuchet MS" w:cs="Trebuchet MS"/>
          <w:sz w:val="36"/>
          <w:szCs w:val="36"/>
        </w:rPr>
      </w:pPr>
      <w:r>
        <w:pict>
          <v:shape id="_x0000_s1476" style="position:absolute;margin-left:321.673pt;margin-top:6.77812pt;mso-position-vertical-relative:text;mso-position-horizontal-relative:text;width:60.45pt;height:0.5pt;z-index:253563904;" filled="false" strokecolor="#7F7F7F" strokeweight="0.50pt" coordsize="1209,10" coordorigin="0,0" path="m0,5l1208,5e">
            <v:stroke joinstyle="miter"/>
          </v:shape>
        </w:pict>
      </w:r>
      <w:r>
        <w:rPr>
          <w:rFonts w:ascii="Microsoft YaHei" w:hAnsi="Microsoft YaHei" w:eastAsia="Microsoft YaHei" w:cs="Microsoft YaHei"/>
          <w:sz w:val="21"/>
          <w:szCs w:val="21"/>
          <w:color w:val="76D2FF"/>
          <w:spacing w:val="-1"/>
          <w:position w:val="3"/>
        </w:rPr>
        <w:t>超级电容器</w:t>
      </w:r>
      <w:r>
        <w:rPr>
          <w:rFonts w:ascii="Microsoft YaHei" w:hAnsi="Microsoft YaHei" w:eastAsia="Microsoft YaHei" w:cs="Microsoft YaHei"/>
          <w:sz w:val="21"/>
          <w:szCs w:val="21"/>
          <w:color w:val="76D2FF"/>
          <w:spacing w:val="41"/>
          <w:w w:val="101"/>
          <w:position w:val="3"/>
        </w:rPr>
        <w:t xml:space="preserve"> </w:t>
      </w:r>
      <w:r>
        <w:rPr>
          <w:rFonts w:ascii="Trebuchet MS" w:hAnsi="Trebuchet MS" w:eastAsia="Trebuchet MS" w:cs="Trebuchet MS"/>
          <w:sz w:val="36"/>
          <w:szCs w:val="36"/>
          <w:b/>
          <w:bCs/>
          <w:color w:val="76D2FF"/>
          <w:spacing w:val="-35"/>
          <w:w w:val="81"/>
          <w:position w:val="2"/>
        </w:rPr>
        <w:t>1,746</w:t>
      </w:r>
    </w:p>
    <w:p>
      <w:pPr>
        <w:ind w:left="869"/>
        <w:spacing w:line="157" w:lineRule="auto"/>
        <w:rPr>
          <w:rFonts w:ascii="Trebuchet MS" w:hAnsi="Trebuchet MS" w:eastAsia="Trebuchet MS" w:cs="Trebuchet MS"/>
          <w:sz w:val="36"/>
          <w:szCs w:val="36"/>
        </w:rPr>
      </w:pPr>
      <w:r>
        <w:pict>
          <v:shape id="_x0000_s1478" style="position:absolute;margin-left:133.513pt;margin-top:5.73808pt;mso-position-vertical-relative:text;mso-position-horizontal-relative:text;width:78.3pt;height:0.5pt;z-index:253555712;" filled="false" strokecolor="#7F7F7F" strokeweight="0.50pt" coordsize="1566,10" coordorigin="0,0" path="m0,5l1565,5e">
            <v:stroke joinstyle="miter"/>
          </v:shape>
        </w:pict>
      </w:r>
      <w:r>
        <w:rPr>
          <w:rFonts w:ascii="Microsoft YaHei" w:hAnsi="Microsoft YaHei" w:eastAsia="Microsoft YaHei" w:cs="Microsoft YaHei"/>
          <w:sz w:val="21"/>
          <w:szCs w:val="21"/>
          <w:color w:val="00C0AE"/>
          <w:spacing w:val="-1"/>
          <w:position w:val="1"/>
        </w:rPr>
        <w:t>钠离子电池</w:t>
      </w:r>
      <w:r>
        <w:rPr>
          <w:rFonts w:ascii="Microsoft YaHei" w:hAnsi="Microsoft YaHei" w:eastAsia="Microsoft YaHei" w:cs="Microsoft YaHei"/>
          <w:sz w:val="21"/>
          <w:szCs w:val="21"/>
          <w:color w:val="00C0AE"/>
          <w:spacing w:val="36"/>
          <w:position w:val="1"/>
        </w:rPr>
        <w:t xml:space="preserve"> </w:t>
      </w:r>
      <w:r>
        <w:rPr>
          <w:rFonts w:ascii="Trebuchet MS" w:hAnsi="Trebuchet MS" w:eastAsia="Trebuchet MS" w:cs="Trebuchet MS"/>
          <w:sz w:val="36"/>
          <w:szCs w:val="36"/>
          <w:b/>
          <w:bCs/>
          <w:color w:val="00C0AE"/>
          <w:spacing w:val="-66"/>
          <w:w w:val="93"/>
        </w:rPr>
        <w:t>1,114</w:t>
      </w:r>
    </w:p>
    <w:p>
      <w:pPr>
        <w:pStyle w:val="BodyText"/>
        <w:spacing w:line="464" w:lineRule="auto"/>
        <w:rPr/>
      </w:pPr>
      <w:r/>
    </w:p>
    <w:p>
      <w:pPr>
        <w:ind w:left="340"/>
        <w:spacing w:before="65" w:line="187"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4"/>
        </w:rPr>
        <w:t>数据来源： 《2021年中国储能技术研究进展》</w:t>
      </w:r>
      <w:r>
        <w:rPr>
          <w:rFonts w:ascii="Microsoft YaHei" w:hAnsi="Microsoft YaHei" w:eastAsia="Microsoft YaHei" w:cs="Microsoft YaHei"/>
          <w:sz w:val="15"/>
          <w:szCs w:val="15"/>
          <w:spacing w:val="3"/>
        </w:rPr>
        <w:t xml:space="preserve"> </w:t>
      </w:r>
      <w:r>
        <w:rPr>
          <w:rFonts w:ascii="Microsoft YaHei" w:hAnsi="Microsoft YaHei" w:eastAsia="Microsoft YaHei" w:cs="Microsoft YaHei"/>
          <w:sz w:val="15"/>
          <w:szCs w:val="15"/>
          <w:spacing w:val="4"/>
        </w:rPr>
        <w:t>，毕马威分析</w:t>
      </w:r>
    </w:p>
    <w:p>
      <w:pPr>
        <w:ind w:left="341" w:right="2996" w:firstLine="26"/>
        <w:spacing w:before="139" w:line="219"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目前中国在储能领域基础研究的深入推进为储能产业的发展提供理论支持</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w:t>
      </w:r>
      <w:r>
        <w:rPr>
          <w:rFonts w:ascii="Microsoft YaHei" w:hAnsi="Microsoft YaHei" w:eastAsia="Microsoft YaHei" w:cs="Microsoft YaHei"/>
          <w:sz w:val="21"/>
          <w:szCs w:val="21"/>
          <w:spacing w:val="2"/>
        </w:rPr>
        <w:t>叠加国家</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政策支持产学研结合</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，推动理论研究向产业应用转化</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w:t>
      </w:r>
      <w:r>
        <w:rPr>
          <w:rFonts w:ascii="Microsoft YaHei" w:hAnsi="Microsoft YaHei" w:eastAsia="Microsoft YaHei" w:cs="Microsoft YaHei"/>
          <w:sz w:val="21"/>
          <w:szCs w:val="21"/>
          <w:spacing w:val="2"/>
        </w:rPr>
        <w:t>储能产业发展有深厚的基础研</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究支撑，未来发展可期。</w:t>
      </w:r>
    </w:p>
    <w:p>
      <w:pPr>
        <w:ind w:left="837" w:right="1241" w:hanging="411"/>
        <w:spacing w:before="124"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968" w:header="0" w:footer="0" w:gutter="0"/>
        </w:sectPr>
        <w:rPr>
          <w:rFonts w:ascii="Microsoft YaHei" w:hAnsi="Microsoft YaHei" w:eastAsia="Microsoft YaHei" w:cs="Microsoft YaHei"/>
          <w:sz w:val="11"/>
          <w:szCs w:val="11"/>
        </w:rPr>
      </w:pPr>
    </w:p>
    <w:p>
      <w:pPr>
        <w:ind w:left="7674"/>
        <w:spacing w:before="314" w:line="193" w:lineRule="auto"/>
        <w:rPr>
          <w:rFonts w:ascii="Microsoft YaHei" w:hAnsi="Microsoft YaHei" w:eastAsia="Microsoft YaHei" w:cs="Microsoft YaHei"/>
          <w:sz w:val="18"/>
          <w:szCs w:val="18"/>
        </w:rPr>
      </w:pPr>
      <w:r>
        <w:pict>
          <v:rect id="_x0000_s1480" style="position:absolute;margin-left:611.99pt;margin-top:0pt;mso-position-vertical-relative:page;mso-position-horizontal-relative:page;width:0.25pt;height:859pt;z-index:253578240;" o:allowincell="f" fillcolor="#000000" filled="true" stroked="false"/>
        </w:pict>
      </w:r>
      <w:r>
        <w:rPr>
          <w:rFonts w:ascii="Microsoft YaHei" w:hAnsi="Microsoft YaHei" w:eastAsia="Microsoft YaHei" w:cs="Microsoft YaHei"/>
          <w:sz w:val="18"/>
          <w:szCs w:val="18"/>
          <w:color w:val="A8A8A8"/>
          <w:spacing w:val="-1"/>
        </w:rPr>
        <w:t>新型储能助力能源转型</w:t>
      </w:r>
      <w:r>
        <w:rPr>
          <w:rFonts w:ascii="Microsoft YaHei" w:hAnsi="Microsoft YaHei" w:eastAsia="Microsoft YaHei" w:cs="Microsoft YaHei"/>
          <w:sz w:val="18"/>
          <w:szCs w:val="18"/>
          <w:color w:val="A8A8A8"/>
          <w:spacing w:val="25"/>
        </w:rPr>
        <w:t xml:space="preserve">  </w:t>
      </w:r>
      <w:r>
        <w:rPr>
          <w:sz w:val="18"/>
          <w:szCs w:val="18"/>
          <w:position w:val="-4"/>
        </w:rPr>
        <w:drawing>
          <wp:inline distT="0" distB="0" distL="0" distR="0">
            <wp:extent cx="6350" cy="130175"/>
            <wp:effectExtent l="0" t="0" r="0" b="0"/>
            <wp:docPr id="690" name="IM 690"/>
            <wp:cNvGraphicFramePr/>
            <a:graphic>
              <a:graphicData uri="http://schemas.openxmlformats.org/drawingml/2006/picture">
                <pic:pic>
                  <pic:nvPicPr>
                    <pic:cNvPr id="690" name="IM 690"/>
                    <pic:cNvPicPr/>
                  </pic:nvPicPr>
                  <pic:blipFill>
                    <a:blip r:embed="rId327"/>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spacing w:val="17"/>
          <w:w w:val="101"/>
        </w:rPr>
        <w:t xml:space="preserve">  </w:t>
      </w:r>
      <w:r>
        <w:rPr>
          <w:rFonts w:ascii="Microsoft YaHei" w:hAnsi="Microsoft YaHei" w:eastAsia="Microsoft YaHei" w:cs="Microsoft YaHei"/>
          <w:sz w:val="18"/>
          <w:szCs w:val="18"/>
          <w:b/>
          <w:bCs/>
          <w:color w:val="A8A8A8"/>
          <w:spacing w:val="-1"/>
        </w:rPr>
        <w:t>66</w:t>
      </w:r>
    </w:p>
    <w:p>
      <w:pPr>
        <w:pStyle w:val="BodyText"/>
        <w:rPr/>
      </w:pPr>
      <w:r/>
    </w:p>
    <w:p>
      <w:pPr>
        <w:ind w:left="31"/>
        <w:spacing w:before="155" w:line="179" w:lineRule="auto"/>
        <w:outlineLvl w:val="0"/>
        <w:rPr>
          <w:rFonts w:ascii="Microsoft YaHei" w:hAnsi="Microsoft YaHei" w:eastAsia="Microsoft YaHei" w:cs="Microsoft YaHei"/>
          <w:sz w:val="36"/>
          <w:szCs w:val="36"/>
        </w:rPr>
      </w:pPr>
      <w:r>
        <w:rPr>
          <w:rFonts w:ascii="Microsoft YaHei" w:hAnsi="Microsoft YaHei" w:eastAsia="Microsoft YaHei" w:cs="Microsoft YaHei"/>
          <w:sz w:val="36"/>
          <w:szCs w:val="36"/>
          <w:b/>
          <w:bCs/>
          <w:color w:val="00338D"/>
          <w:spacing w:val="-1"/>
        </w:rPr>
        <w:t>储能企业赛道分布</w:t>
      </w:r>
    </w:p>
    <w:p>
      <w:pPr>
        <w:ind w:left="11"/>
        <w:spacing w:before="122"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338D"/>
        </w:rPr>
        <w:t>大型电力央企积极布局储能业务，带动行业发展</w:t>
      </w:r>
    </w:p>
    <w:p>
      <w:pPr>
        <w:ind w:left="22" w:right="2826" w:hanging="14"/>
        <w:spacing w:before="173" w:line="217"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抽水蓄能仍然占据我国储能的主导地位</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，投资主体主要是</w:t>
      </w:r>
      <w:r>
        <w:rPr>
          <w:rFonts w:ascii="Microsoft YaHei" w:hAnsi="Microsoft YaHei" w:eastAsia="Microsoft YaHei" w:cs="Microsoft YaHei"/>
          <w:sz w:val="21"/>
          <w:szCs w:val="21"/>
          <w:spacing w:val="2"/>
        </w:rPr>
        <w:t>国家电网和南方电网</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，两者</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占据90%以上的市场</w:t>
      </w:r>
      <w:r>
        <w:rPr>
          <w:rFonts w:ascii="Microsoft YaHei" w:hAnsi="Microsoft YaHei" w:eastAsia="Microsoft YaHei" w:cs="Microsoft YaHei"/>
          <w:sz w:val="13"/>
          <w:szCs w:val="13"/>
          <w:spacing w:val="-2"/>
          <w:position w:val="6"/>
        </w:rPr>
        <w:t>64</w:t>
      </w:r>
      <w:r>
        <w:rPr>
          <w:rFonts w:ascii="Microsoft YaHei" w:hAnsi="Microsoft YaHei" w:eastAsia="Microsoft YaHei" w:cs="Microsoft YaHei"/>
          <w:sz w:val="21"/>
          <w:szCs w:val="21"/>
          <w:spacing w:val="-2"/>
        </w:rPr>
        <w:t>。截至目前</w:t>
      </w:r>
      <w:r>
        <w:rPr>
          <w:rFonts w:ascii="Microsoft YaHei" w:hAnsi="Microsoft YaHei" w:eastAsia="Microsoft YaHei" w:cs="Microsoft YaHei"/>
          <w:sz w:val="21"/>
          <w:szCs w:val="21"/>
          <w:spacing w:val="-27"/>
        </w:rPr>
        <w:t xml:space="preserve"> </w:t>
      </w:r>
      <w:r>
        <w:rPr>
          <w:rFonts w:ascii="Microsoft YaHei" w:hAnsi="Microsoft YaHei" w:eastAsia="Microsoft YaHei" w:cs="Microsoft YaHei"/>
          <w:sz w:val="21"/>
          <w:szCs w:val="21"/>
          <w:spacing w:val="-2"/>
        </w:rPr>
        <w:t>，五大发电集团、六小发电集团、两大电网</w:t>
      </w:r>
      <w:r>
        <w:rPr>
          <w:rFonts w:ascii="Microsoft YaHei" w:hAnsi="Microsoft YaHei" w:eastAsia="Microsoft YaHei" w:cs="Microsoft YaHei"/>
          <w:sz w:val="21"/>
          <w:szCs w:val="21"/>
          <w:spacing w:val="-3"/>
        </w:rPr>
        <w:t>和中石油、</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中化等央企全部布局储能行业（表</w:t>
      </w:r>
      <w:r>
        <w:rPr>
          <w:rFonts w:ascii="Microsoft YaHei" w:hAnsi="Microsoft YaHei" w:eastAsia="Microsoft YaHei" w:cs="Microsoft YaHei"/>
          <w:sz w:val="21"/>
          <w:szCs w:val="21"/>
          <w:spacing w:val="-11"/>
        </w:rPr>
        <w:t xml:space="preserve"> </w:t>
      </w:r>
      <w:r>
        <w:rPr>
          <w:rFonts w:ascii="Microsoft YaHei" w:hAnsi="Microsoft YaHei" w:eastAsia="Microsoft YaHei" w:cs="Microsoft YaHei"/>
          <w:sz w:val="21"/>
          <w:szCs w:val="21"/>
          <w:spacing w:val="-3"/>
        </w:rPr>
        <w:t>19）。</w:t>
      </w:r>
    </w:p>
    <w:p>
      <w:pPr>
        <w:ind w:left="6"/>
        <w:spacing w:before="155" w:line="19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338D"/>
          <w:spacing w:val="-5"/>
        </w:rPr>
        <w:t>表 19 | 部分国企储能布局</w:t>
      </w:r>
    </w:p>
    <w:p>
      <w:pPr>
        <w:spacing w:line="125" w:lineRule="exact"/>
        <w:rPr/>
      </w:pPr>
      <w:r/>
    </w:p>
    <w:tbl>
      <w:tblPr>
        <w:tblStyle w:val="TableNormal"/>
        <w:tblW w:w="9637" w:type="dxa"/>
        <w:tblInd w:w="1" w:type="dxa"/>
        <w:tblLayout w:type="fixed"/>
        <w:tblBorders>
          <w:top w:val="single" w:color="BFBFBF" w:sz="2" w:space="0"/>
          <w:left w:val="single" w:color="BFBFBF" w:sz="2" w:space="0"/>
          <w:bottom w:val="single" w:color="BFBFBF" w:sz="2" w:space="0"/>
          <w:right w:val="single" w:color="BFBFBF" w:sz="2" w:space="0"/>
          <w:insideH w:val="single" w:color="BFBFBF" w:sz="2" w:space="0"/>
          <w:insideV w:val="single" w:color="BFBFBF" w:sz="2" w:space="0"/>
        </w:tblBorders>
      </w:tblPr>
      <w:tblGrid>
        <w:gridCol w:w="1134"/>
        <w:gridCol w:w="2097"/>
        <w:gridCol w:w="6406"/>
      </w:tblGrid>
      <w:tr>
        <w:trPr>
          <w:trHeight w:val="332" w:hRule="atLeast"/>
        </w:trPr>
        <w:tc>
          <w:tcPr>
            <w:shd w:val="clear" w:fill="00338D"/>
            <w:tcW w:w="1134" w:type="dxa"/>
            <w:vAlign w:val="top"/>
            <w:tcBorders>
              <w:left w:val="nil"/>
              <w:bottom w:val="nil"/>
              <w:top w:val="nil"/>
              <w:right w:val="single" w:color="FFFFFF" w:sz="8" w:space="0"/>
            </w:tcBorders>
          </w:tcPr>
          <w:p>
            <w:pPr>
              <w:pStyle w:val="TableText"/>
              <w:ind w:left="150"/>
              <w:spacing w:before="56" w:line="177" w:lineRule="auto"/>
              <w:rPr>
                <w:sz w:val="21"/>
                <w:szCs w:val="21"/>
              </w:rPr>
            </w:pPr>
            <w:r>
              <w:rPr>
                <w:sz w:val="21"/>
                <w:szCs w:val="21"/>
                <w:b/>
                <w:bCs/>
                <w:color w:val="FFFFFF"/>
              </w:rPr>
              <w:t>企业类型</w:t>
            </w:r>
          </w:p>
        </w:tc>
        <w:tc>
          <w:tcPr>
            <w:shd w:val="clear" w:fill="00338D"/>
            <w:tcW w:w="2097" w:type="dxa"/>
            <w:vAlign w:val="top"/>
            <w:tcBorders>
              <w:bottom w:val="nil"/>
              <w:top w:val="nil"/>
              <w:left w:val="single" w:color="FFFFFF" w:sz="8" w:space="0"/>
              <w:right w:val="single" w:color="FFFFFF" w:sz="8" w:space="0"/>
            </w:tcBorders>
          </w:tcPr>
          <w:p>
            <w:pPr>
              <w:pStyle w:val="TableText"/>
              <w:ind w:left="619"/>
              <w:spacing w:before="56" w:line="177" w:lineRule="auto"/>
              <w:rPr>
                <w:sz w:val="21"/>
                <w:szCs w:val="21"/>
              </w:rPr>
            </w:pPr>
            <w:r>
              <w:rPr>
                <w:sz w:val="21"/>
                <w:szCs w:val="21"/>
                <w:b/>
                <w:bCs/>
                <w:color w:val="FFFFFF"/>
              </w:rPr>
              <w:t>企业名称</w:t>
            </w:r>
          </w:p>
        </w:tc>
        <w:tc>
          <w:tcPr>
            <w:shd w:val="clear" w:fill="00338D"/>
            <w:tcW w:w="6406" w:type="dxa"/>
            <w:vAlign w:val="top"/>
            <w:tcBorders>
              <w:bottom w:val="nil"/>
              <w:right w:val="nil"/>
              <w:top w:val="nil"/>
              <w:left w:val="single" w:color="FFFFFF" w:sz="8" w:space="0"/>
            </w:tcBorders>
          </w:tcPr>
          <w:p>
            <w:pPr>
              <w:pStyle w:val="TableText"/>
              <w:ind w:left="2774"/>
              <w:spacing w:before="57" w:line="176" w:lineRule="auto"/>
              <w:rPr>
                <w:sz w:val="21"/>
                <w:szCs w:val="21"/>
              </w:rPr>
            </w:pPr>
            <w:r>
              <w:rPr>
                <w:sz w:val="21"/>
                <w:szCs w:val="21"/>
                <w:b/>
                <w:bCs/>
                <w:color w:val="FFFFFF"/>
              </w:rPr>
              <w:t>储能布局</w:t>
            </w:r>
          </w:p>
        </w:tc>
      </w:tr>
      <w:tr>
        <w:trPr>
          <w:trHeight w:val="505" w:hRule="atLeast"/>
        </w:trPr>
        <w:tc>
          <w:tcPr>
            <w:tcW w:w="1134" w:type="dxa"/>
            <w:vAlign w:val="top"/>
            <w:vMerge w:val="restart"/>
            <w:tcBorders>
              <w:left w:val="nil"/>
              <w:bottom w:val="nil"/>
              <w:top w:val="nil"/>
            </w:tcBorders>
          </w:tcPr>
          <w:p>
            <w:pPr>
              <w:spacing w:line="313" w:lineRule="auto"/>
              <w:rPr>
                <w:rFonts w:ascii="Arial"/>
                <w:sz w:val="21"/>
              </w:rPr>
            </w:pPr>
            <w:r/>
          </w:p>
          <w:p>
            <w:pPr>
              <w:spacing w:line="313" w:lineRule="auto"/>
              <w:rPr>
                <w:rFonts w:ascii="Arial"/>
                <w:sz w:val="21"/>
              </w:rPr>
            </w:pPr>
            <w:r/>
          </w:p>
          <w:p>
            <w:pPr>
              <w:spacing w:line="313" w:lineRule="auto"/>
              <w:rPr>
                <w:rFonts w:ascii="Arial"/>
                <w:sz w:val="21"/>
              </w:rPr>
            </w:pPr>
            <w:r/>
          </w:p>
          <w:p>
            <w:pPr>
              <w:pStyle w:val="TableText"/>
              <w:ind w:left="358" w:right="136" w:hanging="210"/>
              <w:spacing w:before="90" w:line="180" w:lineRule="auto"/>
              <w:rPr>
                <w:sz w:val="21"/>
                <w:szCs w:val="21"/>
              </w:rPr>
            </w:pPr>
            <w:r>
              <w:rPr>
                <w:sz w:val="21"/>
                <w:szCs w:val="21"/>
                <w:b/>
                <w:bCs/>
                <w:color w:val="00338D"/>
                <w:spacing w:val="1"/>
              </w:rPr>
              <w:t>五大发电 </w:t>
            </w:r>
            <w:r>
              <w:rPr>
                <w:sz w:val="21"/>
                <w:szCs w:val="21"/>
                <w:b/>
                <w:bCs/>
                <w:color w:val="00338D"/>
              </w:rPr>
              <w:t>集团</w:t>
            </w:r>
          </w:p>
        </w:tc>
        <w:tc>
          <w:tcPr>
            <w:tcW w:w="2097" w:type="dxa"/>
            <w:vAlign w:val="top"/>
            <w:tcBorders>
              <w:top w:val="nil"/>
            </w:tcBorders>
          </w:tcPr>
          <w:p>
            <w:pPr>
              <w:pStyle w:val="TableText"/>
              <w:ind w:left="336"/>
              <w:spacing w:before="161" w:line="177" w:lineRule="auto"/>
              <w:rPr>
                <w:sz w:val="18"/>
                <w:szCs w:val="18"/>
              </w:rPr>
            </w:pPr>
            <w:r>
              <w:rPr>
                <w:sz w:val="18"/>
                <w:szCs w:val="18"/>
              </w:rPr>
              <w:t>国家能源投资集团</w:t>
            </w:r>
          </w:p>
        </w:tc>
        <w:tc>
          <w:tcPr>
            <w:tcW w:w="6406" w:type="dxa"/>
            <w:vAlign w:val="top"/>
            <w:tcBorders>
              <w:right w:val="nil"/>
              <w:top w:val="nil"/>
            </w:tcBorders>
          </w:tcPr>
          <w:p>
            <w:pPr>
              <w:pStyle w:val="TableText"/>
              <w:ind w:left="87" w:right="184" w:firstLine="16"/>
              <w:spacing w:before="44" w:line="175" w:lineRule="auto"/>
              <w:rPr>
                <w:sz w:val="18"/>
                <w:szCs w:val="18"/>
              </w:rPr>
            </w:pPr>
            <w:r>
              <w:rPr>
                <w:sz w:val="18"/>
                <w:szCs w:val="18"/>
              </w:rPr>
              <w:t>“十四五”期间，国家能源集团将加快“风光火储氢一体化”发</w:t>
            </w:r>
            <w:r>
              <w:rPr>
                <w:sz w:val="18"/>
                <w:szCs w:val="18"/>
                <w:spacing w:val="-1"/>
              </w:rPr>
              <w:t>展，建设若干</w:t>
            </w:r>
            <w:r>
              <w:rPr>
                <w:sz w:val="18"/>
                <w:szCs w:val="18"/>
              </w:rPr>
              <w:t xml:space="preserve"> </w:t>
            </w:r>
            <w:r>
              <w:rPr>
                <w:sz w:val="18"/>
                <w:szCs w:val="18"/>
              </w:rPr>
              <w:t>个千万千瓦级综合能源基地。</w:t>
            </w:r>
          </w:p>
        </w:tc>
      </w:tr>
      <w:tr>
        <w:trPr>
          <w:trHeight w:val="327" w:hRule="atLeast"/>
        </w:trPr>
        <w:tc>
          <w:tcPr>
            <w:tcW w:w="1134" w:type="dxa"/>
            <w:vAlign w:val="top"/>
            <w:vMerge w:val="continue"/>
            <w:tcBorders>
              <w:left w:val="nil"/>
              <w:bottom w:val="nil"/>
              <w:top w:val="nil"/>
            </w:tcBorders>
          </w:tcPr>
          <w:p>
            <w:pPr>
              <w:rPr>
                <w:rFonts w:ascii="Arial"/>
                <w:sz w:val="21"/>
              </w:rPr>
            </w:pPr>
            <w:r/>
          </w:p>
        </w:tc>
        <w:tc>
          <w:tcPr>
            <w:tcW w:w="2097" w:type="dxa"/>
            <w:vAlign w:val="top"/>
          </w:tcPr>
          <w:p>
            <w:pPr>
              <w:pStyle w:val="TableText"/>
              <w:ind w:left="515"/>
              <w:spacing w:before="71" w:line="177" w:lineRule="auto"/>
              <w:rPr>
                <w:sz w:val="18"/>
                <w:szCs w:val="18"/>
              </w:rPr>
            </w:pPr>
            <w:r>
              <w:rPr>
                <w:sz w:val="18"/>
                <w:szCs w:val="18"/>
                <w:spacing w:val="-1"/>
              </w:rPr>
              <w:t>中国华能集团</w:t>
            </w:r>
          </w:p>
        </w:tc>
        <w:tc>
          <w:tcPr>
            <w:tcW w:w="6406" w:type="dxa"/>
            <w:vAlign w:val="top"/>
            <w:tcBorders>
              <w:right w:val="nil"/>
            </w:tcBorders>
          </w:tcPr>
          <w:p>
            <w:pPr>
              <w:pStyle w:val="TableText"/>
              <w:ind w:left="87"/>
              <w:spacing w:before="71" w:line="180" w:lineRule="auto"/>
              <w:rPr>
                <w:sz w:val="18"/>
                <w:szCs w:val="18"/>
              </w:rPr>
            </w:pPr>
            <w:r>
              <w:rPr>
                <w:sz w:val="18"/>
                <w:szCs w:val="18"/>
              </w:rPr>
              <w:t>加快多区域风光储一体化基地建设，积极开展储能等</w:t>
            </w:r>
            <w:r>
              <w:rPr>
                <w:sz w:val="18"/>
                <w:szCs w:val="18"/>
                <w:spacing w:val="-1"/>
              </w:rPr>
              <w:t>项目工作。</w:t>
            </w:r>
          </w:p>
        </w:tc>
      </w:tr>
      <w:tr>
        <w:trPr>
          <w:trHeight w:val="673" w:hRule="atLeast"/>
        </w:trPr>
        <w:tc>
          <w:tcPr>
            <w:tcW w:w="1134" w:type="dxa"/>
            <w:vAlign w:val="top"/>
            <w:vMerge w:val="continue"/>
            <w:tcBorders>
              <w:left w:val="nil"/>
              <w:bottom w:val="nil"/>
              <w:top w:val="nil"/>
            </w:tcBorders>
          </w:tcPr>
          <w:p>
            <w:pPr>
              <w:rPr>
                <w:rFonts w:ascii="Arial"/>
                <w:sz w:val="21"/>
              </w:rPr>
            </w:pPr>
            <w:r/>
          </w:p>
        </w:tc>
        <w:tc>
          <w:tcPr>
            <w:tcW w:w="2097" w:type="dxa"/>
            <w:vAlign w:val="top"/>
          </w:tcPr>
          <w:p>
            <w:pPr>
              <w:pStyle w:val="TableText"/>
              <w:ind w:left="515"/>
              <w:spacing w:before="246" w:line="177" w:lineRule="auto"/>
              <w:rPr>
                <w:sz w:val="18"/>
                <w:szCs w:val="18"/>
              </w:rPr>
            </w:pPr>
            <w:r>
              <w:rPr>
                <w:sz w:val="18"/>
                <w:szCs w:val="18"/>
                <w:spacing w:val="-1"/>
              </w:rPr>
              <w:t>中国华电集团</w:t>
            </w:r>
          </w:p>
        </w:tc>
        <w:tc>
          <w:tcPr>
            <w:tcW w:w="6406" w:type="dxa"/>
            <w:vAlign w:val="top"/>
            <w:tcBorders>
              <w:right w:val="nil"/>
            </w:tcBorders>
          </w:tcPr>
          <w:p>
            <w:pPr>
              <w:pStyle w:val="TableText"/>
              <w:ind w:left="97" w:right="194" w:hanging="11"/>
              <w:spacing w:before="131" w:line="178" w:lineRule="auto"/>
              <w:rPr>
                <w:sz w:val="18"/>
                <w:szCs w:val="18"/>
              </w:rPr>
            </w:pPr>
            <w:r>
              <w:rPr>
                <w:sz w:val="18"/>
                <w:szCs w:val="18"/>
              </w:rPr>
              <w:t>积极谋划和稳妥拓展储能、氢能等新兴业务发展，将在六大领域展开布局，其</w:t>
            </w:r>
            <w:r>
              <w:rPr>
                <w:sz w:val="18"/>
                <w:szCs w:val="18"/>
                <w:spacing w:val="1"/>
              </w:rPr>
              <w:t xml:space="preserve"> </w:t>
            </w:r>
            <w:r>
              <w:rPr>
                <w:sz w:val="18"/>
                <w:szCs w:val="18"/>
              </w:rPr>
              <w:t>中包括建设水风光储互补的国家级清洁能源示范区。</w:t>
            </w:r>
          </w:p>
        </w:tc>
      </w:tr>
      <w:tr>
        <w:trPr>
          <w:trHeight w:val="345" w:hRule="atLeast"/>
        </w:trPr>
        <w:tc>
          <w:tcPr>
            <w:tcW w:w="1134" w:type="dxa"/>
            <w:vAlign w:val="top"/>
            <w:vMerge w:val="continue"/>
            <w:tcBorders>
              <w:left w:val="nil"/>
              <w:bottom w:val="nil"/>
              <w:top w:val="nil"/>
            </w:tcBorders>
          </w:tcPr>
          <w:p>
            <w:pPr>
              <w:rPr>
                <w:rFonts w:ascii="Arial"/>
                <w:sz w:val="21"/>
              </w:rPr>
            </w:pPr>
            <w:r/>
          </w:p>
        </w:tc>
        <w:tc>
          <w:tcPr>
            <w:tcW w:w="2097" w:type="dxa"/>
            <w:vAlign w:val="top"/>
          </w:tcPr>
          <w:p>
            <w:pPr>
              <w:pStyle w:val="TableText"/>
              <w:ind w:left="515"/>
              <w:spacing w:before="82" w:line="179" w:lineRule="auto"/>
              <w:rPr>
                <w:sz w:val="18"/>
                <w:szCs w:val="18"/>
              </w:rPr>
            </w:pPr>
            <w:r>
              <w:rPr>
                <w:sz w:val="18"/>
                <w:szCs w:val="18"/>
                <w:spacing w:val="-1"/>
              </w:rPr>
              <w:t>中国大唐集团</w:t>
            </w:r>
          </w:p>
        </w:tc>
        <w:tc>
          <w:tcPr>
            <w:tcW w:w="6406" w:type="dxa"/>
            <w:vAlign w:val="top"/>
            <w:tcBorders>
              <w:right w:val="nil"/>
            </w:tcBorders>
          </w:tcPr>
          <w:p>
            <w:pPr>
              <w:pStyle w:val="TableText"/>
              <w:ind w:left="95"/>
              <w:spacing w:before="82" w:line="182" w:lineRule="auto"/>
              <w:rPr>
                <w:sz w:val="18"/>
                <w:szCs w:val="18"/>
              </w:rPr>
            </w:pPr>
            <w:r>
              <w:rPr>
                <w:sz w:val="18"/>
                <w:szCs w:val="18"/>
              </w:rPr>
              <w:t>围绕“补链、增链、强链”，打造新能源及储能全</w:t>
            </w:r>
            <w:r>
              <w:rPr>
                <w:sz w:val="18"/>
                <w:szCs w:val="18"/>
                <w:spacing w:val="-1"/>
              </w:rPr>
              <w:t>产业链协同发展的新优势。</w:t>
            </w:r>
          </w:p>
        </w:tc>
      </w:tr>
      <w:tr>
        <w:trPr>
          <w:trHeight w:val="673" w:hRule="atLeast"/>
        </w:trPr>
        <w:tc>
          <w:tcPr>
            <w:tcW w:w="1134" w:type="dxa"/>
            <w:vAlign w:val="top"/>
            <w:vMerge w:val="continue"/>
            <w:tcBorders>
              <w:left w:val="nil"/>
              <w:bottom w:val="nil"/>
              <w:top w:val="nil"/>
            </w:tcBorders>
          </w:tcPr>
          <w:p>
            <w:pPr>
              <w:rPr>
                <w:rFonts w:ascii="Arial"/>
                <w:sz w:val="21"/>
              </w:rPr>
            </w:pPr>
            <w:r/>
          </w:p>
        </w:tc>
        <w:tc>
          <w:tcPr>
            <w:tcW w:w="2097" w:type="dxa"/>
            <w:vAlign w:val="top"/>
            <w:tcBorders>
              <w:bottom w:val="nil"/>
            </w:tcBorders>
          </w:tcPr>
          <w:p>
            <w:pPr>
              <w:pStyle w:val="TableText"/>
              <w:ind w:left="336"/>
              <w:spacing w:before="248" w:line="178" w:lineRule="auto"/>
              <w:rPr>
                <w:sz w:val="18"/>
                <w:szCs w:val="18"/>
              </w:rPr>
            </w:pPr>
            <w:r>
              <w:rPr>
                <w:sz w:val="18"/>
                <w:szCs w:val="18"/>
              </w:rPr>
              <w:t>国家电力投资集团</w:t>
            </w:r>
          </w:p>
        </w:tc>
        <w:tc>
          <w:tcPr>
            <w:tcW w:w="6406" w:type="dxa"/>
            <w:vAlign w:val="top"/>
            <w:tcBorders>
              <w:bottom w:val="nil"/>
              <w:right w:val="nil"/>
            </w:tcBorders>
          </w:tcPr>
          <w:p>
            <w:pPr>
              <w:pStyle w:val="TableText"/>
              <w:ind w:left="87" w:right="148" w:firstLine="2"/>
              <w:spacing w:before="134" w:line="178" w:lineRule="auto"/>
              <w:rPr>
                <w:sz w:val="18"/>
                <w:szCs w:val="18"/>
              </w:rPr>
            </w:pPr>
            <w:r>
              <w:rPr>
                <w:sz w:val="18"/>
                <w:szCs w:val="18"/>
                <w:spacing w:val="-1"/>
              </w:rPr>
              <w:t>立足低碳，2025年成为中国储能引领者。清洁能源装机占比已经达到53%，持</w:t>
            </w:r>
            <w:r>
              <w:rPr>
                <w:sz w:val="18"/>
                <w:szCs w:val="18"/>
                <w:spacing w:val="6"/>
              </w:rPr>
              <w:t xml:space="preserve"> </w:t>
            </w:r>
            <w:r>
              <w:rPr>
                <w:sz w:val="18"/>
                <w:szCs w:val="18"/>
              </w:rPr>
              <w:t>续抓好氢能、储能、换电重卡等“三新”产业的创</w:t>
            </w:r>
            <w:r>
              <w:rPr>
                <w:sz w:val="18"/>
                <w:szCs w:val="18"/>
                <w:spacing w:val="-1"/>
              </w:rPr>
              <w:t>新引领。</w:t>
            </w:r>
          </w:p>
        </w:tc>
      </w:tr>
      <w:tr>
        <w:trPr>
          <w:trHeight w:val="332" w:hRule="atLeast"/>
        </w:trPr>
        <w:tc>
          <w:tcPr>
            <w:shd w:val="clear" w:fill="F1F1F1"/>
            <w:tcW w:w="1134" w:type="dxa"/>
            <w:vAlign w:val="top"/>
            <w:vMerge w:val="restart"/>
            <w:tcBorders>
              <w:left w:val="nil"/>
              <w:bottom w:val="nil"/>
              <w:top w:val="nil"/>
            </w:tcBorders>
          </w:tcPr>
          <w:p>
            <w:pPr>
              <w:spacing w:line="285" w:lineRule="auto"/>
              <w:rPr>
                <w:rFonts w:ascii="Arial"/>
                <w:sz w:val="21"/>
              </w:rPr>
            </w:pPr>
            <w:r/>
          </w:p>
          <w:p>
            <w:pPr>
              <w:spacing w:line="286" w:lineRule="auto"/>
              <w:rPr>
                <w:rFonts w:ascii="Arial"/>
                <w:sz w:val="21"/>
              </w:rPr>
            </w:pPr>
            <w:r/>
          </w:p>
          <w:p>
            <w:pPr>
              <w:spacing w:line="286" w:lineRule="auto"/>
              <w:rPr>
                <w:rFonts w:ascii="Arial"/>
                <w:sz w:val="21"/>
              </w:rPr>
            </w:pPr>
            <w:r/>
          </w:p>
          <w:p>
            <w:pPr>
              <w:pStyle w:val="TableText"/>
              <w:ind w:left="329" w:right="136" w:hanging="184"/>
              <w:spacing w:before="90" w:line="180" w:lineRule="auto"/>
              <w:rPr>
                <w:sz w:val="21"/>
                <w:szCs w:val="21"/>
              </w:rPr>
            </w:pPr>
            <w:r>
              <w:rPr>
                <w:sz w:val="21"/>
                <w:szCs w:val="21"/>
                <w:b/>
                <w:bCs/>
                <w:color w:val="00338D"/>
                <w:spacing w:val="2"/>
              </w:rPr>
              <w:t>六小发电</w:t>
            </w:r>
            <w:r>
              <w:rPr>
                <w:sz w:val="21"/>
                <w:szCs w:val="21"/>
                <w:b/>
                <w:bCs/>
                <w:color w:val="00338D"/>
              </w:rPr>
              <w:t xml:space="preserve"> </w:t>
            </w:r>
            <w:r>
              <w:rPr>
                <w:sz w:val="21"/>
                <w:szCs w:val="21"/>
                <w:b/>
                <w:bCs/>
                <w:color w:val="00338D"/>
              </w:rPr>
              <w:t>集团</w:t>
            </w:r>
          </w:p>
        </w:tc>
        <w:tc>
          <w:tcPr>
            <w:shd w:val="clear" w:fill="F1F1F1"/>
            <w:tcW w:w="2097" w:type="dxa"/>
            <w:vAlign w:val="top"/>
            <w:tcBorders>
              <w:top w:val="nil"/>
            </w:tcBorders>
          </w:tcPr>
          <w:p>
            <w:pPr>
              <w:pStyle w:val="TableText"/>
              <w:ind w:left="696"/>
              <w:spacing w:before="82" w:line="178" w:lineRule="auto"/>
              <w:rPr>
                <w:sz w:val="18"/>
                <w:szCs w:val="18"/>
              </w:rPr>
            </w:pPr>
            <w:r>
              <w:rPr>
                <w:sz w:val="18"/>
                <w:szCs w:val="18"/>
                <w:spacing w:val="-2"/>
              </w:rPr>
              <w:t>国投电力</w:t>
            </w:r>
          </w:p>
        </w:tc>
        <w:tc>
          <w:tcPr>
            <w:shd w:val="clear" w:fill="F1F1F1"/>
            <w:tcW w:w="6406" w:type="dxa"/>
            <w:vAlign w:val="top"/>
            <w:tcBorders>
              <w:right w:val="nil"/>
              <w:top w:val="nil"/>
            </w:tcBorders>
          </w:tcPr>
          <w:p>
            <w:pPr>
              <w:pStyle w:val="TableText"/>
              <w:ind w:left="87"/>
              <w:spacing w:before="82" w:line="181" w:lineRule="auto"/>
              <w:rPr>
                <w:sz w:val="18"/>
                <w:szCs w:val="18"/>
              </w:rPr>
            </w:pPr>
            <w:r>
              <w:rPr>
                <w:sz w:val="18"/>
                <w:szCs w:val="18"/>
                <w:spacing w:val="-1"/>
              </w:rPr>
              <w:t>规划2025年“碳达峰”，把储能产业作为战略发展方向之一。</w:t>
            </w:r>
          </w:p>
        </w:tc>
      </w:tr>
      <w:tr>
        <w:trPr>
          <w:trHeight w:val="351" w:hRule="atLeast"/>
        </w:trPr>
        <w:tc>
          <w:tcPr>
            <w:tcW w:w="1134" w:type="dxa"/>
            <w:vAlign w:val="top"/>
            <w:vMerge w:val="continue"/>
            <w:tcBorders>
              <w:left w:val="nil"/>
              <w:bottom w:val="nil"/>
              <w:top w:val="nil"/>
            </w:tcBorders>
          </w:tcPr>
          <w:p>
            <w:pPr>
              <w:rPr>
                <w:rFonts w:ascii="Arial"/>
                <w:sz w:val="21"/>
              </w:rPr>
            </w:pPr>
            <w:r/>
          </w:p>
        </w:tc>
        <w:tc>
          <w:tcPr>
            <w:shd w:val="clear" w:fill="F1F1F1"/>
            <w:tcW w:w="2097" w:type="dxa"/>
            <w:vAlign w:val="top"/>
          </w:tcPr>
          <w:p>
            <w:pPr>
              <w:pStyle w:val="TableText"/>
              <w:ind w:left="789"/>
              <w:spacing w:before="91" w:line="178" w:lineRule="auto"/>
              <w:rPr>
                <w:sz w:val="18"/>
                <w:szCs w:val="18"/>
              </w:rPr>
            </w:pPr>
            <w:r>
              <w:rPr>
                <w:sz w:val="18"/>
                <w:szCs w:val="18"/>
                <w:spacing w:val="-3"/>
              </w:rPr>
              <w:t>中广核</w:t>
            </w:r>
          </w:p>
        </w:tc>
        <w:tc>
          <w:tcPr>
            <w:shd w:val="clear" w:fill="F1F1F1"/>
            <w:tcW w:w="6406" w:type="dxa"/>
            <w:vAlign w:val="top"/>
            <w:tcBorders>
              <w:right w:val="nil"/>
            </w:tcBorders>
          </w:tcPr>
          <w:p>
            <w:pPr>
              <w:pStyle w:val="TableText"/>
              <w:ind w:left="103"/>
              <w:spacing w:before="90" w:line="178" w:lineRule="auto"/>
              <w:rPr>
                <w:sz w:val="18"/>
                <w:szCs w:val="18"/>
              </w:rPr>
            </w:pPr>
            <w:r>
              <w:rPr>
                <w:sz w:val="18"/>
                <w:szCs w:val="18"/>
                <w:spacing w:val="-2"/>
              </w:rPr>
              <w:t>“十四五”期间维持新增投运容量每年300万kW以上的速度发展。</w:t>
            </w:r>
          </w:p>
        </w:tc>
      </w:tr>
      <w:tr>
        <w:trPr>
          <w:trHeight w:val="327" w:hRule="atLeast"/>
        </w:trPr>
        <w:tc>
          <w:tcPr>
            <w:tcW w:w="1134" w:type="dxa"/>
            <w:vAlign w:val="top"/>
            <w:vMerge w:val="continue"/>
            <w:tcBorders>
              <w:left w:val="nil"/>
              <w:bottom w:val="nil"/>
              <w:top w:val="nil"/>
            </w:tcBorders>
          </w:tcPr>
          <w:p>
            <w:pPr>
              <w:rPr>
                <w:rFonts w:ascii="Arial"/>
                <w:sz w:val="21"/>
              </w:rPr>
            </w:pPr>
            <w:r/>
          </w:p>
        </w:tc>
        <w:tc>
          <w:tcPr>
            <w:shd w:val="clear" w:fill="F1F1F1"/>
            <w:tcW w:w="2097" w:type="dxa"/>
            <w:vAlign w:val="top"/>
          </w:tcPr>
          <w:p>
            <w:pPr>
              <w:pStyle w:val="TableText"/>
              <w:ind w:left="692"/>
              <w:spacing w:before="80" w:line="178" w:lineRule="auto"/>
              <w:rPr>
                <w:sz w:val="18"/>
                <w:szCs w:val="18"/>
              </w:rPr>
            </w:pPr>
            <w:r>
              <w:rPr>
                <w:sz w:val="18"/>
                <w:szCs w:val="18"/>
                <w:spacing w:val="-1"/>
              </w:rPr>
              <w:t>三峡集团</w:t>
            </w:r>
          </w:p>
        </w:tc>
        <w:tc>
          <w:tcPr>
            <w:shd w:val="clear" w:fill="F1F1F1"/>
            <w:tcW w:w="6406" w:type="dxa"/>
            <w:vAlign w:val="top"/>
            <w:tcBorders>
              <w:right w:val="nil"/>
            </w:tcBorders>
          </w:tcPr>
          <w:p>
            <w:pPr>
              <w:pStyle w:val="TableText"/>
              <w:ind w:left="87"/>
              <w:spacing w:before="79" w:line="177" w:lineRule="auto"/>
              <w:rPr>
                <w:sz w:val="18"/>
                <w:szCs w:val="18"/>
              </w:rPr>
            </w:pPr>
            <w:r>
              <w:rPr>
                <w:sz w:val="18"/>
                <w:szCs w:val="18"/>
                <w:spacing w:val="-2"/>
              </w:rPr>
              <w:t>2030年储能项目和其他新能源项目总装机</w:t>
            </w:r>
            <w:r>
              <w:rPr>
                <w:sz w:val="18"/>
                <w:szCs w:val="18"/>
                <w:spacing w:val="-3"/>
              </w:rPr>
              <w:t>规模达到10GW的目标。</w:t>
            </w:r>
          </w:p>
        </w:tc>
      </w:tr>
      <w:tr>
        <w:trPr>
          <w:trHeight w:val="500" w:hRule="atLeast"/>
        </w:trPr>
        <w:tc>
          <w:tcPr>
            <w:tcW w:w="1134" w:type="dxa"/>
            <w:vAlign w:val="top"/>
            <w:vMerge w:val="continue"/>
            <w:tcBorders>
              <w:left w:val="nil"/>
              <w:bottom w:val="nil"/>
              <w:top w:val="nil"/>
            </w:tcBorders>
          </w:tcPr>
          <w:p>
            <w:pPr>
              <w:rPr>
                <w:rFonts w:ascii="Arial"/>
                <w:sz w:val="21"/>
              </w:rPr>
            </w:pPr>
            <w:r/>
          </w:p>
        </w:tc>
        <w:tc>
          <w:tcPr>
            <w:shd w:val="clear" w:fill="F1F1F1"/>
            <w:tcW w:w="2097" w:type="dxa"/>
            <w:vAlign w:val="top"/>
          </w:tcPr>
          <w:p>
            <w:pPr>
              <w:pStyle w:val="TableText"/>
              <w:ind w:left="689"/>
              <w:spacing w:before="168" w:line="178" w:lineRule="auto"/>
              <w:rPr>
                <w:sz w:val="18"/>
                <w:szCs w:val="18"/>
              </w:rPr>
            </w:pPr>
            <w:r>
              <w:rPr>
                <w:sz w:val="18"/>
                <w:szCs w:val="18"/>
              </w:rPr>
              <w:t>华润电力</w:t>
            </w:r>
          </w:p>
        </w:tc>
        <w:tc>
          <w:tcPr>
            <w:shd w:val="clear" w:fill="F1F1F1"/>
            <w:tcW w:w="6406" w:type="dxa"/>
            <w:vAlign w:val="top"/>
            <w:tcBorders>
              <w:right w:val="nil"/>
            </w:tcBorders>
          </w:tcPr>
          <w:p>
            <w:pPr>
              <w:pStyle w:val="TableText"/>
              <w:ind w:left="85" w:right="423" w:firstLine="18"/>
              <w:spacing w:before="52" w:line="170" w:lineRule="auto"/>
              <w:rPr>
                <w:sz w:val="18"/>
                <w:szCs w:val="18"/>
              </w:rPr>
            </w:pPr>
            <w:r>
              <w:rPr>
                <w:sz w:val="18"/>
                <w:szCs w:val="18"/>
                <w:spacing w:val="-2"/>
              </w:rPr>
              <w:t>“十四五”期间新增40GW可再生能源装机，期末可再生能源装机占比超过</w:t>
            </w:r>
            <w:r>
              <w:rPr>
                <w:sz w:val="18"/>
                <w:szCs w:val="18"/>
                <w:spacing w:val="14"/>
                <w:w w:val="101"/>
              </w:rPr>
              <w:t xml:space="preserve"> </w:t>
            </w:r>
            <w:r>
              <w:rPr>
                <w:sz w:val="18"/>
                <w:szCs w:val="18"/>
                <w:spacing w:val="-2"/>
              </w:rPr>
              <w:t>50%。</w:t>
            </w:r>
          </w:p>
        </w:tc>
      </w:tr>
      <w:tr>
        <w:trPr>
          <w:trHeight w:val="327" w:hRule="atLeast"/>
        </w:trPr>
        <w:tc>
          <w:tcPr>
            <w:tcW w:w="1134" w:type="dxa"/>
            <w:vAlign w:val="top"/>
            <w:vMerge w:val="continue"/>
            <w:tcBorders>
              <w:left w:val="nil"/>
              <w:bottom w:val="nil"/>
              <w:top w:val="nil"/>
            </w:tcBorders>
          </w:tcPr>
          <w:p>
            <w:pPr>
              <w:rPr>
                <w:rFonts w:ascii="Arial"/>
                <w:sz w:val="21"/>
              </w:rPr>
            </w:pPr>
            <w:r/>
          </w:p>
        </w:tc>
        <w:tc>
          <w:tcPr>
            <w:shd w:val="clear" w:fill="F1F1F1"/>
            <w:tcW w:w="2097" w:type="dxa"/>
            <w:vAlign w:val="top"/>
          </w:tcPr>
          <w:p>
            <w:pPr>
              <w:pStyle w:val="TableText"/>
              <w:ind w:left="789"/>
              <w:spacing w:before="83" w:line="177" w:lineRule="auto"/>
              <w:rPr>
                <w:sz w:val="18"/>
                <w:szCs w:val="18"/>
              </w:rPr>
            </w:pPr>
            <w:r>
              <w:rPr>
                <w:sz w:val="18"/>
                <w:szCs w:val="18"/>
                <w:spacing w:val="-3"/>
              </w:rPr>
              <w:t>中节能</w:t>
            </w:r>
          </w:p>
        </w:tc>
        <w:tc>
          <w:tcPr>
            <w:shd w:val="clear" w:fill="F1F1F1"/>
            <w:tcW w:w="6406" w:type="dxa"/>
            <w:vAlign w:val="top"/>
            <w:tcBorders>
              <w:right w:val="nil"/>
            </w:tcBorders>
          </w:tcPr>
          <w:p>
            <w:pPr>
              <w:pStyle w:val="TableText"/>
              <w:ind w:left="87"/>
              <w:spacing w:before="139" w:line="178" w:lineRule="exact"/>
              <w:rPr>
                <w:sz w:val="18"/>
                <w:szCs w:val="18"/>
              </w:rPr>
            </w:pPr>
            <w:r>
              <w:rPr>
                <w:sz w:val="18"/>
                <w:szCs w:val="18"/>
                <w:position w:val="-1"/>
              </w:rPr>
              <w:t>加强非电行业超低排放、储能等技术研究，推进新能源储能电站建设。</w:t>
            </w:r>
          </w:p>
        </w:tc>
      </w:tr>
      <w:tr>
        <w:trPr>
          <w:trHeight w:val="500" w:hRule="atLeast"/>
        </w:trPr>
        <w:tc>
          <w:tcPr>
            <w:tcW w:w="1134" w:type="dxa"/>
            <w:vAlign w:val="top"/>
            <w:vMerge w:val="continue"/>
            <w:tcBorders>
              <w:left w:val="nil"/>
              <w:bottom w:val="nil"/>
              <w:top w:val="nil"/>
            </w:tcBorders>
          </w:tcPr>
          <w:p>
            <w:pPr>
              <w:rPr>
                <w:rFonts w:ascii="Arial"/>
                <w:sz w:val="21"/>
              </w:rPr>
            </w:pPr>
            <w:r/>
          </w:p>
        </w:tc>
        <w:tc>
          <w:tcPr>
            <w:shd w:val="clear" w:fill="F1F1F1"/>
            <w:tcW w:w="2097" w:type="dxa"/>
            <w:vAlign w:val="top"/>
            <w:tcBorders>
              <w:bottom w:val="nil"/>
            </w:tcBorders>
          </w:tcPr>
          <w:p>
            <w:pPr>
              <w:pStyle w:val="TableText"/>
              <w:ind w:left="698"/>
              <w:spacing w:before="171" w:line="177" w:lineRule="auto"/>
              <w:rPr>
                <w:sz w:val="18"/>
                <w:szCs w:val="18"/>
              </w:rPr>
            </w:pPr>
            <w:r>
              <w:rPr>
                <w:sz w:val="18"/>
                <w:szCs w:val="18"/>
                <w:spacing w:val="-2"/>
              </w:rPr>
              <w:t>中核集团</w:t>
            </w:r>
          </w:p>
        </w:tc>
        <w:tc>
          <w:tcPr>
            <w:shd w:val="clear" w:fill="F1F1F1"/>
            <w:tcW w:w="6406" w:type="dxa"/>
            <w:vAlign w:val="top"/>
            <w:tcBorders>
              <w:bottom w:val="nil"/>
              <w:right w:val="nil"/>
            </w:tcBorders>
          </w:tcPr>
          <w:p>
            <w:pPr>
              <w:pStyle w:val="TableText"/>
              <w:ind w:left="90" w:right="184" w:hanging="3"/>
              <w:spacing w:before="55" w:line="169" w:lineRule="auto"/>
              <w:rPr>
                <w:sz w:val="18"/>
                <w:szCs w:val="18"/>
              </w:rPr>
            </w:pPr>
            <w:r>
              <w:rPr>
                <w:sz w:val="18"/>
                <w:szCs w:val="18"/>
              </w:rPr>
              <w:t>承担的飞轮储能项目实现国内单体飞轮首次达到的最大并网功率，推进光热储</w:t>
            </w:r>
            <w:r>
              <w:rPr>
                <w:sz w:val="18"/>
                <w:szCs w:val="18"/>
                <w:spacing w:val="10"/>
              </w:rPr>
              <w:t xml:space="preserve"> </w:t>
            </w:r>
            <w:r>
              <w:rPr>
                <w:sz w:val="18"/>
                <w:szCs w:val="18"/>
              </w:rPr>
              <w:t>能、“核蓄一体化”抽蓄项目等。</w:t>
            </w:r>
          </w:p>
        </w:tc>
      </w:tr>
      <w:tr>
        <w:trPr>
          <w:trHeight w:val="851" w:hRule="atLeast"/>
        </w:trPr>
        <w:tc>
          <w:tcPr>
            <w:tcW w:w="1134" w:type="dxa"/>
            <w:vAlign w:val="top"/>
            <w:vMerge w:val="restart"/>
            <w:tcBorders>
              <w:left w:val="nil"/>
              <w:bottom w:val="nil"/>
              <w:top w:val="nil"/>
            </w:tcBorders>
          </w:tcPr>
          <w:p>
            <w:pPr>
              <w:spacing w:line="292" w:lineRule="auto"/>
              <w:rPr>
                <w:rFonts w:ascii="Arial"/>
                <w:sz w:val="21"/>
              </w:rPr>
            </w:pPr>
            <w:r/>
          </w:p>
          <w:p>
            <w:pPr>
              <w:spacing w:line="292" w:lineRule="auto"/>
              <w:rPr>
                <w:rFonts w:ascii="Arial"/>
                <w:sz w:val="21"/>
              </w:rPr>
            </w:pPr>
            <w:r/>
          </w:p>
          <w:p>
            <w:pPr>
              <w:pStyle w:val="TableText"/>
              <w:ind w:left="125"/>
              <w:spacing w:before="90" w:line="176" w:lineRule="auto"/>
              <w:rPr>
                <w:sz w:val="21"/>
                <w:szCs w:val="21"/>
              </w:rPr>
            </w:pPr>
            <w:r>
              <w:rPr>
                <w:sz w:val="21"/>
                <w:szCs w:val="21"/>
                <w:b/>
                <w:bCs/>
                <w:color w:val="00338D"/>
                <w:spacing w:val="1"/>
              </w:rPr>
              <w:t>两大电网</w:t>
            </w:r>
          </w:p>
        </w:tc>
        <w:tc>
          <w:tcPr>
            <w:tcW w:w="2097" w:type="dxa"/>
            <w:vAlign w:val="top"/>
            <w:tcBorders>
              <w:top w:val="nil"/>
            </w:tcBorders>
          </w:tcPr>
          <w:p>
            <w:pPr>
              <w:spacing w:line="272" w:lineRule="auto"/>
              <w:rPr>
                <w:rFonts w:ascii="Arial"/>
                <w:sz w:val="21"/>
              </w:rPr>
            </w:pPr>
            <w:r/>
          </w:p>
          <w:p>
            <w:pPr>
              <w:pStyle w:val="TableText"/>
              <w:ind w:left="696"/>
              <w:spacing w:before="77" w:line="178" w:lineRule="auto"/>
              <w:rPr>
                <w:sz w:val="18"/>
                <w:szCs w:val="18"/>
              </w:rPr>
            </w:pPr>
            <w:r>
              <w:rPr>
                <w:sz w:val="18"/>
                <w:szCs w:val="18"/>
                <w:spacing w:val="-2"/>
              </w:rPr>
              <w:t>国家电网</w:t>
            </w:r>
          </w:p>
        </w:tc>
        <w:tc>
          <w:tcPr>
            <w:tcW w:w="6406" w:type="dxa"/>
            <w:vAlign w:val="top"/>
            <w:tcBorders>
              <w:right w:val="nil"/>
              <w:top w:val="nil"/>
            </w:tcBorders>
          </w:tcPr>
          <w:p>
            <w:pPr>
              <w:pStyle w:val="TableText"/>
              <w:ind w:left="87" w:right="106"/>
              <w:spacing w:before="122" w:line="178" w:lineRule="auto"/>
              <w:jc w:val="both"/>
              <w:rPr>
                <w:sz w:val="18"/>
                <w:szCs w:val="18"/>
              </w:rPr>
            </w:pPr>
            <w:r>
              <w:rPr>
                <w:sz w:val="18"/>
                <w:szCs w:val="18"/>
                <w:spacing w:val="-1"/>
              </w:rPr>
              <w:t>加快抽水蓄能电站建设，力争2025年、2030年公司经营区抽水蓄能装机分别达</w:t>
            </w:r>
            <w:r>
              <w:rPr>
                <w:sz w:val="18"/>
                <w:szCs w:val="18"/>
                <w:spacing w:val="1"/>
              </w:rPr>
              <w:t xml:space="preserve"> </w:t>
            </w:r>
            <w:r>
              <w:rPr>
                <w:sz w:val="18"/>
                <w:szCs w:val="18"/>
                <w:spacing w:val="-1"/>
              </w:rPr>
              <w:t>到5,000万千瓦、</w:t>
            </w:r>
            <w:r>
              <w:rPr>
                <w:sz w:val="18"/>
                <w:szCs w:val="18"/>
                <w:spacing w:val="-33"/>
              </w:rPr>
              <w:t xml:space="preserve"> </w:t>
            </w:r>
            <w:r>
              <w:rPr>
                <w:sz w:val="18"/>
                <w:szCs w:val="18"/>
                <w:spacing w:val="-1"/>
              </w:rPr>
              <w:t>1亿千瓦。支持新型储能规</w:t>
            </w:r>
            <w:r>
              <w:rPr>
                <w:sz w:val="18"/>
                <w:szCs w:val="18"/>
                <w:spacing w:val="-2"/>
              </w:rPr>
              <w:t>模化应用，预计2030年公司经营区</w:t>
            </w:r>
            <w:r>
              <w:rPr>
                <w:sz w:val="18"/>
                <w:szCs w:val="18"/>
              </w:rPr>
              <w:t xml:space="preserve"> </w:t>
            </w:r>
            <w:r>
              <w:rPr>
                <w:sz w:val="18"/>
                <w:szCs w:val="18"/>
                <w:spacing w:val="-1"/>
              </w:rPr>
              <w:t>新型储能装机达到1亿千瓦。</w:t>
            </w:r>
          </w:p>
        </w:tc>
      </w:tr>
      <w:tr>
        <w:trPr>
          <w:trHeight w:val="673" w:hRule="atLeast"/>
        </w:trPr>
        <w:tc>
          <w:tcPr>
            <w:tcW w:w="1134" w:type="dxa"/>
            <w:vAlign w:val="top"/>
            <w:vMerge w:val="continue"/>
            <w:tcBorders>
              <w:left w:val="nil"/>
              <w:bottom w:val="nil"/>
              <w:top w:val="nil"/>
            </w:tcBorders>
          </w:tcPr>
          <w:p>
            <w:pPr>
              <w:rPr>
                <w:rFonts w:ascii="Arial"/>
                <w:sz w:val="21"/>
              </w:rPr>
            </w:pPr>
            <w:r/>
          </w:p>
        </w:tc>
        <w:tc>
          <w:tcPr>
            <w:tcW w:w="2097" w:type="dxa"/>
            <w:vAlign w:val="top"/>
            <w:tcBorders>
              <w:bottom w:val="nil"/>
            </w:tcBorders>
          </w:tcPr>
          <w:p>
            <w:pPr>
              <w:pStyle w:val="TableText"/>
              <w:ind w:left="691"/>
              <w:spacing w:before="261" w:line="178" w:lineRule="auto"/>
              <w:rPr>
                <w:sz w:val="18"/>
                <w:szCs w:val="18"/>
              </w:rPr>
            </w:pPr>
            <w:r>
              <w:rPr>
                <w:sz w:val="18"/>
                <w:szCs w:val="18"/>
                <w:spacing w:val="-1"/>
              </w:rPr>
              <w:t>南方电网</w:t>
            </w:r>
          </w:p>
        </w:tc>
        <w:tc>
          <w:tcPr>
            <w:tcW w:w="6406" w:type="dxa"/>
            <w:vAlign w:val="top"/>
            <w:tcBorders>
              <w:bottom w:val="nil"/>
              <w:right w:val="nil"/>
            </w:tcBorders>
          </w:tcPr>
          <w:p>
            <w:pPr>
              <w:pStyle w:val="TableText"/>
              <w:ind w:left="90" w:right="198" w:firstLine="13"/>
              <w:spacing w:before="145" w:line="186" w:lineRule="auto"/>
              <w:rPr>
                <w:sz w:val="18"/>
                <w:szCs w:val="18"/>
              </w:rPr>
            </w:pPr>
            <w:r>
              <w:rPr>
                <w:sz w:val="18"/>
                <w:szCs w:val="18"/>
                <w:spacing w:val="-1"/>
              </w:rPr>
              <w:t>“十四五”期间，南方五省区计划新增风电、光伏规模1.15亿千瓦，抽水蓄能</w:t>
            </w:r>
            <w:r>
              <w:rPr>
                <w:sz w:val="18"/>
                <w:szCs w:val="18"/>
                <w:spacing w:val="16"/>
              </w:rPr>
              <w:t xml:space="preserve"> </w:t>
            </w:r>
            <w:r>
              <w:rPr>
                <w:sz w:val="18"/>
                <w:szCs w:val="18"/>
                <w:spacing w:val="-2"/>
              </w:rPr>
              <w:t>600万千瓦，推动新能源配套储能2,000万千瓦。</w:t>
            </w:r>
          </w:p>
        </w:tc>
      </w:tr>
      <w:tr>
        <w:trPr>
          <w:trHeight w:val="505" w:hRule="atLeast"/>
        </w:trPr>
        <w:tc>
          <w:tcPr>
            <w:shd w:val="clear" w:fill="F1F1F1"/>
            <w:tcW w:w="1134" w:type="dxa"/>
            <w:vAlign w:val="top"/>
            <w:vMerge w:val="restart"/>
            <w:tcBorders>
              <w:left w:val="nil"/>
              <w:top w:val="nil"/>
              <w:bottom w:val="nil"/>
            </w:tcBorders>
          </w:tcPr>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362"/>
              <w:spacing w:before="90" w:line="175" w:lineRule="auto"/>
              <w:rPr>
                <w:sz w:val="21"/>
                <w:szCs w:val="21"/>
              </w:rPr>
            </w:pPr>
            <w:r>
              <w:rPr>
                <w:sz w:val="21"/>
                <w:szCs w:val="21"/>
                <w:b/>
                <w:bCs/>
                <w:color w:val="00338D"/>
                <w:spacing w:val="-1"/>
              </w:rPr>
              <w:t>其他</w:t>
            </w:r>
          </w:p>
        </w:tc>
        <w:tc>
          <w:tcPr>
            <w:shd w:val="clear" w:fill="F1F1F1"/>
            <w:tcW w:w="2097" w:type="dxa"/>
            <w:vAlign w:val="top"/>
            <w:tcBorders>
              <w:top w:val="nil"/>
            </w:tcBorders>
          </w:tcPr>
          <w:p>
            <w:pPr>
              <w:pStyle w:val="TableText"/>
              <w:ind w:left="698"/>
              <w:spacing w:before="182" w:line="177" w:lineRule="auto"/>
              <w:rPr>
                <w:sz w:val="18"/>
                <w:szCs w:val="18"/>
              </w:rPr>
            </w:pPr>
            <w:r>
              <w:rPr>
                <w:sz w:val="18"/>
                <w:szCs w:val="18"/>
                <w:spacing w:val="-2"/>
              </w:rPr>
              <w:t>中国能建</w:t>
            </w:r>
          </w:p>
        </w:tc>
        <w:tc>
          <w:tcPr>
            <w:shd w:val="clear" w:fill="F1F1F1"/>
            <w:tcW w:w="6406" w:type="dxa"/>
            <w:vAlign w:val="top"/>
            <w:tcBorders>
              <w:right w:val="nil"/>
              <w:top w:val="nil"/>
            </w:tcBorders>
          </w:tcPr>
          <w:p>
            <w:pPr>
              <w:pStyle w:val="TableText"/>
              <w:ind w:left="85" w:firstLine="10"/>
              <w:spacing w:before="65" w:line="167" w:lineRule="auto"/>
              <w:rPr>
                <w:sz w:val="18"/>
                <w:szCs w:val="18"/>
              </w:rPr>
            </w:pPr>
            <w:r>
              <w:rPr>
                <w:sz w:val="18"/>
                <w:szCs w:val="18"/>
              </w:rPr>
              <w:t>围绕储能技术和产业发展全面发力。发力熔盐储热和氢储能，围绕“一个中心”</w:t>
            </w:r>
            <w:r>
              <w:rPr>
                <w:sz w:val="18"/>
                <w:szCs w:val="18"/>
                <w:spacing w:val="7"/>
              </w:rPr>
              <w:t xml:space="preserve"> </w:t>
            </w:r>
            <w:r>
              <w:rPr>
                <w:sz w:val="18"/>
                <w:szCs w:val="18"/>
                <w:spacing w:val="-2"/>
              </w:rPr>
              <w:t>和储能、氢能“两个基本点”。</w:t>
            </w:r>
          </w:p>
        </w:tc>
      </w:tr>
      <w:tr>
        <w:trPr>
          <w:trHeight w:val="345" w:hRule="atLeast"/>
        </w:trPr>
        <w:tc>
          <w:tcPr>
            <w:tcW w:w="1134" w:type="dxa"/>
            <w:vAlign w:val="top"/>
            <w:vMerge w:val="continue"/>
            <w:tcBorders>
              <w:left w:val="nil"/>
              <w:top w:val="nil"/>
              <w:bottom w:val="nil"/>
            </w:tcBorders>
          </w:tcPr>
          <w:p>
            <w:pPr>
              <w:rPr>
                <w:rFonts w:ascii="Arial"/>
                <w:sz w:val="21"/>
              </w:rPr>
            </w:pPr>
            <w:r/>
          </w:p>
        </w:tc>
        <w:tc>
          <w:tcPr>
            <w:shd w:val="clear" w:fill="F1F1F1"/>
            <w:tcW w:w="2097" w:type="dxa"/>
            <w:vAlign w:val="top"/>
          </w:tcPr>
          <w:p>
            <w:pPr>
              <w:pStyle w:val="TableText"/>
              <w:ind w:left="698"/>
              <w:spacing w:before="101" w:line="177" w:lineRule="auto"/>
              <w:rPr>
                <w:sz w:val="18"/>
                <w:szCs w:val="18"/>
              </w:rPr>
            </w:pPr>
            <w:r>
              <w:rPr>
                <w:sz w:val="18"/>
                <w:szCs w:val="18"/>
                <w:spacing w:val="-2"/>
              </w:rPr>
              <w:t>中国石油</w:t>
            </w:r>
          </w:p>
        </w:tc>
        <w:tc>
          <w:tcPr>
            <w:shd w:val="clear" w:fill="F1F1F1"/>
            <w:tcW w:w="6406" w:type="dxa"/>
            <w:vAlign w:val="top"/>
            <w:tcBorders>
              <w:right w:val="nil"/>
            </w:tcBorders>
          </w:tcPr>
          <w:p>
            <w:pPr>
              <w:pStyle w:val="TableText"/>
              <w:ind w:left="93"/>
              <w:spacing w:before="100" w:line="181" w:lineRule="auto"/>
              <w:rPr>
                <w:sz w:val="18"/>
                <w:szCs w:val="18"/>
              </w:rPr>
            </w:pPr>
            <w:r>
              <w:rPr>
                <w:sz w:val="18"/>
                <w:szCs w:val="18"/>
              </w:rPr>
              <w:t>瞄准风光发电大规模储能配套，以及油田的综合能源供应和清洁转型。</w:t>
            </w:r>
          </w:p>
        </w:tc>
      </w:tr>
      <w:tr>
        <w:trPr>
          <w:trHeight w:val="500" w:hRule="atLeast"/>
        </w:trPr>
        <w:tc>
          <w:tcPr>
            <w:tcW w:w="1134" w:type="dxa"/>
            <w:vAlign w:val="top"/>
            <w:vMerge w:val="continue"/>
            <w:tcBorders>
              <w:left w:val="nil"/>
              <w:top w:val="nil"/>
              <w:bottom w:val="nil"/>
            </w:tcBorders>
          </w:tcPr>
          <w:p>
            <w:pPr>
              <w:rPr>
                <w:rFonts w:ascii="Arial"/>
                <w:sz w:val="21"/>
              </w:rPr>
            </w:pPr>
            <w:r/>
          </w:p>
        </w:tc>
        <w:tc>
          <w:tcPr>
            <w:shd w:val="clear" w:fill="F1F1F1"/>
            <w:tcW w:w="2097" w:type="dxa"/>
            <w:vAlign w:val="top"/>
          </w:tcPr>
          <w:p>
            <w:pPr>
              <w:pStyle w:val="TableText"/>
              <w:ind w:left="880"/>
              <w:spacing w:before="179" w:line="177" w:lineRule="auto"/>
              <w:rPr>
                <w:sz w:val="18"/>
                <w:szCs w:val="18"/>
              </w:rPr>
            </w:pPr>
            <w:r>
              <w:rPr>
                <w:sz w:val="18"/>
                <w:szCs w:val="18"/>
                <w:spacing w:val="-4"/>
              </w:rPr>
              <w:t>中化</w:t>
            </w:r>
          </w:p>
        </w:tc>
        <w:tc>
          <w:tcPr>
            <w:shd w:val="clear" w:fill="F1F1F1"/>
            <w:tcW w:w="6406" w:type="dxa"/>
            <w:vAlign w:val="top"/>
            <w:tcBorders>
              <w:right w:val="nil"/>
            </w:tcBorders>
          </w:tcPr>
          <w:p>
            <w:pPr>
              <w:pStyle w:val="TableText"/>
              <w:ind w:left="96" w:right="192" w:hanging="11"/>
              <w:spacing w:before="60" w:line="167" w:lineRule="auto"/>
              <w:rPr>
                <w:sz w:val="18"/>
                <w:szCs w:val="18"/>
              </w:rPr>
            </w:pPr>
            <w:r>
              <w:rPr>
                <w:sz w:val="18"/>
                <w:szCs w:val="18"/>
              </w:rPr>
              <w:t>储能领域提供系统一体化解决方案，产品将主要应用于发电侧、输配电侧（电</w:t>
            </w:r>
            <w:r>
              <w:rPr>
                <w:sz w:val="18"/>
                <w:szCs w:val="18"/>
                <w:spacing w:val="5"/>
              </w:rPr>
              <w:t xml:space="preserve"> </w:t>
            </w:r>
            <w:r>
              <w:rPr>
                <w:sz w:val="18"/>
                <w:szCs w:val="18"/>
                <w:spacing w:val="-1"/>
              </w:rPr>
              <w:t>网侧）和用户侧大型储能场景。</w:t>
            </w:r>
          </w:p>
        </w:tc>
      </w:tr>
      <w:tr>
        <w:trPr>
          <w:trHeight w:val="500" w:hRule="atLeast"/>
        </w:trPr>
        <w:tc>
          <w:tcPr>
            <w:tcW w:w="1134" w:type="dxa"/>
            <w:vAlign w:val="top"/>
            <w:vMerge w:val="continue"/>
            <w:tcBorders>
              <w:left w:val="nil"/>
              <w:top w:val="nil"/>
              <w:bottom w:val="nil"/>
            </w:tcBorders>
          </w:tcPr>
          <w:p>
            <w:pPr>
              <w:rPr>
                <w:rFonts w:ascii="Arial"/>
                <w:sz w:val="21"/>
              </w:rPr>
            </w:pPr>
            <w:r/>
          </w:p>
        </w:tc>
        <w:tc>
          <w:tcPr>
            <w:shd w:val="clear" w:fill="F1F1F1"/>
            <w:tcW w:w="2097" w:type="dxa"/>
            <w:vAlign w:val="top"/>
          </w:tcPr>
          <w:p>
            <w:pPr>
              <w:pStyle w:val="TableText"/>
              <w:ind w:left="515"/>
              <w:spacing w:before="180" w:line="178" w:lineRule="auto"/>
              <w:rPr>
                <w:sz w:val="18"/>
                <w:szCs w:val="18"/>
              </w:rPr>
            </w:pPr>
            <w:r>
              <w:rPr>
                <w:sz w:val="18"/>
                <w:szCs w:val="18"/>
                <w:spacing w:val="-1"/>
              </w:rPr>
              <w:t>中国东方电气</w:t>
            </w:r>
          </w:p>
        </w:tc>
        <w:tc>
          <w:tcPr>
            <w:shd w:val="clear" w:fill="F1F1F1"/>
            <w:tcW w:w="6406" w:type="dxa"/>
            <w:vAlign w:val="top"/>
            <w:tcBorders>
              <w:right w:val="nil"/>
            </w:tcBorders>
          </w:tcPr>
          <w:p>
            <w:pPr>
              <w:pStyle w:val="TableText"/>
              <w:ind w:left="97" w:right="184" w:hanging="10"/>
              <w:spacing w:before="65" w:line="165" w:lineRule="auto"/>
              <w:rPr>
                <w:sz w:val="18"/>
                <w:szCs w:val="18"/>
              </w:rPr>
            </w:pPr>
            <w:r>
              <w:rPr>
                <w:sz w:val="18"/>
                <w:szCs w:val="18"/>
              </w:rPr>
              <w:t>将以高端能源装备、新能源和储能产品搭台，推动供应链、产业链上下游精准</w:t>
            </w:r>
            <w:r>
              <w:rPr>
                <w:sz w:val="18"/>
                <w:szCs w:val="18"/>
                <w:spacing w:val="10"/>
              </w:rPr>
              <w:t xml:space="preserve"> </w:t>
            </w:r>
            <w:r>
              <w:rPr>
                <w:sz w:val="18"/>
                <w:szCs w:val="18"/>
                <w:spacing w:val="-4"/>
              </w:rPr>
              <w:t>匹配、高效协同。</w:t>
            </w:r>
          </w:p>
        </w:tc>
      </w:tr>
      <w:tr>
        <w:trPr>
          <w:trHeight w:val="445" w:hRule="atLeast"/>
        </w:trPr>
        <w:tc>
          <w:tcPr>
            <w:tcW w:w="1134" w:type="dxa"/>
            <w:vAlign w:val="top"/>
            <w:vMerge w:val="continue"/>
            <w:tcBorders>
              <w:left w:val="nil"/>
              <w:top w:val="nil"/>
              <w:bottom w:val="nil"/>
            </w:tcBorders>
          </w:tcPr>
          <w:p>
            <w:pPr>
              <w:rPr>
                <w:rFonts w:ascii="Arial"/>
                <w:sz w:val="21"/>
              </w:rPr>
            </w:pPr>
            <w:r/>
          </w:p>
        </w:tc>
        <w:tc>
          <w:tcPr>
            <w:shd w:val="clear" w:fill="F1F1F1"/>
            <w:tcW w:w="2097" w:type="dxa"/>
            <w:vAlign w:val="top"/>
          </w:tcPr>
          <w:p>
            <w:pPr>
              <w:pStyle w:val="TableText"/>
              <w:ind w:left="515"/>
              <w:spacing w:before="156" w:line="177" w:lineRule="auto"/>
              <w:rPr>
                <w:sz w:val="18"/>
                <w:szCs w:val="18"/>
              </w:rPr>
            </w:pPr>
            <w:r>
              <w:rPr>
                <w:sz w:val="18"/>
                <w:szCs w:val="18"/>
                <w:spacing w:val="-1"/>
              </w:rPr>
              <w:t>中国电气装备</w:t>
            </w:r>
          </w:p>
        </w:tc>
        <w:tc>
          <w:tcPr>
            <w:shd w:val="clear" w:fill="F1F1F1"/>
            <w:tcW w:w="6406" w:type="dxa"/>
            <w:vAlign w:val="top"/>
            <w:tcBorders>
              <w:right w:val="nil"/>
            </w:tcBorders>
          </w:tcPr>
          <w:p>
            <w:pPr>
              <w:pStyle w:val="TableText"/>
              <w:ind w:left="91" w:right="184" w:hanging="5"/>
              <w:spacing w:before="39" w:line="198" w:lineRule="exact"/>
              <w:rPr>
                <w:sz w:val="18"/>
                <w:szCs w:val="18"/>
              </w:rPr>
            </w:pPr>
            <w:r>
              <w:rPr>
                <w:sz w:val="18"/>
                <w:szCs w:val="18"/>
                <w:position w:val="1"/>
              </w:rPr>
              <w:t>积极培育新型电力系统解决方案、储能、综合能源和智慧能源等战略性新兴产</w:t>
            </w:r>
            <w:r>
              <w:rPr>
                <w:sz w:val="18"/>
                <w:szCs w:val="18"/>
                <w:spacing w:val="11"/>
                <w:position w:val="1"/>
              </w:rPr>
              <w:t xml:space="preserve"> </w:t>
            </w:r>
            <w:r>
              <w:rPr>
                <w:sz w:val="18"/>
                <w:szCs w:val="18"/>
                <w:spacing w:val="-9"/>
                <w:position w:val="-2"/>
              </w:rPr>
              <w:t>业。</w:t>
            </w:r>
          </w:p>
        </w:tc>
      </w:tr>
      <w:tr>
        <w:trPr>
          <w:trHeight w:val="688" w:hRule="atLeast"/>
        </w:trPr>
        <w:tc>
          <w:tcPr>
            <w:tcW w:w="1134" w:type="dxa"/>
            <w:vAlign w:val="top"/>
            <w:vMerge w:val="continue"/>
            <w:tcBorders>
              <w:left w:val="nil"/>
              <w:top w:val="nil"/>
              <w:bottom w:val="single" w:color="00338D" w:sz="12" w:space="0"/>
            </w:tcBorders>
          </w:tcPr>
          <w:p>
            <w:pPr>
              <w:rPr>
                <w:rFonts w:ascii="Arial"/>
                <w:sz w:val="21"/>
              </w:rPr>
            </w:pPr>
            <w:r/>
          </w:p>
        </w:tc>
        <w:tc>
          <w:tcPr>
            <w:shd w:val="clear" w:fill="F1F1F1"/>
            <w:tcW w:w="2097" w:type="dxa"/>
            <w:vAlign w:val="top"/>
            <w:tcBorders>
              <w:bottom w:val="single" w:color="00338D" w:sz="12" w:space="0"/>
            </w:tcBorders>
          </w:tcPr>
          <w:p>
            <w:pPr>
              <w:pStyle w:val="TableText"/>
              <w:ind w:left="698"/>
              <w:spacing w:before="271" w:line="177" w:lineRule="auto"/>
              <w:rPr>
                <w:sz w:val="18"/>
                <w:szCs w:val="18"/>
              </w:rPr>
            </w:pPr>
            <w:r>
              <w:rPr>
                <w:sz w:val="18"/>
                <w:szCs w:val="18"/>
                <w:spacing w:val="-2"/>
              </w:rPr>
              <w:t>中国电建</w:t>
            </w:r>
          </w:p>
        </w:tc>
        <w:tc>
          <w:tcPr>
            <w:shd w:val="clear" w:fill="F1F1F1"/>
            <w:tcW w:w="6406" w:type="dxa"/>
            <w:vAlign w:val="top"/>
            <w:tcBorders>
              <w:right w:val="nil"/>
              <w:bottom w:val="single" w:color="00338D" w:sz="12" w:space="0"/>
            </w:tcBorders>
          </w:tcPr>
          <w:p>
            <w:pPr>
              <w:pStyle w:val="TableText"/>
              <w:ind w:left="85" w:right="184" w:firstLine="13"/>
              <w:spacing w:before="154" w:line="180" w:lineRule="auto"/>
              <w:rPr>
                <w:sz w:val="18"/>
                <w:szCs w:val="18"/>
              </w:rPr>
            </w:pPr>
            <w:r>
              <w:rPr>
                <w:sz w:val="18"/>
                <w:szCs w:val="18"/>
              </w:rPr>
              <w:t>以新能源和抽水蓄能为核心主业，加快新能源和抽水蓄能规划设计建设新布局 </w:t>
            </w:r>
            <w:r>
              <w:rPr>
                <w:sz w:val="18"/>
                <w:szCs w:val="18"/>
              </w:rPr>
              <w:t>和投资经营新布局，积极构建新能源和抽水蓄能业务发展新格局。</w:t>
            </w:r>
          </w:p>
        </w:tc>
      </w:tr>
    </w:tbl>
    <w:p>
      <w:pPr>
        <w:ind w:left="10"/>
        <w:spacing w:before="135" w:line="187"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6"/>
        </w:rPr>
        <w:t>资料来源：根据企业官网和公开资料整理， 毕马威分析</w:t>
      </w:r>
    </w:p>
    <w:p>
      <w:pPr>
        <w:ind w:left="10" w:right="2997" w:firstLine="7"/>
        <w:spacing w:before="164" w:line="218" w:lineRule="auto"/>
        <w:jc w:val="both"/>
        <w:rPr>
          <w:rFonts w:ascii="Microsoft YaHei" w:hAnsi="Microsoft YaHei" w:eastAsia="Microsoft YaHei" w:cs="Microsoft YaHei"/>
          <w:sz w:val="21"/>
          <w:szCs w:val="21"/>
        </w:rPr>
      </w:pPr>
      <w:r>
        <w:pict>
          <v:shape id="_x0000_s1482" style="position:absolute;margin-left:0.25pt;margin-top:95.7523pt;mso-position-vertical-relative:text;mso-position-horizontal-relative:text;width:81.3pt;height:0.5pt;z-index:253579264;" filled="false" strokecolor="#000000" strokeweight="0.50pt" coordsize="1626,10" coordorigin="0,0" path="m0,5l1625,5e">
            <v:stroke joinstyle="miter"/>
          </v:shape>
        </w:pict>
      </w:r>
      <w:r>
        <w:rPr>
          <w:rFonts w:ascii="Microsoft YaHei" w:hAnsi="Microsoft YaHei" w:eastAsia="Microsoft YaHei" w:cs="Microsoft YaHei"/>
          <w:sz w:val="21"/>
          <w:szCs w:val="21"/>
          <w:spacing w:val="1"/>
        </w:rPr>
        <w:t>多元储能列入2022年国资央企生产经营和改革发展重点任务。</w:t>
      </w:r>
      <w:r>
        <w:rPr>
          <w:rFonts w:ascii="Microsoft YaHei" w:hAnsi="Microsoft YaHei" w:eastAsia="Microsoft YaHei" w:cs="Microsoft YaHei"/>
          <w:sz w:val="21"/>
          <w:szCs w:val="21"/>
          <w:spacing w:val="-23"/>
        </w:rPr>
        <w:t xml:space="preserve"> </w:t>
      </w:r>
      <w:r>
        <w:rPr>
          <w:rFonts w:ascii="Microsoft YaHei" w:hAnsi="Microsoft YaHei" w:eastAsia="Microsoft YaHei" w:cs="Microsoft YaHei"/>
          <w:sz w:val="21"/>
          <w:szCs w:val="21"/>
          <w:spacing w:val="1"/>
        </w:rPr>
        <w:t>电力央企在承担抽水蓄</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能建设重任的同时，也在向电化学储能等新型储能延伸。根据Wind数据，目前有11家</w:t>
      </w:r>
      <w:r>
        <w:rPr>
          <w:rFonts w:ascii="Microsoft YaHei" w:hAnsi="Microsoft YaHei" w:eastAsia="Microsoft YaHei" w:cs="Microsoft YaHei"/>
          <w:sz w:val="21"/>
          <w:szCs w:val="21"/>
          <w:spacing w:val="4"/>
        </w:rPr>
        <w:t xml:space="preserve"> </w:t>
      </w:r>
      <w:r>
        <w:rPr>
          <w:rFonts w:ascii="Microsoft YaHei" w:hAnsi="Microsoft YaHei" w:eastAsia="Microsoft YaHei" w:cs="Microsoft YaHei"/>
          <w:sz w:val="21"/>
          <w:szCs w:val="21"/>
          <w:spacing w:val="1"/>
        </w:rPr>
        <w:t>上市国企布局锂电池赛道，9家上市国企布局锂电材料赛道。例如，中</w:t>
      </w:r>
      <w:r>
        <w:rPr>
          <w:rFonts w:ascii="Microsoft YaHei" w:hAnsi="Microsoft YaHei" w:eastAsia="Microsoft YaHei" w:cs="Microsoft YaHei"/>
          <w:sz w:val="21"/>
          <w:szCs w:val="21"/>
        </w:rPr>
        <w:t>化国际依托锂电 </w:t>
      </w:r>
      <w:r>
        <w:rPr>
          <w:rFonts w:ascii="Microsoft YaHei" w:hAnsi="Microsoft YaHei" w:eastAsia="Microsoft YaHei" w:cs="Microsoft YaHei"/>
          <w:sz w:val="21"/>
          <w:szCs w:val="21"/>
          <w:spacing w:val="3"/>
        </w:rPr>
        <w:t>池和材料延伸上下游产业链</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，加码锂电储能业务布局</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，计划在储能</w:t>
      </w:r>
      <w:r>
        <w:rPr>
          <w:rFonts w:ascii="Microsoft YaHei" w:hAnsi="Microsoft YaHei" w:eastAsia="Microsoft YaHei" w:cs="Microsoft YaHei"/>
          <w:sz w:val="21"/>
          <w:szCs w:val="21"/>
          <w:spacing w:val="2"/>
        </w:rPr>
        <w:t>领域提供一体化解</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决方案，产品将主要应用于发电侧、电网侧和用户侧大型储能场景。</w:t>
      </w:r>
    </w:p>
    <w:p>
      <w:pPr>
        <w:ind w:left="13" w:right="4946" w:hanging="7"/>
        <w:spacing w:before="268" w:line="188"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5"/>
          <w:position w:val="4"/>
        </w:rPr>
        <w:t>64</w:t>
      </w:r>
      <w:r>
        <w:rPr>
          <w:rFonts w:ascii="Microsoft YaHei" w:hAnsi="Microsoft YaHei" w:eastAsia="Microsoft YaHei" w:cs="Microsoft YaHei"/>
          <w:sz w:val="9"/>
          <w:szCs w:val="9"/>
          <w:spacing w:val="20"/>
          <w:w w:val="101"/>
          <w:position w:val="4"/>
        </w:rPr>
        <w:t xml:space="preserve"> </w:t>
      </w:r>
      <w:r>
        <w:rPr>
          <w:rFonts w:ascii="Microsoft YaHei" w:hAnsi="Microsoft YaHei" w:eastAsia="Microsoft YaHei" w:cs="Microsoft YaHei"/>
          <w:sz w:val="13"/>
          <w:szCs w:val="13"/>
          <w:spacing w:val="5"/>
        </w:rPr>
        <w:t>多家建筑电力行业央企“抢跑入场”，</w:t>
      </w:r>
      <w:r>
        <w:rPr>
          <w:rFonts w:ascii="Microsoft YaHei" w:hAnsi="Microsoft YaHei" w:eastAsia="Microsoft YaHei" w:cs="Microsoft YaHei"/>
          <w:sz w:val="13"/>
          <w:szCs w:val="13"/>
          <w:spacing w:val="4"/>
        </w:rPr>
        <w:t>抽水蓄能驶入发展快车道，证卷日报，</w:t>
      </w:r>
      <w:r>
        <w:rPr>
          <w:rFonts w:ascii="Microsoft YaHei" w:hAnsi="Microsoft YaHei" w:eastAsia="Microsoft YaHei" w:cs="Microsoft YaHei"/>
          <w:sz w:val="13"/>
          <w:szCs w:val="13"/>
        </w:rPr>
        <w:t xml:space="preserve">    </w:t>
      </w:r>
      <w:r>
        <w:rPr>
          <w:rFonts w:ascii="Microsoft YaHei" w:hAnsi="Microsoft YaHei" w:eastAsia="Microsoft YaHei" w:cs="Microsoft YaHei"/>
          <w:sz w:val="13"/>
          <w:szCs w:val="13"/>
          <w:spacing w:val="4"/>
        </w:rPr>
        <w:t>2022年3月23日，</w:t>
      </w:r>
      <w:r>
        <w:rPr>
          <w:rFonts w:ascii="Microsoft YaHei" w:hAnsi="Microsoft YaHei" w:eastAsia="Microsoft YaHei" w:cs="Microsoft YaHei"/>
          <w:sz w:val="13"/>
          <w:szCs w:val="13"/>
          <w:spacing w:val="2"/>
        </w:rPr>
        <w:t xml:space="preserve"> </w:t>
      </w:r>
      <w:hyperlink w:history="true" r:id="rId328">
        <w:r>
          <w:rPr>
            <w:rFonts w:ascii="Microsoft YaHei" w:hAnsi="Microsoft YaHei" w:eastAsia="Microsoft YaHei" w:cs="Microsoft YaHei"/>
            <w:sz w:val="13"/>
            <w:szCs w:val="13"/>
          </w:rPr>
          <w:t>http</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www</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ce</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cn</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xwzx</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gnsz</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gdxw</w:t>
        </w:r>
        <w:r>
          <w:rPr>
            <w:rFonts w:ascii="Microsoft YaHei" w:hAnsi="Microsoft YaHei" w:eastAsia="Microsoft YaHei" w:cs="Microsoft YaHei"/>
            <w:sz w:val="13"/>
            <w:szCs w:val="13"/>
            <w:spacing w:val="4"/>
          </w:rPr>
          <w:t>/202203/23/t20220323</w:t>
        </w:r>
      </w:hyperlink>
      <w:r>
        <w:rPr>
          <w:rFonts w:ascii="Microsoft YaHei" w:hAnsi="Microsoft YaHei" w:eastAsia="Microsoft YaHei" w:cs="Microsoft YaHei"/>
          <w:sz w:val="13"/>
          <w:szCs w:val="13"/>
          <w:spacing w:val="4"/>
        </w:rPr>
        <w:t>_37425982.</w:t>
      </w:r>
      <w:r>
        <w:rPr>
          <w:rFonts w:ascii="Microsoft YaHei" w:hAnsi="Microsoft YaHei" w:eastAsia="Microsoft YaHei" w:cs="Microsoft YaHei"/>
          <w:sz w:val="13"/>
          <w:szCs w:val="13"/>
        </w:rPr>
        <w:t>shtml</w:t>
      </w:r>
    </w:p>
    <w:p>
      <w:pPr>
        <w:ind w:left="505" w:right="1241" w:hanging="411"/>
        <w:spacing w:before="203"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1300" w:header="0" w:footer="0" w:gutter="0"/>
        </w:sectPr>
        <w:rPr>
          <w:rFonts w:ascii="Microsoft YaHei" w:hAnsi="Microsoft YaHei" w:eastAsia="Microsoft YaHei" w:cs="Microsoft YaHei"/>
          <w:sz w:val="11"/>
          <w:szCs w:val="11"/>
        </w:rPr>
      </w:pPr>
    </w:p>
    <w:p>
      <w:pPr>
        <w:spacing w:before="314" w:line="193" w:lineRule="auto"/>
        <w:outlineLvl w:val="0"/>
        <w:rPr>
          <w:rFonts w:ascii="Microsoft YaHei" w:hAnsi="Microsoft YaHei" w:eastAsia="Microsoft YaHei" w:cs="Microsoft YaHei"/>
          <w:sz w:val="18"/>
          <w:szCs w:val="18"/>
        </w:rPr>
      </w:pPr>
      <w:r>
        <w:pict>
          <v:rect id="_x0000_s1484" style="position:absolute;margin-left:611.99pt;margin-top:0pt;mso-position-vertical-relative:page;mso-position-horizontal-relative:page;width:0.25pt;height:859pt;z-index:253622272;" o:allowincell="f" fillcolor="#000000" filled="true" stroked="false"/>
        </w:pict>
      </w:r>
      <w:r>
        <w:rPr>
          <w:rFonts w:ascii="Microsoft YaHei" w:hAnsi="Microsoft YaHei" w:eastAsia="Microsoft YaHei" w:cs="Microsoft YaHei"/>
          <w:sz w:val="18"/>
          <w:szCs w:val="18"/>
          <w:b/>
          <w:bCs/>
          <w:color w:val="A8A8A8"/>
          <w:spacing w:val="-2"/>
        </w:rPr>
        <w:t>67</w:t>
      </w:r>
      <w:r>
        <w:rPr>
          <w:rFonts w:ascii="Microsoft YaHei" w:hAnsi="Microsoft YaHei" w:eastAsia="Microsoft YaHei" w:cs="Microsoft YaHei"/>
          <w:sz w:val="18"/>
          <w:szCs w:val="18"/>
          <w:b/>
          <w:bCs/>
          <w:color w:val="A8A8A8"/>
          <w:spacing w:val="18"/>
        </w:rPr>
        <w:t xml:space="preserve">  </w:t>
      </w:r>
      <w:r>
        <w:rPr>
          <w:sz w:val="18"/>
          <w:szCs w:val="18"/>
          <w:position w:val="-4"/>
        </w:rPr>
        <w:drawing>
          <wp:inline distT="0" distB="0" distL="0" distR="0">
            <wp:extent cx="6350" cy="130175"/>
            <wp:effectExtent l="0" t="0" r="0" b="0"/>
            <wp:docPr id="692" name="IM 692"/>
            <wp:cNvGraphicFramePr/>
            <a:graphic>
              <a:graphicData uri="http://schemas.openxmlformats.org/drawingml/2006/picture">
                <pic:pic>
                  <pic:nvPicPr>
                    <pic:cNvPr id="692" name="IM 692"/>
                    <pic:cNvPicPr/>
                  </pic:nvPicPr>
                  <pic:blipFill>
                    <a:blip r:embed="rId329"/>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A8A8A8"/>
          <w:spacing w:val="26"/>
          <w:w w:val="101"/>
        </w:rPr>
        <w:t xml:space="preserve">  </w:t>
      </w:r>
      <w:r>
        <w:rPr>
          <w:rFonts w:ascii="Microsoft YaHei" w:hAnsi="Microsoft YaHei" w:eastAsia="Microsoft YaHei" w:cs="Microsoft YaHei"/>
          <w:sz w:val="18"/>
          <w:szCs w:val="18"/>
          <w:color w:val="A8A8A8"/>
          <w:spacing w:val="-2"/>
        </w:rPr>
        <w:t>新型储能助力能源转型</w:t>
      </w:r>
    </w:p>
    <w:p>
      <w:pPr>
        <w:pStyle w:val="BodyText"/>
        <w:spacing w:line="367" w:lineRule="auto"/>
        <w:rPr/>
      </w:pPr>
      <w:r/>
    </w:p>
    <w:p>
      <w:pPr>
        <w:ind w:left="357"/>
        <w:spacing w:before="91"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338D"/>
          <w:spacing w:val="-1"/>
        </w:rPr>
        <w:t>民营企业聚焦电化学储能赛道，电池业务布局最多</w:t>
      </w:r>
    </w:p>
    <w:p>
      <w:pPr>
        <w:ind w:left="340" w:right="2828" w:firstLine="21"/>
        <w:spacing w:before="229" w:line="218" w:lineRule="auto"/>
        <w:tabs>
          <w:tab w:val="left" w:pos="8447"/>
        </w:tabs>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电化学储能技术具有相对成熟、建设期短、成本相对低等优势</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，成为储能赛道</w:t>
      </w:r>
      <w:r>
        <w:rPr>
          <w:rFonts w:ascii="Microsoft YaHei" w:hAnsi="Microsoft YaHei" w:eastAsia="Microsoft YaHei" w:cs="Microsoft YaHei"/>
          <w:sz w:val="21"/>
          <w:szCs w:val="21"/>
          <w:spacing w:val="1"/>
        </w:rPr>
        <w:t>的热点，</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吸引大量民营企业入场储能赛道。对Wind上市公司进行整理，截至目前共有78家上市</w:t>
      </w:r>
      <w:r>
        <w:rPr>
          <w:rFonts w:ascii="Microsoft YaHei" w:hAnsi="Microsoft YaHei" w:eastAsia="Microsoft YaHei" w:cs="Microsoft YaHei"/>
          <w:sz w:val="21"/>
          <w:szCs w:val="21"/>
          <w:spacing w:val="1"/>
        </w:rPr>
        <w:t xml:space="preserve">    </w:t>
      </w:r>
      <w:r>
        <w:rPr>
          <w:rFonts w:ascii="Microsoft YaHei" w:hAnsi="Microsoft YaHei" w:eastAsia="Microsoft YaHei" w:cs="Microsoft YaHei"/>
          <w:sz w:val="21"/>
          <w:szCs w:val="21"/>
          <w:spacing w:val="3"/>
        </w:rPr>
        <w:t>民营企业布局电化学储能行业</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，业务范围包括电池（锂电池为主）</w:t>
      </w:r>
      <w:r>
        <w:rPr>
          <w:rFonts w:ascii="Microsoft YaHei" w:hAnsi="Microsoft YaHei" w:eastAsia="Microsoft YaHei" w:cs="Microsoft YaHei"/>
          <w:sz w:val="21"/>
          <w:szCs w:val="21"/>
          <w:spacing w:val="-37"/>
        </w:rPr>
        <w:t xml:space="preserve"> </w:t>
      </w:r>
      <w:r>
        <w:rPr>
          <w:rFonts w:ascii="Microsoft YaHei" w:hAnsi="Microsoft YaHei" w:eastAsia="Microsoft YaHei" w:cs="Microsoft YaHei"/>
          <w:sz w:val="21"/>
          <w:szCs w:val="21"/>
          <w:spacing w:val="3"/>
        </w:rPr>
        <w:t>、锂电材料</w:t>
      </w:r>
      <w:r>
        <w:rPr>
          <w:rFonts w:ascii="Microsoft YaHei" w:hAnsi="Microsoft YaHei" w:eastAsia="Microsoft YaHei" w:cs="Microsoft YaHei"/>
          <w:sz w:val="21"/>
          <w:szCs w:val="21"/>
          <w:spacing w:val="2"/>
        </w:rPr>
        <w:t>（主要</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是正极材料和负极材料）、储能系统等</w:t>
      </w:r>
      <w:r>
        <w:rPr>
          <w:rFonts w:ascii="Microsoft YaHei" w:hAnsi="Microsoft YaHei" w:eastAsia="Microsoft YaHei" w:cs="Microsoft YaHei"/>
          <w:sz w:val="13"/>
          <w:szCs w:val="13"/>
          <w:position w:val="6"/>
        </w:rPr>
        <w:t>61</w:t>
      </w:r>
      <w:r>
        <w:rPr>
          <w:rFonts w:ascii="Microsoft YaHei" w:hAnsi="Microsoft YaHei" w:eastAsia="Microsoft YaHei" w:cs="Microsoft YaHei"/>
          <w:sz w:val="21"/>
          <w:szCs w:val="21"/>
        </w:rPr>
        <w:t>。以锂电池为主体的电池是上市民营企业布局</w:t>
      </w:r>
      <w:r>
        <w:rPr>
          <w:rFonts w:ascii="Microsoft YaHei" w:hAnsi="Microsoft YaHei" w:eastAsia="Microsoft YaHei" w:cs="Microsoft YaHei"/>
          <w:sz w:val="21"/>
          <w:szCs w:val="21"/>
        </w:rPr>
        <w:tab/>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最多的赛道，达到45家，锂电材料和储能系统分别为19和13家</w:t>
      </w:r>
      <w:r>
        <w:rPr>
          <w:rFonts w:ascii="Microsoft YaHei" w:hAnsi="Microsoft YaHei" w:eastAsia="Microsoft YaHei" w:cs="Microsoft YaHei"/>
          <w:sz w:val="21"/>
          <w:szCs w:val="21"/>
          <w:spacing w:val="-2"/>
        </w:rPr>
        <w:t>（图 29）。储能成为电</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池企业新的增长极</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，例如宁德时代在年报中把储能列为三大业务之一</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，除了加大供应</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储能电芯外，还设立控股子公司进入电网侧储能。</w:t>
      </w:r>
    </w:p>
    <w:p>
      <w:pPr>
        <w:pStyle w:val="BodyText"/>
        <w:spacing w:line="280" w:lineRule="auto"/>
        <w:rPr/>
      </w:pPr>
      <w:r/>
    </w:p>
    <w:p>
      <w:pPr>
        <w:pStyle w:val="BodyText"/>
        <w:spacing w:line="280" w:lineRule="auto"/>
        <w:rPr/>
      </w:pPr>
      <w:r>
        <w:pict>
          <v:rect id="_x0000_s1486" style="position:absolute;margin-left:16.7428pt;margin-top:9.25592pt;mso-position-vertical-relative:text;mso-position-horizontal-relative:text;width:30.5pt;height:5pt;z-index:253623296;" fillcolor="#00338D" filled="true" stroked="false"/>
        </w:pict>
      </w:r>
      <w:r/>
    </w:p>
    <w:p>
      <w:pPr>
        <w:ind w:left="492"/>
        <w:spacing w:before="90" w:line="215" w:lineRule="auto"/>
        <w:rPr>
          <w:sz w:val="21"/>
          <w:szCs w:val="21"/>
        </w:rPr>
      </w:pPr>
      <w:r>
        <mc:AlternateContent xmlns:mc="http://schemas.openxmlformats.org/markup-compatibility/2006">
          <mc:Choice Requires="wps">
            <w:drawing>
              <wp:anchor distT="0" distB="0" distL="0" distR="0" simplePos="0" relativeHeight="253616128" behindDoc="1" locked="0" layoutInCell="1" allowOverlap="1">
                <wp:simplePos x="0" y="0"/>
                <wp:positionH relativeFrom="column">
                  <wp:posOffset>211109</wp:posOffset>
                </wp:positionH>
                <wp:positionV relativeFrom="paragraph">
                  <wp:posOffset>-18928</wp:posOffset>
                </wp:positionV>
                <wp:extent cx="6123940" cy="329565"/>
                <wp:effectExtent l="0" t="0" r="0" b="0"/>
                <wp:wrapNone/>
                <wp:docPr id="694" name="Rect 694"/>
                <wp:cNvGraphicFramePr/>
                <a:graphic>
                  <a:graphicData uri="http://schemas.microsoft.com/office/word/2010/wordprocessingShape">
                    <wps:wsp>
                      <wps:cNvPr id="694" name="Rect 694"/>
                      <wps:cNvSpPr/>
                      <wps:spPr>
                        <a:xfrm>
                          <a:off x="211109" y="-18928"/>
                          <a:ext cx="6123940" cy="329565"/>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488" style="position:absolute;margin-left:16.6228pt;margin-top:-1.49042pt;mso-position-vertical-relative:text;mso-position-horizontal-relative:text;width:482.2pt;height:25.95pt;z-index:-249700352;" fillcolor="#F1F1F1" filled="true" stroked="false"/>
            </w:pict>
          </mc:Fallback>
        </mc:AlternateContent>
      </w:r>
      <w:r>
        <w:pict>
          <v:shape id="_x0000_s1490" style="position:absolute;margin-left:61.7648pt;margin-top:5.25823pt;mso-position-vertical-relative:text;mso-position-horizontal-relative:text;width:128.25pt;height:15.55pt;z-index:253620224;" filled="false" stroked="false" type="#_x0000_t202">
            <v:fill on="false"/>
            <v:stroke on="false"/>
            <v:path/>
            <v:imagedata o:title=""/>
            <o:lock v:ext="edit" aspectratio="false"/>
            <v:textbox inset="0mm,0mm,0mm,0mm">
              <w:txbxContent>
                <w:p>
                  <w:pPr>
                    <w:ind w:left="20"/>
                    <w:spacing w:before="2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338D"/>
                    </w:rPr>
                    <w:t>上市民营企业储能赛道分布</w:t>
                  </w:r>
                </w:p>
              </w:txbxContent>
            </v:textbox>
          </v:shape>
        </w:pict>
      </w:r>
      <w:r>
        <w:rPr>
          <w:rFonts w:ascii="Microsoft YaHei" w:hAnsi="Microsoft YaHei" w:eastAsia="Microsoft YaHei" w:cs="Microsoft YaHei"/>
          <w:sz w:val="21"/>
          <w:szCs w:val="21"/>
          <w:b/>
          <w:bCs/>
          <w:color w:val="00338D"/>
          <w:spacing w:val="-11"/>
        </w:rPr>
        <w:t>图</w:t>
      </w:r>
      <w:r>
        <w:rPr>
          <w:rFonts w:ascii="Microsoft YaHei" w:hAnsi="Microsoft YaHei" w:eastAsia="Microsoft YaHei" w:cs="Microsoft YaHei"/>
          <w:sz w:val="21"/>
          <w:szCs w:val="21"/>
          <w:b/>
          <w:bCs/>
          <w:color w:val="00338D"/>
          <w:spacing w:val="-7"/>
        </w:rPr>
        <w:t xml:space="preserve"> </w:t>
      </w:r>
      <w:r>
        <w:rPr>
          <w:rFonts w:ascii="Microsoft YaHei" w:hAnsi="Microsoft YaHei" w:eastAsia="Microsoft YaHei" w:cs="Microsoft YaHei"/>
          <w:sz w:val="21"/>
          <w:szCs w:val="21"/>
          <w:b/>
          <w:bCs/>
          <w:color w:val="00338D"/>
          <w:spacing w:val="-11"/>
        </w:rPr>
        <w:t>29</w:t>
      </w:r>
      <w:r>
        <w:rPr>
          <w:rFonts w:ascii="Microsoft YaHei" w:hAnsi="Microsoft YaHei" w:eastAsia="Microsoft YaHei" w:cs="Microsoft YaHei"/>
          <w:sz w:val="21"/>
          <w:szCs w:val="21"/>
          <w:b/>
          <w:bCs/>
          <w:color w:val="00338D"/>
          <w:spacing w:val="13"/>
        </w:rPr>
        <w:t xml:space="preserve"> </w:t>
      </w:r>
      <w:r>
        <w:rPr>
          <w:sz w:val="21"/>
          <w:szCs w:val="21"/>
          <w:position w:val="-5"/>
        </w:rPr>
        <w:drawing>
          <wp:inline distT="0" distB="0" distL="0" distR="0">
            <wp:extent cx="12700" cy="175666"/>
            <wp:effectExtent l="0" t="0" r="0" b="0"/>
            <wp:docPr id="696" name="IM 696"/>
            <wp:cNvGraphicFramePr/>
            <a:graphic>
              <a:graphicData uri="http://schemas.openxmlformats.org/drawingml/2006/picture">
                <pic:pic>
                  <pic:nvPicPr>
                    <pic:cNvPr id="696" name="IM 696"/>
                    <pic:cNvPicPr/>
                  </pic:nvPicPr>
                  <pic:blipFill>
                    <a:blip r:embed="rId330"/>
                    <a:stretch>
                      <a:fillRect/>
                    </a:stretch>
                  </pic:blipFill>
                  <pic:spPr>
                    <a:xfrm rot="0">
                      <a:off x="0" y="0"/>
                      <a:ext cx="12700" cy="175666"/>
                    </a:xfrm>
                    <a:prstGeom prst="rect">
                      <a:avLst/>
                    </a:prstGeom>
                  </pic:spPr>
                </pic:pic>
              </a:graphicData>
            </a:graphic>
          </wp:inline>
        </w:drawing>
      </w:r>
    </w:p>
    <w:p>
      <w:pPr>
        <w:pStyle w:val="BodyText"/>
        <w:spacing w:line="365" w:lineRule="auto"/>
        <w:rPr/>
      </w:pPr>
      <w:r>
        <w:pict>
          <v:group id="_x0000_s1492" style="position:absolute;margin-left:110.463pt;margin-top:10.9488pt;mso-position-vertical-relative:text;mso-position-horizontal-relative:text;width:194.8pt;height:69.25pt;z-index:253618176;" filled="false" stroked="false" coordsize="3896,1385" coordorigin="0,0">
            <v:shape id="_x0000_s1494" style="position:absolute;left:2017;top:0;width:1878;height:1385;" fillcolor="#00B8F5" filled="true" stroked="false" coordsize="1878,1385" coordorigin="0,0" path="m0,592c425,-14,1253,-177,1877,222l1131,1384l0,592xe"/>
            <v:shape id="_x0000_s1496" style="position:absolute;left:0;top:355;width:2018;height:10;" filled="false" strokecolor="#7F7F7F" strokeweight="0.50pt" coordsize="2018,10" coordorigin="0,0" path="m0,5l2018,5e">
              <v:stroke joinstyle="miter"/>
            </v:shape>
          </v:group>
        </w:pict>
      </w:r>
      <w:r>
        <w:pict>
          <v:group id="_x0000_s1498" style="position:absolute;margin-left:205.342pt;margin-top:22.0741pt;mso-position-vertical-relative:text;mso-position-horizontal-relative:text;width:131.8pt;height:127.35pt;z-index:253619200;" filled="false" stroked="false" coordsize="2636,2546" coordorigin="0,0">
            <v:shape id="_x0000_s1500" style="position:absolute;left:51;top:0;width:2585;height:2546;" fillcolor="#00338D" filled="true" stroked="false" coordsize="2585,2546" coordorigin="0,0" path="m1946,0c2588,412,2775,1266,2363,1908c1951,2550,1096,2736,454,2324c266,2204,110,2039,0,1844l1200,1162l1946,0xe"/>
            <v:shape id="_x0000_s1502" style="position:absolute;left:0;top:1162;width:1251;height:683;" fillcolor="#DADADA" filled="true" stroked="false" coordsize="1251,683" coordorigin="0,0" path="m51,682m51,682c32,650,15,617,0,583l1251,0l51,682xe"/>
          </v:group>
        </w:pict>
      </w:r>
      <w:r/>
    </w:p>
    <w:p>
      <w:pPr>
        <w:ind w:left="843"/>
        <w:spacing w:before="104" w:line="179" w:lineRule="auto"/>
        <w:rPr>
          <w:rFonts w:ascii="Trebuchet MS" w:hAnsi="Trebuchet MS" w:eastAsia="Trebuchet MS" w:cs="Trebuchet MS"/>
          <w:sz w:val="36"/>
          <w:szCs w:val="36"/>
        </w:rPr>
      </w:pPr>
      <w:r>
        <w:rPr>
          <w:rFonts w:ascii="Microsoft YaHei" w:hAnsi="Microsoft YaHei" w:eastAsia="Microsoft YaHei" w:cs="Microsoft YaHei"/>
          <w:sz w:val="21"/>
          <w:szCs w:val="21"/>
          <w:color w:val="00B8F5"/>
          <w:spacing w:val="-1"/>
        </w:rPr>
        <w:t>锂电材料</w:t>
      </w:r>
      <w:r>
        <w:rPr>
          <w:rFonts w:ascii="Microsoft YaHei" w:hAnsi="Microsoft YaHei" w:eastAsia="Microsoft YaHei" w:cs="Microsoft YaHei"/>
          <w:sz w:val="21"/>
          <w:szCs w:val="21"/>
          <w:color w:val="00B8F5"/>
          <w:spacing w:val="20"/>
        </w:rPr>
        <w:t xml:space="preserve"> </w:t>
      </w:r>
      <w:r>
        <w:rPr>
          <w:rFonts w:ascii="Trebuchet MS" w:hAnsi="Trebuchet MS" w:eastAsia="Trebuchet MS" w:cs="Trebuchet MS"/>
          <w:sz w:val="36"/>
          <w:szCs w:val="36"/>
          <w:b/>
          <w:bCs/>
          <w:color w:val="00B8F5"/>
          <w:spacing w:val="-49"/>
          <w:position w:val="-1"/>
        </w:rPr>
        <w:t>19</w:t>
      </w:r>
    </w:p>
    <w:p>
      <w:pPr>
        <w:pStyle w:val="BodyText"/>
        <w:spacing w:line="405" w:lineRule="auto"/>
        <w:rPr/>
      </w:pPr>
      <w:r>
        <w:pict>
          <v:shape id="_x0000_s1504" style="position:absolute;margin-left:198.631pt;margin-top:1.01398pt;mso-position-vertical-relative:text;mso-position-horizontal-relative:text;width:69.35pt;height:68.8pt;z-index:253617152;" fillcolor="#00C0AE" filled="true" stroked="false" coordsize="1386,1376" coordorigin="0,0" path="m134,1375c-74,928,-28,404,254,0l1386,792l134,1375xe"/>
        </w:pict>
      </w:r>
      <w:r/>
    </w:p>
    <w:p>
      <w:pPr>
        <w:ind w:left="841"/>
        <w:spacing w:before="105" w:line="179" w:lineRule="auto"/>
        <w:rPr>
          <w:rFonts w:ascii="Trebuchet MS" w:hAnsi="Trebuchet MS" w:eastAsia="Trebuchet MS" w:cs="Trebuchet MS"/>
          <w:sz w:val="36"/>
          <w:szCs w:val="36"/>
        </w:rPr>
      </w:pPr>
      <w:r>
        <w:pict>
          <v:shape id="_x0000_s1506" style="position:absolute;margin-left:110.713pt;margin-top:9.83377pt;mso-position-vertical-relative:text;mso-position-horizontal-relative:text;width:87.65pt;height:0.5pt;z-index:253625344;" filled="false" strokecolor="#7F7F7F" strokeweight="0.50pt" coordsize="1753,10" coordorigin="0,0" path="m0,5l1752,5e">
            <v:stroke joinstyle="miter"/>
          </v:shape>
        </w:pict>
      </w:r>
      <w:r>
        <w:pict>
          <v:shape id="_x0000_s1508" style="position:absolute;margin-left:342.793pt;margin-top:18.7137pt;mso-position-vertical-relative:text;mso-position-horizontal-relative:text;width:54.35pt;height:0.5pt;z-index:253628416;" filled="false" strokecolor="#7F7F7F" strokeweight="0.50pt" coordsize="1086,10" coordorigin="0,0" path="m0,5l1086,5e">
            <v:stroke joinstyle="miter"/>
          </v:shape>
        </w:pict>
      </w:r>
      <w:r>
        <w:pict>
          <v:shape id="_x0000_s1510" style="position:absolute;margin-left:401.96pt;margin-top:9.57797pt;mso-position-vertical-relative:text;mso-position-horizontal-relative:text;width:40.9pt;height:17.95pt;z-index:253621248;" filled="false" stroked="false" type="#_x0000_t202">
            <v:fill on="false"/>
            <v:stroke on="false"/>
            <v:path/>
            <v:imagedata o:title=""/>
            <o:lock v:ext="edit" aspectratio="false"/>
            <v:textbox inset="0mm,0mm,0mm,0mm">
              <w:txbxContent>
                <w:p>
                  <w:pPr>
                    <w:spacing w:before="20" w:line="179" w:lineRule="auto"/>
                    <w:jc w:val="right"/>
                    <w:rPr>
                      <w:rFonts w:ascii="Trebuchet MS" w:hAnsi="Trebuchet MS" w:eastAsia="Trebuchet MS" w:cs="Trebuchet MS"/>
                      <w:sz w:val="36"/>
                      <w:szCs w:val="36"/>
                    </w:rPr>
                  </w:pPr>
                  <w:r>
                    <w:rPr>
                      <w:rFonts w:ascii="Microsoft YaHei" w:hAnsi="Microsoft YaHei" w:eastAsia="Microsoft YaHei" w:cs="Microsoft YaHei"/>
                      <w:sz w:val="21"/>
                      <w:szCs w:val="21"/>
                      <w:color w:val="00338D"/>
                      <w:spacing w:val="-5"/>
                      <w:w w:val="96"/>
                      <w:position w:val="1"/>
                    </w:rPr>
                    <w:t>电池</w:t>
                  </w:r>
                  <w:r>
                    <w:rPr>
                      <w:rFonts w:ascii="Microsoft YaHei" w:hAnsi="Microsoft YaHei" w:eastAsia="Microsoft YaHei" w:cs="Microsoft YaHei"/>
                      <w:sz w:val="21"/>
                      <w:szCs w:val="21"/>
                      <w:color w:val="00338D"/>
                      <w:spacing w:val="54"/>
                      <w:position w:val="1"/>
                    </w:rPr>
                    <w:t xml:space="preserve"> </w:t>
                  </w:r>
                  <w:r>
                    <w:rPr>
                      <w:rFonts w:ascii="Trebuchet MS" w:hAnsi="Trebuchet MS" w:eastAsia="Trebuchet MS" w:cs="Trebuchet MS"/>
                      <w:sz w:val="36"/>
                      <w:szCs w:val="36"/>
                      <w:b/>
                      <w:bCs/>
                      <w:color w:val="00338D"/>
                      <w:spacing w:val="-29"/>
                      <w:w w:val="76"/>
                    </w:rPr>
                    <w:t>4</w:t>
                  </w:r>
                  <w:r>
                    <w:rPr>
                      <w:rFonts w:ascii="Trebuchet MS" w:hAnsi="Trebuchet MS" w:eastAsia="Trebuchet MS" w:cs="Trebuchet MS"/>
                      <w:sz w:val="36"/>
                      <w:szCs w:val="36"/>
                      <w:b/>
                      <w:bCs/>
                      <w:color w:val="00338D"/>
                      <w:spacing w:val="-25"/>
                      <w:w w:val="76"/>
                    </w:rPr>
                    <w:t>5</w:t>
                  </w:r>
                </w:p>
              </w:txbxContent>
            </v:textbox>
          </v:shape>
        </w:pict>
      </w:r>
      <w:r>
        <w:rPr>
          <w:rFonts w:ascii="Microsoft YaHei" w:hAnsi="Microsoft YaHei" w:eastAsia="Microsoft YaHei" w:cs="Microsoft YaHei"/>
          <w:sz w:val="21"/>
          <w:szCs w:val="21"/>
          <w:color w:val="00C0AE"/>
          <w:spacing w:val="-1"/>
        </w:rPr>
        <w:t>储能系统</w:t>
      </w:r>
      <w:r>
        <w:rPr>
          <w:rFonts w:ascii="Microsoft YaHei" w:hAnsi="Microsoft YaHei" w:eastAsia="Microsoft YaHei" w:cs="Microsoft YaHei"/>
          <w:sz w:val="21"/>
          <w:szCs w:val="21"/>
          <w:color w:val="00C0AE"/>
          <w:spacing w:val="21"/>
        </w:rPr>
        <w:t xml:space="preserve"> </w:t>
      </w:r>
      <w:r>
        <w:rPr>
          <w:rFonts w:ascii="Trebuchet MS" w:hAnsi="Trebuchet MS" w:eastAsia="Trebuchet MS" w:cs="Trebuchet MS"/>
          <w:sz w:val="36"/>
          <w:szCs w:val="36"/>
          <w:b/>
          <w:bCs/>
          <w:color w:val="00C0AE"/>
          <w:spacing w:val="-50"/>
          <w:position w:val="-1"/>
        </w:rPr>
        <w:t>13</w:t>
      </w:r>
    </w:p>
    <w:p>
      <w:pPr>
        <w:pStyle w:val="BodyText"/>
        <w:spacing w:line="245" w:lineRule="auto"/>
        <w:rPr/>
      </w:pPr>
      <w:r/>
    </w:p>
    <w:p>
      <w:pPr>
        <w:pStyle w:val="BodyText"/>
        <w:spacing w:line="246" w:lineRule="auto"/>
        <w:rPr/>
      </w:pPr>
      <w:r/>
    </w:p>
    <w:p>
      <w:pPr>
        <w:ind w:left="841"/>
        <w:spacing w:before="91" w:line="177" w:lineRule="auto"/>
        <w:rPr>
          <w:rFonts w:ascii="Microsoft YaHei" w:hAnsi="Microsoft YaHei" w:eastAsia="Microsoft YaHei" w:cs="Microsoft YaHei"/>
          <w:sz w:val="21"/>
          <w:szCs w:val="21"/>
        </w:rPr>
      </w:pPr>
      <w:r>
        <w:pict>
          <v:shape id="_x0000_s1512" style="position:absolute;margin-left:119.353pt;margin-top:8.40551pt;mso-position-vertical-relative:text;mso-position-horizontal-relative:text;width:79.1pt;height:0.5pt;z-index:253627392;" filled="false" strokecolor="#7F7F7F" strokeweight="0.50pt" coordsize="1581,10" coordorigin="0,0" path="m0,5l1581,5e">
            <v:stroke joinstyle="miter"/>
          </v:shape>
        </w:pict>
      </w:r>
      <w:r>
        <w:pict>
          <v:shape id="_x0000_s1514" style="position:absolute;margin-left:108.782pt;margin-top:1.33929pt;mso-position-vertical-relative:text;mso-position-horizontal-relative:text;width:6.35pt;height:18.25pt;z-index:253624320;" filled="false" stroked="false" type="#_x0000_t202">
            <v:fill on="false"/>
            <v:stroke on="false"/>
            <v:path/>
            <v:imagedata o:title=""/>
            <o:lock v:ext="edit" aspectratio="false"/>
            <v:textbox inset="0mm,0mm,0mm,0mm">
              <w:txbxContent>
                <w:p>
                  <w:pPr>
                    <w:spacing w:before="20" w:line="186" w:lineRule="auto"/>
                    <w:jc w:val="right"/>
                    <w:rPr>
                      <w:rFonts w:ascii="Trebuchet MS" w:hAnsi="Trebuchet MS" w:eastAsia="Trebuchet MS" w:cs="Trebuchet MS"/>
                      <w:sz w:val="36"/>
                      <w:szCs w:val="36"/>
                    </w:rPr>
                  </w:pPr>
                  <w:r>
                    <w:rPr>
                      <w:rFonts w:ascii="Trebuchet MS" w:hAnsi="Trebuchet MS" w:eastAsia="Trebuchet MS" w:cs="Trebuchet MS"/>
                      <w:sz w:val="36"/>
                      <w:szCs w:val="36"/>
                      <w:b/>
                      <w:bCs/>
                      <w:color w:val="7F7F7F"/>
                      <w:spacing w:val="-70"/>
                      <w:w w:val="73"/>
                    </w:rPr>
                    <w:t>1</w:t>
                  </w:r>
                </w:p>
              </w:txbxContent>
            </v:textbox>
          </v:shape>
        </w:pict>
      </w:r>
      <w:r>
        <w:rPr>
          <w:rFonts w:ascii="Microsoft YaHei" w:hAnsi="Microsoft YaHei" w:eastAsia="Microsoft YaHei" w:cs="Microsoft YaHei"/>
          <w:sz w:val="21"/>
          <w:szCs w:val="21"/>
          <w:color w:val="7F7F7F"/>
        </w:rPr>
        <w:t>储能电站投运</w:t>
      </w:r>
    </w:p>
    <w:p>
      <w:pPr>
        <w:pStyle w:val="BodyText"/>
        <w:spacing w:line="257" w:lineRule="auto"/>
        <w:rPr/>
      </w:pPr>
      <w:r/>
    </w:p>
    <w:p>
      <w:pPr>
        <w:pStyle w:val="BodyText"/>
        <w:spacing w:line="257" w:lineRule="auto"/>
        <w:rPr/>
      </w:pPr>
      <w:r/>
    </w:p>
    <w:p>
      <w:pPr>
        <w:ind w:left="342"/>
        <w:spacing w:before="64" w:line="186"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2"/>
        </w:rPr>
        <w:t>资料来源： </w:t>
      </w:r>
      <w:r>
        <w:rPr>
          <w:rFonts w:ascii="Microsoft YaHei" w:hAnsi="Microsoft YaHei" w:eastAsia="Microsoft YaHei" w:cs="Microsoft YaHei"/>
          <w:sz w:val="15"/>
          <w:szCs w:val="15"/>
        </w:rPr>
        <w:t>Wind</w:t>
      </w:r>
      <w:r>
        <w:rPr>
          <w:rFonts w:ascii="Microsoft YaHei" w:hAnsi="Microsoft YaHei" w:eastAsia="Microsoft YaHei" w:cs="Microsoft YaHei"/>
          <w:sz w:val="15"/>
          <w:szCs w:val="15"/>
          <w:spacing w:val="2"/>
        </w:rPr>
        <w:t>，毕马威分析</w:t>
      </w:r>
    </w:p>
    <w:p>
      <w:pPr>
        <w:ind w:left="340" w:right="2997"/>
        <w:spacing w:before="296" w:line="217"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储能赛道的火热还吸引了高端制造等其他行业的进入。</w:t>
      </w:r>
      <w:r>
        <w:rPr>
          <w:rFonts w:ascii="Microsoft YaHei" w:hAnsi="Microsoft YaHei" w:eastAsia="Microsoft YaHei" w:cs="Microsoft YaHei"/>
          <w:sz w:val="21"/>
          <w:szCs w:val="21"/>
          <w:spacing w:val="-38"/>
        </w:rPr>
        <w:t xml:space="preserve"> </w:t>
      </w:r>
      <w:r>
        <w:rPr>
          <w:rFonts w:ascii="Microsoft YaHei" w:hAnsi="Microsoft YaHei" w:eastAsia="Microsoft YaHei" w:cs="Microsoft YaHei"/>
          <w:sz w:val="21"/>
          <w:szCs w:val="21"/>
          <w:spacing w:val="1"/>
        </w:rPr>
        <w:t>根据高工储能研究，</w:t>
      </w:r>
      <w:r>
        <w:rPr>
          <w:rFonts w:ascii="Microsoft YaHei" w:hAnsi="Microsoft YaHei" w:eastAsia="Microsoft YaHei" w:cs="Microsoft YaHei"/>
          <w:sz w:val="21"/>
          <w:szCs w:val="21"/>
          <w:spacing w:val="-41"/>
        </w:rPr>
        <w:t xml:space="preserve"> </w:t>
      </w:r>
      <w:r>
        <w:rPr>
          <w:rFonts w:ascii="Microsoft YaHei" w:hAnsi="Microsoft YaHei" w:eastAsia="Microsoft YaHei" w:cs="Microsoft YaHei"/>
          <w:sz w:val="21"/>
          <w:szCs w:val="21"/>
          <w:spacing w:val="1"/>
        </w:rPr>
        <w:t>从2021年</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至2022年9月，上市公司新增储能业务占比达30%</w:t>
      </w:r>
      <w:r>
        <w:rPr>
          <w:rFonts w:ascii="Microsoft YaHei" w:hAnsi="Microsoft YaHei" w:eastAsia="Microsoft YaHei" w:cs="Microsoft YaHei"/>
          <w:sz w:val="13"/>
          <w:szCs w:val="13"/>
          <w:position w:val="6"/>
        </w:rPr>
        <w:t>62</w:t>
      </w:r>
      <w:r>
        <w:rPr>
          <w:rFonts w:ascii="Microsoft YaHei" w:hAnsi="Microsoft YaHei" w:eastAsia="Microsoft YaHei" w:cs="Microsoft YaHei"/>
          <w:sz w:val="21"/>
          <w:szCs w:val="21"/>
        </w:rPr>
        <w:t>。小米、华为等企业增设</w:t>
      </w:r>
      <w:r>
        <w:rPr>
          <w:rFonts w:ascii="Microsoft YaHei" w:hAnsi="Microsoft YaHei" w:eastAsia="Microsoft YaHei" w:cs="Microsoft YaHei"/>
          <w:sz w:val="21"/>
          <w:szCs w:val="21"/>
          <w:spacing w:val="-1"/>
        </w:rPr>
        <w:t>部门聚焦</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储能行业发展</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，美的集团、格力集团等通过收购新能源企业</w:t>
      </w:r>
      <w:r>
        <w:rPr>
          <w:rFonts w:ascii="Microsoft YaHei" w:hAnsi="Microsoft YaHei" w:eastAsia="Microsoft YaHei" w:cs="Microsoft YaHei"/>
          <w:sz w:val="21"/>
          <w:szCs w:val="21"/>
          <w:spacing w:val="2"/>
        </w:rPr>
        <w:t>入局</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，三一重工等成立锂</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电池公司布局储能行业。</w:t>
      </w:r>
    </w:p>
    <w:p>
      <w:pPr>
        <w:pStyle w:val="BodyText"/>
        <w:spacing w:line="259" w:lineRule="auto"/>
        <w:rPr/>
      </w:pPr>
      <w:r/>
    </w:p>
    <w:p>
      <w:pPr>
        <w:pStyle w:val="BodyText"/>
        <w:spacing w:line="259" w:lineRule="auto"/>
        <w:rPr/>
      </w:pPr>
      <w:r>
        <w:pict>
          <v:shape id="_x0000_s1516" style="position:absolute;margin-left:16.8728pt;margin-top:4.88776pt;mso-position-vertical-relative:text;mso-position-horizontal-relative:text;width:81.3pt;height:0.5pt;z-index:253626368;" filled="false" strokecolor="#000000" strokeweight="0.50pt" coordsize="1626,10" coordorigin="0,0" path="m0,5l1625,5e">
            <v:stroke joinstyle="miter"/>
          </v:shape>
        </w:pict>
      </w:r>
      <w:r/>
    </w:p>
    <w:p>
      <w:pPr>
        <w:ind w:left="339" w:right="3142"/>
        <w:spacing w:before="56" w:line="183"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8"/>
          <w:position w:val="4"/>
        </w:rPr>
        <w:t>65 </w:t>
      </w:r>
      <w:r>
        <w:rPr>
          <w:rFonts w:ascii="Microsoft YaHei" w:hAnsi="Microsoft YaHei" w:eastAsia="Microsoft YaHei" w:cs="Microsoft YaHei"/>
          <w:sz w:val="13"/>
          <w:szCs w:val="13"/>
          <w:spacing w:val="8"/>
        </w:rPr>
        <w:t>本文仅统计主营业务是储能产业链相关的上市公司，不包括跨界进入储能</w:t>
      </w:r>
      <w:r>
        <w:rPr>
          <w:rFonts w:ascii="Microsoft YaHei" w:hAnsi="Microsoft YaHei" w:eastAsia="Microsoft YaHei" w:cs="Microsoft YaHei"/>
          <w:sz w:val="13"/>
          <w:szCs w:val="13"/>
          <w:spacing w:val="7"/>
        </w:rPr>
        <w:t>的上市公司，</w:t>
      </w:r>
      <w:r>
        <w:rPr>
          <w:rFonts w:ascii="Microsoft YaHei" w:hAnsi="Microsoft YaHei" w:eastAsia="Microsoft YaHei" w:cs="Microsoft YaHei"/>
          <w:sz w:val="13"/>
          <w:szCs w:val="13"/>
          <w:spacing w:val="32"/>
        </w:rPr>
        <w:t xml:space="preserve"> </w:t>
      </w:r>
      <w:r>
        <w:rPr>
          <w:rFonts w:ascii="Microsoft YaHei" w:hAnsi="Microsoft YaHei" w:eastAsia="Microsoft YaHei" w:cs="Microsoft YaHei"/>
          <w:sz w:val="13"/>
          <w:szCs w:val="13"/>
          <w:spacing w:val="7"/>
        </w:rPr>
        <w:t>例如美的集团、格力、小米等，也不包</w:t>
      </w:r>
      <w:r>
        <w:rPr>
          <w:rFonts w:ascii="Microsoft YaHei" w:hAnsi="Microsoft YaHei" w:eastAsia="Microsoft YaHei" w:cs="Microsoft YaHei"/>
          <w:sz w:val="13"/>
          <w:szCs w:val="13"/>
        </w:rPr>
        <w:t xml:space="preserve"> </w:t>
      </w:r>
      <w:r>
        <w:rPr>
          <w:rFonts w:ascii="Microsoft YaHei" w:hAnsi="Microsoft YaHei" w:eastAsia="Microsoft YaHei" w:cs="Microsoft YaHei"/>
          <w:sz w:val="13"/>
          <w:szCs w:val="13"/>
          <w:spacing w:val="7"/>
        </w:rPr>
        <w:t>括锂矿等为储能提供原材料的上市公司。</w:t>
      </w:r>
    </w:p>
    <w:p>
      <w:pPr>
        <w:ind w:left="339"/>
        <w:spacing w:before="59" w:line="192"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6"/>
          <w:position w:val="4"/>
        </w:rPr>
        <w:t>66 </w:t>
      </w:r>
      <w:r>
        <w:rPr>
          <w:rFonts w:ascii="Microsoft YaHei" w:hAnsi="Microsoft YaHei" w:eastAsia="Microsoft YaHei" w:cs="Microsoft YaHei"/>
          <w:sz w:val="13"/>
          <w:szCs w:val="13"/>
          <w:spacing w:val="6"/>
        </w:rPr>
        <w:t>2022年储能上市公司总市值</w:t>
      </w:r>
      <w:r>
        <w:rPr>
          <w:rFonts w:ascii="Microsoft YaHei" w:hAnsi="Microsoft YaHei" w:eastAsia="Microsoft YaHei" w:cs="Microsoft YaHei"/>
          <w:sz w:val="13"/>
          <w:szCs w:val="13"/>
        </w:rPr>
        <w:t>TOP</w:t>
      </w:r>
      <w:r>
        <w:rPr>
          <w:rFonts w:ascii="Microsoft YaHei" w:hAnsi="Microsoft YaHei" w:eastAsia="Microsoft YaHei" w:cs="Microsoft YaHei"/>
          <w:sz w:val="13"/>
          <w:szCs w:val="13"/>
          <w:spacing w:val="6"/>
        </w:rPr>
        <w:t>100出炉，数字能源网，</w:t>
      </w:r>
      <w:r>
        <w:rPr>
          <w:rFonts w:ascii="Microsoft YaHei" w:hAnsi="Microsoft YaHei" w:eastAsia="Microsoft YaHei" w:cs="Microsoft YaHei"/>
          <w:sz w:val="13"/>
          <w:szCs w:val="13"/>
          <w:spacing w:val="5"/>
        </w:rPr>
        <w:t xml:space="preserve">  2022年8月22日， </w:t>
      </w:r>
      <w:hyperlink w:history="true" r:id="rId331">
        <w:r>
          <w:rPr>
            <w:rFonts w:ascii="Microsoft YaHei" w:hAnsi="Microsoft YaHei" w:eastAsia="Microsoft YaHei" w:cs="Microsoft YaHei"/>
            <w:sz w:val="13"/>
            <w:szCs w:val="13"/>
          </w:rPr>
          <w:t>http</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de</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escn</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com</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cn</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news</w:t>
        </w:r>
        <w:r>
          <w:rPr>
            <w:rFonts w:ascii="Microsoft YaHei" w:hAnsi="Microsoft YaHei" w:eastAsia="Microsoft YaHei" w:cs="Microsoft YaHei"/>
            <w:sz w:val="13"/>
            <w:szCs w:val="13"/>
            <w:spacing w:val="5"/>
          </w:rPr>
          <w:t>/</w:t>
        </w:r>
        <w:r>
          <w:rPr>
            <w:rFonts w:ascii="Microsoft YaHei" w:hAnsi="Microsoft YaHei" w:eastAsia="Microsoft YaHei" w:cs="Microsoft YaHei"/>
            <w:sz w:val="13"/>
            <w:szCs w:val="13"/>
          </w:rPr>
          <w:t>show</w:t>
        </w:r>
        <w:r>
          <w:rPr>
            <w:rFonts w:ascii="Microsoft YaHei" w:hAnsi="Microsoft YaHei" w:eastAsia="Microsoft YaHei" w:cs="Microsoft YaHei"/>
            <w:sz w:val="13"/>
            <w:szCs w:val="13"/>
            <w:spacing w:val="5"/>
          </w:rPr>
          <w:t>-1456093.</w:t>
        </w:r>
        <w:r>
          <w:rPr>
            <w:rFonts w:ascii="Microsoft YaHei" w:hAnsi="Microsoft YaHei" w:eastAsia="Microsoft YaHei" w:cs="Microsoft YaHei"/>
            <w:sz w:val="13"/>
            <w:szCs w:val="13"/>
          </w:rPr>
          <w:t>html</w:t>
        </w:r>
      </w:hyperlink>
      <w:r>
        <w:rPr>
          <w:rFonts w:ascii="Microsoft YaHei" w:hAnsi="Microsoft YaHei" w:eastAsia="Microsoft YaHei" w:cs="Microsoft YaHei"/>
          <w:sz w:val="13"/>
          <w:szCs w:val="13"/>
          <w:spacing w:val="5"/>
        </w:rPr>
        <w:t>。</w:t>
      </w:r>
    </w:p>
    <w:p>
      <w:pPr>
        <w:pStyle w:val="BodyText"/>
        <w:spacing w:line="377" w:lineRule="auto"/>
        <w:rPr/>
      </w:pPr>
      <w:r/>
    </w:p>
    <w:p>
      <w:pPr>
        <w:ind w:firstLine="332"/>
        <w:spacing w:before="1" w:line="4884" w:lineRule="exact"/>
        <w:rPr/>
      </w:pPr>
      <w:r>
        <w:rPr>
          <w:position w:val="-97"/>
        </w:rPr>
        <w:drawing>
          <wp:inline distT="0" distB="0" distL="0" distR="0">
            <wp:extent cx="6123430" cy="3101582"/>
            <wp:effectExtent l="0" t="0" r="0" b="0"/>
            <wp:docPr id="698" name="IM 698"/>
            <wp:cNvGraphicFramePr/>
            <a:graphic>
              <a:graphicData uri="http://schemas.openxmlformats.org/drawingml/2006/picture">
                <pic:pic>
                  <pic:nvPicPr>
                    <pic:cNvPr id="698" name="IM 698"/>
                    <pic:cNvPicPr/>
                  </pic:nvPicPr>
                  <pic:blipFill>
                    <a:blip r:embed="rId332"/>
                    <a:stretch>
                      <a:fillRect/>
                    </a:stretch>
                  </pic:blipFill>
                  <pic:spPr>
                    <a:xfrm rot="0">
                      <a:off x="0" y="0"/>
                      <a:ext cx="6123430" cy="3101582"/>
                    </a:xfrm>
                    <a:prstGeom prst="rect">
                      <a:avLst/>
                    </a:prstGeom>
                  </pic:spPr>
                </pic:pic>
              </a:graphicData>
            </a:graphic>
          </wp:inline>
        </w:drawing>
      </w:r>
    </w:p>
    <w:p>
      <w:pPr>
        <w:ind w:left="837" w:right="1241" w:hanging="411"/>
        <w:spacing w:before="230"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968" w:header="0" w:footer="0" w:gutter="0"/>
        </w:sectPr>
        <w:rPr>
          <w:rFonts w:ascii="Microsoft YaHei" w:hAnsi="Microsoft YaHei" w:eastAsia="Microsoft YaHei" w:cs="Microsoft YaHei"/>
          <w:sz w:val="11"/>
          <w:szCs w:val="11"/>
        </w:rPr>
      </w:pPr>
    </w:p>
    <w:p>
      <w:pPr>
        <w:ind w:left="8058"/>
        <w:spacing w:before="314" w:line="193"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A8A8A8"/>
          <w:spacing w:val="-1"/>
        </w:rPr>
        <w:t>新型储能助力能源转型</w:t>
      </w:r>
      <w:r>
        <w:rPr>
          <w:rFonts w:ascii="Microsoft YaHei" w:hAnsi="Microsoft YaHei" w:eastAsia="Microsoft YaHei" w:cs="Microsoft YaHei"/>
          <w:sz w:val="18"/>
          <w:szCs w:val="18"/>
          <w:color w:val="A8A8A8"/>
          <w:spacing w:val="25"/>
        </w:rPr>
        <w:t xml:space="preserve">  </w:t>
      </w:r>
      <w:r>
        <w:rPr>
          <w:sz w:val="18"/>
          <w:szCs w:val="18"/>
          <w:position w:val="-4"/>
        </w:rPr>
        <w:drawing>
          <wp:inline distT="0" distB="0" distL="0" distR="0">
            <wp:extent cx="6350" cy="130175"/>
            <wp:effectExtent l="0" t="0" r="0" b="0"/>
            <wp:docPr id="700" name="IM 700"/>
            <wp:cNvGraphicFramePr/>
            <a:graphic>
              <a:graphicData uri="http://schemas.openxmlformats.org/drawingml/2006/picture">
                <pic:pic>
                  <pic:nvPicPr>
                    <pic:cNvPr id="700" name="IM 700"/>
                    <pic:cNvPicPr/>
                  </pic:nvPicPr>
                  <pic:blipFill>
                    <a:blip r:embed="rId333"/>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spacing w:val="17"/>
          <w:w w:val="101"/>
        </w:rPr>
        <w:t xml:space="preserve">  </w:t>
      </w:r>
      <w:r>
        <w:rPr>
          <w:rFonts w:ascii="Microsoft YaHei" w:hAnsi="Microsoft YaHei" w:eastAsia="Microsoft YaHei" w:cs="Microsoft YaHei"/>
          <w:sz w:val="18"/>
          <w:szCs w:val="18"/>
          <w:b/>
          <w:bCs/>
          <w:color w:val="A8A8A8"/>
          <w:spacing w:val="-1"/>
        </w:rPr>
        <w:t>68</w:t>
      </w:r>
    </w:p>
    <w:p>
      <w:pPr>
        <w:ind w:left="421"/>
        <w:spacing w:before="421" w:line="179" w:lineRule="auto"/>
        <w:outlineLvl w:val="0"/>
        <w:rPr>
          <w:rFonts w:ascii="Microsoft YaHei" w:hAnsi="Microsoft YaHei" w:eastAsia="Microsoft YaHei" w:cs="Microsoft YaHei"/>
          <w:sz w:val="72"/>
          <w:szCs w:val="72"/>
        </w:rPr>
      </w:pPr>
      <w:r>
        <w:rPr>
          <w:rFonts w:ascii="Microsoft YaHei" w:hAnsi="Microsoft YaHei" w:eastAsia="Microsoft YaHei" w:cs="Microsoft YaHei"/>
          <w:sz w:val="72"/>
          <w:szCs w:val="72"/>
          <w:b/>
          <w:bCs/>
          <w:color w:val="00338D"/>
          <w:spacing w:val="-2"/>
        </w:rPr>
        <w:t>全球储能行业融资</w:t>
      </w:r>
    </w:p>
    <w:p>
      <w:pPr>
        <w:ind w:left="389" w:right="3002"/>
        <w:spacing w:before="191" w:line="221" w:lineRule="auto"/>
        <w:jc w:val="both"/>
        <w:rPr>
          <w:rFonts w:ascii="Microsoft YaHei" w:hAnsi="Microsoft YaHei" w:eastAsia="Microsoft YaHei" w:cs="Microsoft YaHei"/>
          <w:sz w:val="21"/>
          <w:szCs w:val="21"/>
        </w:rPr>
      </w:pPr>
      <w:r>
        <w:pict>
          <v:rect id="_x0000_s1518" style="position:absolute;margin-left:19.0816pt;margin-top:80.0928pt;mso-position-vertical-relative:text;mso-position-horizontal-relative:text;width:30.5pt;height:5pt;z-index:253662208;" fillcolor="#00338D" filled="true" stroked="false"/>
        </w:pict>
      </w:r>
      <w:r>
        <w:rPr>
          <w:rFonts w:ascii="Microsoft YaHei" w:hAnsi="Microsoft YaHei" w:eastAsia="Microsoft YaHei" w:cs="Microsoft YaHei"/>
          <w:sz w:val="21"/>
          <w:szCs w:val="21"/>
          <w:spacing w:val="3"/>
        </w:rPr>
        <w:t>近年来全球主要国家和地区积极推进绿色转型</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，减少碳</w:t>
      </w:r>
      <w:r>
        <w:rPr>
          <w:rFonts w:ascii="Microsoft YaHei" w:hAnsi="Microsoft YaHei" w:eastAsia="Microsoft YaHei" w:cs="Microsoft YaHei"/>
          <w:sz w:val="21"/>
          <w:szCs w:val="21"/>
          <w:spacing w:val="2"/>
        </w:rPr>
        <w:t>排放</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，风电、光伏等装新能源</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装机量的增加</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1"/>
        </w:rPr>
        <w:t>，叠加出台储能补贴政策，全球储能融资交易持续增加。</w:t>
      </w:r>
      <w:r>
        <w:rPr>
          <w:rFonts w:ascii="Microsoft YaHei" w:hAnsi="Microsoft YaHei" w:eastAsia="Microsoft YaHei" w:cs="Microsoft YaHei"/>
          <w:sz w:val="21"/>
          <w:szCs w:val="21"/>
          <w:spacing w:val="-40"/>
        </w:rPr>
        <w:t xml:space="preserve"> </w:t>
      </w:r>
      <w:r>
        <w:rPr>
          <w:rFonts w:ascii="Microsoft YaHei" w:hAnsi="Microsoft YaHei" w:eastAsia="Microsoft YaHei" w:cs="Microsoft YaHei"/>
          <w:sz w:val="21"/>
          <w:szCs w:val="21"/>
          <w:spacing w:val="1"/>
        </w:rPr>
        <w:t>2021年全</w:t>
      </w:r>
      <w:r>
        <w:rPr>
          <w:rFonts w:ascii="Microsoft YaHei" w:hAnsi="Microsoft YaHei" w:eastAsia="Microsoft YaHei" w:cs="Microsoft YaHei"/>
          <w:sz w:val="21"/>
          <w:szCs w:val="21"/>
        </w:rPr>
        <w:t>球储 </w:t>
      </w:r>
      <w:r>
        <w:rPr>
          <w:rFonts w:ascii="Microsoft YaHei" w:hAnsi="Microsoft YaHei" w:eastAsia="Microsoft YaHei" w:cs="Microsoft YaHei"/>
          <w:sz w:val="21"/>
          <w:szCs w:val="21"/>
          <w:spacing w:val="-1"/>
        </w:rPr>
        <w:t>能融资金额同比增长30%</w:t>
      </w:r>
      <w:r>
        <w:rPr>
          <w:rFonts w:ascii="Microsoft YaHei" w:hAnsi="Microsoft YaHei" w:eastAsia="Microsoft YaHei" w:cs="Microsoft YaHei"/>
          <w:sz w:val="21"/>
          <w:szCs w:val="21"/>
          <w:spacing w:val="-15"/>
        </w:rPr>
        <w:t xml:space="preserve"> </w:t>
      </w:r>
      <w:r>
        <w:rPr>
          <w:rFonts w:ascii="Microsoft YaHei" w:hAnsi="Microsoft YaHei" w:eastAsia="Microsoft YaHei" w:cs="Microsoft YaHei"/>
          <w:sz w:val="21"/>
          <w:szCs w:val="21"/>
          <w:spacing w:val="-1"/>
        </w:rPr>
        <w:t>，2022年延续之前的高增长，全年储能融资63亿美元，</w:t>
      </w:r>
      <w:r>
        <w:rPr>
          <w:rFonts w:ascii="Microsoft YaHei" w:hAnsi="Microsoft YaHei" w:eastAsia="Microsoft YaHei" w:cs="Microsoft YaHei"/>
          <w:sz w:val="21"/>
          <w:szCs w:val="21"/>
          <w:spacing w:val="-31"/>
        </w:rPr>
        <w:t xml:space="preserve"> </w:t>
      </w:r>
      <w:r>
        <w:rPr>
          <w:rFonts w:ascii="Microsoft YaHei" w:hAnsi="Microsoft YaHei" w:eastAsia="Microsoft YaHei" w:cs="Microsoft YaHei"/>
          <w:sz w:val="21"/>
          <w:szCs w:val="21"/>
          <w:spacing w:val="-1"/>
        </w:rPr>
        <w:t>同比</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增加94%；融资数量239笔，同比增加10%</w:t>
      </w:r>
      <w:r>
        <w:rPr>
          <w:rFonts w:ascii="Microsoft YaHei" w:hAnsi="Microsoft YaHei" w:eastAsia="Microsoft YaHei" w:cs="Microsoft YaHei"/>
          <w:sz w:val="13"/>
          <w:szCs w:val="13"/>
          <w:spacing w:val="-2"/>
          <w:position w:val="6"/>
        </w:rPr>
        <w:t>67</w:t>
      </w:r>
      <w:r>
        <w:rPr>
          <w:rFonts w:ascii="Microsoft YaHei" w:hAnsi="Microsoft YaHei" w:eastAsia="Microsoft YaHei" w:cs="Microsoft YaHei"/>
          <w:sz w:val="13"/>
          <w:szCs w:val="13"/>
          <w:spacing w:val="24"/>
          <w:w w:val="101"/>
          <w:position w:val="6"/>
        </w:rPr>
        <w:t xml:space="preserve"> </w:t>
      </w:r>
      <w:r>
        <w:rPr>
          <w:rFonts w:ascii="Microsoft YaHei" w:hAnsi="Microsoft YaHei" w:eastAsia="Microsoft YaHei" w:cs="Microsoft YaHei"/>
          <w:sz w:val="21"/>
          <w:szCs w:val="21"/>
          <w:spacing w:val="-3"/>
        </w:rPr>
        <w:t>(图</w:t>
      </w:r>
      <w:r>
        <w:rPr>
          <w:rFonts w:ascii="Microsoft YaHei" w:hAnsi="Microsoft YaHei" w:eastAsia="Microsoft YaHei" w:cs="Microsoft YaHei"/>
          <w:sz w:val="21"/>
          <w:szCs w:val="21"/>
          <w:spacing w:val="-13"/>
        </w:rPr>
        <w:t xml:space="preserve"> </w:t>
      </w:r>
      <w:r>
        <w:rPr>
          <w:rFonts w:ascii="Microsoft YaHei" w:hAnsi="Microsoft YaHei" w:eastAsia="Microsoft YaHei" w:cs="Microsoft YaHei"/>
          <w:sz w:val="21"/>
          <w:szCs w:val="21"/>
          <w:spacing w:val="-3"/>
        </w:rPr>
        <w:t>30)。</w:t>
      </w:r>
    </w:p>
    <w:p>
      <w:pPr>
        <w:ind w:left="1300"/>
        <w:spacing w:before="304" w:line="187" w:lineRule="auto"/>
        <w:rPr>
          <w:rFonts w:ascii="Microsoft YaHei" w:hAnsi="Microsoft YaHei" w:eastAsia="Microsoft YaHei" w:cs="Microsoft YaHei"/>
          <w:sz w:val="21"/>
          <w:szCs w:val="21"/>
        </w:rPr>
      </w:pPr>
      <w:r>
        <mc:AlternateContent xmlns:mc="http://schemas.openxmlformats.org/markup-compatibility/2006">
          <mc:Choice Requires="wps">
            <w:drawing>
              <wp:anchor distT="0" distB="0" distL="0" distR="0" simplePos="0" relativeHeight="253655040" behindDoc="1" locked="0" layoutInCell="1" allowOverlap="1">
                <wp:simplePos x="0" y="0"/>
                <wp:positionH relativeFrom="column">
                  <wp:posOffset>240811</wp:posOffset>
                </wp:positionH>
                <wp:positionV relativeFrom="paragraph">
                  <wp:posOffset>94405</wp:posOffset>
                </wp:positionV>
                <wp:extent cx="6123940" cy="329565"/>
                <wp:effectExtent l="0" t="0" r="0" b="0"/>
                <wp:wrapNone/>
                <wp:docPr id="702" name="Rect 702"/>
                <wp:cNvGraphicFramePr/>
                <a:graphic>
                  <a:graphicData uri="http://schemas.microsoft.com/office/word/2010/wordprocessingShape">
                    <wps:wsp>
                      <wps:cNvPr id="702" name="Rect 702"/>
                      <wps:cNvSpPr/>
                      <wps:spPr>
                        <a:xfrm>
                          <a:off x="240811" y="94405"/>
                          <a:ext cx="6123940" cy="329565"/>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520" style="position:absolute;margin-left:18.9616pt;margin-top:7.43354pt;mso-position-vertical-relative:text;mso-position-horizontal-relative:text;width:482.2pt;height:25.95pt;z-index:-249661440;" fillcolor="#F1F1F1" filled="true" stroked="false"/>
            </w:pict>
          </mc:Fallback>
        </mc:AlternateContent>
      </w:r>
      <w:r>
        <w:pict>
          <v:shape id="_x0000_s1522" style="position:absolute;margin-left:25.9848pt;margin-top:12.4335pt;mso-position-vertical-relative:text;mso-position-horizontal-relative:text;width:31.45pt;height:18.2pt;z-index:253660160;" filled="false" stroked="false" type="#_x0000_t202">
            <v:fill on="false"/>
            <v:stroke on="false"/>
            <v:path/>
            <v:imagedata o:title=""/>
            <o:lock v:ext="edit" aspectratio="false"/>
            <v:textbox inset="0mm,0mm,0mm,0mm">
              <w:txbxContent>
                <w:p>
                  <w:pPr>
                    <w:ind w:left="20"/>
                    <w:spacing w:before="20" w:line="215" w:lineRule="auto"/>
                    <w:rPr>
                      <w:sz w:val="21"/>
                      <w:szCs w:val="21"/>
                    </w:rPr>
                  </w:pPr>
                  <w:r>
                    <w:rPr>
                      <w:rFonts w:ascii="Microsoft YaHei" w:hAnsi="Microsoft YaHei" w:eastAsia="Microsoft YaHei" w:cs="Microsoft YaHei"/>
                      <w:sz w:val="21"/>
                      <w:szCs w:val="21"/>
                      <w:b/>
                      <w:bCs/>
                      <w:color w:val="00338D"/>
                      <w:spacing w:val="-10"/>
                    </w:rPr>
                    <w:t>图 30</w:t>
                  </w:r>
                  <w:r>
                    <w:rPr>
                      <w:rFonts w:ascii="Microsoft YaHei" w:hAnsi="Microsoft YaHei" w:eastAsia="Microsoft YaHei" w:cs="Microsoft YaHei"/>
                      <w:sz w:val="21"/>
                      <w:szCs w:val="21"/>
                      <w:b/>
                      <w:bCs/>
                      <w:color w:val="00338D"/>
                      <w:spacing w:val="13"/>
                    </w:rPr>
                    <w:t xml:space="preserve"> </w:t>
                  </w:r>
                  <w:r>
                    <w:rPr>
                      <w:sz w:val="21"/>
                      <w:szCs w:val="21"/>
                      <w:position w:val="-5"/>
                    </w:rPr>
                    <w:drawing>
                      <wp:inline distT="0" distB="0" distL="0" distR="0">
                        <wp:extent cx="12700" cy="175666"/>
                        <wp:effectExtent l="0" t="0" r="0" b="0"/>
                        <wp:docPr id="704" name="IM 704"/>
                        <wp:cNvGraphicFramePr/>
                        <a:graphic>
                          <a:graphicData uri="http://schemas.openxmlformats.org/drawingml/2006/picture">
                            <pic:pic>
                              <pic:nvPicPr>
                                <pic:cNvPr id="704" name="IM 704"/>
                                <pic:cNvPicPr/>
                              </pic:nvPicPr>
                              <pic:blipFill>
                                <a:blip r:embed="rId334"/>
                                <a:stretch>
                                  <a:fillRect/>
                                </a:stretch>
                              </pic:blipFill>
                              <pic:spPr>
                                <a:xfrm rot="0">
                                  <a:off x="0" y="0"/>
                                  <a:ext cx="12700" cy="175666"/>
                                </a:xfrm>
                                <a:prstGeom prst="rect">
                                  <a:avLst/>
                                </a:prstGeom>
                              </pic:spPr>
                            </pic:pic>
                          </a:graphicData>
                        </a:graphic>
                      </wp:inline>
                    </w:drawing>
                  </w:r>
                </w:p>
              </w:txbxContent>
            </v:textbox>
          </v:shape>
        </w:pict>
      </w:r>
      <w:r>
        <w:rPr>
          <w:rFonts w:ascii="Microsoft YaHei" w:hAnsi="Microsoft YaHei" w:eastAsia="Microsoft YaHei" w:cs="Microsoft YaHei"/>
          <w:sz w:val="21"/>
          <w:szCs w:val="21"/>
          <w:b/>
          <w:bCs/>
          <w:color w:val="00338D"/>
          <w:spacing w:val="-4"/>
        </w:rPr>
        <w:t>2020—2022年储能全球融资金额和数量，季度</w:t>
      </w:r>
    </w:p>
    <w:p>
      <w:pPr>
        <w:spacing w:before="60"/>
        <w:rPr/>
      </w:pPr>
      <w:r/>
    </w:p>
    <w:p>
      <w:pPr>
        <w:sectPr>
          <w:pgSz w:w="12245" w:h="17180"/>
          <w:pgMar w:top="400" w:right="0" w:bottom="0" w:left="916" w:header="0" w:footer="0" w:gutter="0"/>
          <w:cols w:equalWidth="0" w:num="1">
            <w:col w:w="11329" w:space="0"/>
          </w:cols>
        </w:sectPr>
        <w:rPr/>
      </w:pPr>
    </w:p>
    <w:p>
      <w:pPr>
        <w:pStyle w:val="BodyText"/>
        <w:ind w:right="9"/>
        <w:spacing w:before="1" w:line="195" w:lineRule="auto"/>
        <w:jc w:val="right"/>
        <w:rPr>
          <w:sz w:val="20"/>
          <w:szCs w:val="20"/>
        </w:rPr>
      </w:pPr>
      <w:r>
        <w:rPr>
          <w:sz w:val="20"/>
          <w:szCs w:val="20"/>
          <w:spacing w:val="-1"/>
        </w:rPr>
        <w:t>40</w:t>
      </w:r>
    </w:p>
    <w:p>
      <w:pPr>
        <w:pStyle w:val="BodyText"/>
        <w:ind w:right="6"/>
        <w:spacing w:before="190" w:line="195" w:lineRule="auto"/>
        <w:jc w:val="right"/>
        <w:rPr>
          <w:sz w:val="20"/>
          <w:szCs w:val="20"/>
        </w:rPr>
      </w:pPr>
      <w:r>
        <w:rPr>
          <w:sz w:val="20"/>
          <w:szCs w:val="20"/>
          <w:spacing w:val="-3"/>
        </w:rPr>
        <w:t>35</w:t>
      </w:r>
    </w:p>
    <w:p>
      <w:pPr>
        <w:pStyle w:val="BodyText"/>
        <w:ind w:right="6"/>
        <w:spacing w:before="190" w:line="195" w:lineRule="auto"/>
        <w:jc w:val="right"/>
        <w:rPr>
          <w:sz w:val="20"/>
          <w:szCs w:val="20"/>
        </w:rPr>
      </w:pPr>
      <w:r>
        <w:rPr>
          <w:sz w:val="20"/>
          <w:szCs w:val="20"/>
          <w:spacing w:val="-3"/>
        </w:rPr>
        <w:t>30</w:t>
      </w:r>
    </w:p>
    <w:p>
      <w:pPr>
        <w:pStyle w:val="BodyText"/>
        <w:ind w:right="8"/>
        <w:spacing w:before="191" w:line="195" w:lineRule="auto"/>
        <w:jc w:val="right"/>
        <w:rPr>
          <w:sz w:val="20"/>
          <w:szCs w:val="20"/>
        </w:rPr>
      </w:pPr>
      <w:r>
        <w:rPr>
          <w:sz w:val="20"/>
          <w:szCs w:val="20"/>
          <w:spacing w:val="-2"/>
        </w:rPr>
        <w:t>25</w:t>
      </w:r>
    </w:p>
    <w:p>
      <w:pPr>
        <w:pStyle w:val="BodyText"/>
        <w:ind w:right="8"/>
        <w:spacing w:before="190" w:line="195" w:lineRule="auto"/>
        <w:jc w:val="right"/>
        <w:rPr>
          <w:sz w:val="20"/>
          <w:szCs w:val="20"/>
        </w:rPr>
      </w:pPr>
      <w:r>
        <w:rPr>
          <w:sz w:val="20"/>
          <w:szCs w:val="20"/>
          <w:spacing w:val="-2"/>
        </w:rPr>
        <w:t>20</w:t>
      </w:r>
    </w:p>
    <w:p>
      <w:pPr>
        <w:pStyle w:val="BodyText"/>
        <w:spacing w:before="190" w:line="195" w:lineRule="auto"/>
        <w:jc w:val="right"/>
        <w:rPr>
          <w:sz w:val="20"/>
          <w:szCs w:val="20"/>
        </w:rPr>
      </w:pPr>
      <w:r>
        <w:rPr>
          <w:sz w:val="20"/>
          <w:szCs w:val="20"/>
          <w:spacing w:val="-6"/>
        </w:rPr>
        <w:t>15</w:t>
      </w:r>
    </w:p>
    <w:p>
      <w:pPr>
        <w:pStyle w:val="BodyText"/>
        <w:spacing w:before="191" w:line="195" w:lineRule="auto"/>
        <w:jc w:val="right"/>
        <w:rPr>
          <w:sz w:val="20"/>
          <w:szCs w:val="20"/>
        </w:rPr>
      </w:pPr>
      <w:r>
        <w:rPr>
          <w:sz w:val="20"/>
          <w:szCs w:val="20"/>
          <w:spacing w:val="-6"/>
        </w:rPr>
        <w:t>10</w:t>
      </w:r>
    </w:p>
    <w:p>
      <w:pPr>
        <w:pStyle w:val="BodyText"/>
        <w:ind w:right="2"/>
        <w:spacing w:before="192" w:line="193" w:lineRule="auto"/>
        <w:jc w:val="right"/>
        <w:rPr>
          <w:sz w:val="20"/>
          <w:szCs w:val="20"/>
        </w:rPr>
      </w:pPr>
      <w:r>
        <w:rPr>
          <w:sz w:val="20"/>
          <w:szCs w:val="20"/>
        </w:rPr>
        <w:t>5</w:t>
      </w:r>
    </w:p>
    <w:p>
      <w:pPr>
        <w:pStyle w:val="BodyText"/>
        <w:ind w:right="2"/>
        <w:spacing w:before="190" w:line="195" w:lineRule="auto"/>
        <w:jc w:val="right"/>
        <w:rPr>
          <w:sz w:val="20"/>
          <w:szCs w:val="20"/>
        </w:rPr>
      </w:pPr>
      <w:r>
        <w:rPr>
          <w:sz w:val="20"/>
          <w:szCs w:val="20"/>
        </w:rPr>
        <w:t>0</w:t>
      </w:r>
    </w:p>
    <w:p>
      <w:pPr>
        <w:pStyle w:val="BodyText"/>
        <w:spacing w:line="14" w:lineRule="auto"/>
        <w:rPr>
          <w:sz w:val="2"/>
        </w:rPr>
      </w:pPr>
      <w:r>
        <w:rPr>
          <w:sz w:val="2"/>
          <w:szCs w:val="2"/>
        </w:rPr>
        <w:br w:type="column"/>
      </w:r>
      <w:r>
        <w:pict>
          <v:shape id="_x0000_s1524" style="position:absolute;margin-left:438.49pt;margin-top:20.7202pt;mso-position-vertical-relative:text;mso-position-horizontal-relative:text;width:3.15pt;height:0.5pt;z-index:253669376;" filled="false" strokecolor="#898989" strokeweight="0.50pt" coordsize="63,10" coordorigin="0,0" path="m0,5l62,5e">
            <v:stroke miterlimit="10"/>
          </v:shape>
        </w:pict>
      </w:r>
      <w:r>
        <w:pict>
          <v:shape id="_x0000_s1526" style="position:absolute;margin-left:438.49pt;margin-top:37.5202pt;mso-position-vertical-relative:text;mso-position-horizontal-relative:text;width:3.15pt;height:0.5pt;z-index:253673472;" filled="false" strokecolor="#898989" strokeweight="0.50pt" coordsize="63,10" coordorigin="0,0" path="m0,5l62,5e">
            <v:stroke miterlimit="10"/>
          </v:shape>
        </w:pict>
      </w:r>
      <w:r>
        <w:pict>
          <v:shape id="_x0000_s1528" style="position:absolute;margin-left:438.49pt;margin-top:54.3202pt;mso-position-vertical-relative:text;mso-position-horizontal-relative:text;width:3.15pt;height:0.5pt;z-index:253672448;" filled="false" strokecolor="#898989" strokeweight="0.50pt" coordsize="63,10" coordorigin="0,0" path="m0,5l62,5e">
            <v:stroke miterlimit="10"/>
          </v:shape>
        </w:pict>
      </w:r>
      <w:r>
        <w:pict>
          <v:shape id="_x0000_s1530" style="position:absolute;margin-left:438.49pt;margin-top:71.1202pt;mso-position-vertical-relative:text;mso-position-horizontal-relative:text;width:3.15pt;height:0.5pt;z-index:253670400;" filled="false" strokecolor="#898989" strokeweight="0.50pt" coordsize="63,10" coordorigin="0,0" path="m0,5l62,5e">
            <v:stroke miterlimit="10"/>
          </v:shape>
        </w:pict>
      </w:r>
      <w:r>
        <w:pict>
          <v:shape id="_x0000_s1532" style="position:absolute;margin-left:438.49pt;margin-top:87.9202pt;mso-position-vertical-relative:text;mso-position-horizontal-relative:text;width:3.15pt;height:0.5pt;z-index:253665280;" filled="false" strokecolor="#898989" strokeweight="0.50pt" coordsize="63,10" coordorigin="0,0" path="m0,5l62,5e">
            <v:stroke miterlimit="10"/>
          </v:shape>
        </w:pict>
      </w:r>
      <w:r>
        <w:pict>
          <v:shape id="_x0000_s1534" style="position:absolute;margin-left:438.49pt;margin-top:104.72pt;mso-position-vertical-relative:text;mso-position-horizontal-relative:text;width:3.15pt;height:0.5pt;z-index:253666304;" filled="false" strokecolor="#898989" strokeweight="0.50pt" coordsize="63,10" coordorigin="0,0" path="m0,5l62,5e">
            <v:stroke miterlimit="10"/>
          </v:shape>
        </w:pict>
      </w:r>
      <w:r>
        <w:pict>
          <v:shape id="_x0000_s1536" style="position:absolute;margin-left:438.49pt;margin-top:121.28pt;mso-position-vertical-relative:text;mso-position-horizontal-relative:text;width:3.15pt;height:0.5pt;z-index:253667328;" filled="false" strokecolor="#898989" strokeweight="0.50pt" coordsize="63,10" coordorigin="0,0" path="m0,5l62,5e">
            <v:stroke miterlimit="10"/>
          </v:shape>
        </w:pict>
      </w:r>
      <w:r>
        <w:pict>
          <v:shape id="_x0000_s1538" style="position:absolute;margin-left:438.49pt;margin-top:138.08pt;mso-position-vertical-relative:text;mso-position-horizontal-relative:text;width:3.15pt;height:0.5pt;z-index:253668352;" filled="false" strokecolor="#898989" strokeweight="0.50pt" coordsize="63,10" coordorigin="0,0" path="m0,5l62,5e">
            <v:stroke miterlimit="10"/>
          </v:shape>
        </w:pict>
      </w:r>
    </w:p>
    <w:p>
      <w:pPr>
        <w:spacing w:line="72" w:lineRule="exact"/>
        <w:rPr/>
      </w:pPr>
      <w:r/>
    </w:p>
    <w:tbl>
      <w:tblPr>
        <w:tblStyle w:val="TableNormal"/>
        <w:tblW w:w="8817"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35"/>
        <w:gridCol w:w="2723"/>
        <w:gridCol w:w="2901"/>
        <w:gridCol w:w="2958"/>
      </w:tblGrid>
      <w:tr>
        <w:trPr>
          <w:trHeight w:val="3024" w:hRule="atLeast"/>
        </w:trPr>
        <w:tc>
          <w:tcPr>
            <w:tcW w:w="235" w:type="dxa"/>
            <w:vAlign w:val="top"/>
            <w:tcBorders>
              <w:right w:val="nil"/>
              <w:top w:val="nil"/>
            </w:tcBorders>
          </w:tcPr>
          <w:p>
            <w:pPr>
              <w:spacing w:line="376" w:lineRule="auto"/>
              <w:rPr>
                <w:rFonts w:ascii="Arial"/>
                <w:sz w:val="21"/>
              </w:rPr>
            </w:pPr>
            <w:r/>
          </w:p>
          <w:p>
            <w:pPr>
              <w:spacing w:line="2271" w:lineRule="exact"/>
              <w:rPr/>
            </w:pPr>
            <w:r>
              <w:rPr>
                <w:position w:val="-45"/>
              </w:rPr>
              <w:pict>
                <v:shape id="_x0000_s1540" style="mso-position-vertical-relative:line;mso-position-horizontal-relative:char;width:3.15pt;height:113.55pt;" filled="false" strokecolor="#000000" strokeweight="0.50pt" coordsize="63,2271" coordorigin="0,0" path="m0,2265l62,2265m0,1891l62,1891m0,1512l62,1512m0,1137l62,1137m0,758l62,758m0,384l62,384m0,5l62,5e">
                  <v:stroke miterlimit="10"/>
                </v:shape>
              </w:pict>
            </w:r>
          </w:p>
        </w:tc>
        <w:tc>
          <w:tcPr>
            <w:tcW w:w="8582" w:type="dxa"/>
            <w:vAlign w:val="top"/>
            <w:gridSpan w:val="3"/>
            <w:tcBorders>
              <w:left w:val="nil"/>
              <w:top w:val="nil"/>
            </w:tcBorders>
          </w:tcPr>
          <w:p>
            <w:pPr>
              <w:spacing w:line="348" w:lineRule="auto"/>
              <w:rPr>
                <w:rFonts w:ascii="Arial"/>
                <w:sz w:val="21"/>
              </w:rPr>
            </w:pPr>
            <w:r>
              <w:pict>
                <v:shape id="_x0000_s1542" style="position:absolute;margin-left:-420.48pt;margin-top:17.98pt;mso-position-vertical-relative:top-margin-area;mso-position-horizontal-relative:right-margin-area;width:400.65pt;height:82.15pt;z-index:253671424;" filled="false" strokecolor="#00338D" strokeweight="1.50pt" coordsize="8012,1643" coordorigin="0,0" path="m15,1594l739,1493l1469,1627l2194,1325l2918,888l3643,754l4368,1090l5093,619l5818,1090l6542,418l7272,1123l7997,15e">
                  <v:stroke endcap="round" miterlimit="10"/>
                </v:shape>
              </w:pict>
            </w:r>
            <w:r/>
          </w:p>
          <w:p>
            <w:pPr>
              <w:ind w:firstLine="4"/>
              <w:spacing w:line="2663" w:lineRule="exact"/>
              <w:rPr/>
            </w:pPr>
            <w:r>
              <w:rPr>
                <w:position w:val="-53"/>
              </w:rPr>
              <w:drawing>
                <wp:inline distT="0" distB="0" distL="0" distR="0">
                  <wp:extent cx="5297423" cy="1691260"/>
                  <wp:effectExtent l="0" t="0" r="0" b="0"/>
                  <wp:docPr id="706" name="IM 706"/>
                  <wp:cNvGraphicFramePr/>
                  <a:graphic>
                    <a:graphicData uri="http://schemas.openxmlformats.org/drawingml/2006/picture">
                      <pic:pic>
                        <pic:nvPicPr>
                          <pic:cNvPr id="706" name="IM 706"/>
                          <pic:cNvPicPr/>
                        </pic:nvPicPr>
                        <pic:blipFill>
                          <a:blip r:embed="rId335"/>
                          <a:stretch>
                            <a:fillRect/>
                          </a:stretch>
                        </pic:blipFill>
                        <pic:spPr>
                          <a:xfrm rot="0">
                            <a:off x="0" y="0"/>
                            <a:ext cx="5297423" cy="1691260"/>
                          </a:xfrm>
                          <a:prstGeom prst="rect">
                            <a:avLst/>
                          </a:prstGeom>
                        </pic:spPr>
                      </pic:pic>
                    </a:graphicData>
                  </a:graphic>
                </wp:inline>
              </w:drawing>
            </w:r>
          </w:p>
        </w:tc>
      </w:tr>
      <w:tr>
        <w:trPr>
          <w:trHeight w:val="710" w:hRule="atLeast"/>
        </w:trPr>
        <w:tc>
          <w:tcPr>
            <w:tcW w:w="2958" w:type="dxa"/>
            <w:vAlign w:val="top"/>
            <w:gridSpan w:val="2"/>
            <w:tcBorders>
              <w:bottom w:val="nil"/>
            </w:tcBorders>
          </w:tcPr>
          <w:p>
            <w:pPr>
              <w:ind w:left="1283" w:right="162" w:hanging="1056"/>
              <w:spacing w:line="300" w:lineRule="auto"/>
              <w:rPr>
                <w:rFonts w:ascii="Arial" w:hAnsi="Arial" w:eastAsia="Arial" w:cs="Arial"/>
                <w:sz w:val="20"/>
                <w:szCs w:val="20"/>
              </w:rPr>
            </w:pPr>
            <w:r>
              <w:rPr>
                <w:rFonts w:ascii="Arial" w:hAnsi="Arial" w:eastAsia="Arial" w:cs="Arial"/>
                <w:sz w:val="20"/>
                <w:szCs w:val="20"/>
                <w:spacing w:val="-2"/>
              </w:rPr>
              <w:t>Qtr1</w:t>
            </w:r>
            <w:r>
              <w:rPr>
                <w:rFonts w:ascii="Arial" w:hAnsi="Arial" w:eastAsia="Arial" w:cs="Arial"/>
                <w:sz w:val="20"/>
                <w:szCs w:val="20"/>
                <w:spacing w:val="27"/>
              </w:rPr>
              <w:t xml:space="preserve">  </w:t>
            </w:r>
            <w:r>
              <w:rPr>
                <w:sz w:val="20"/>
                <w:szCs w:val="20"/>
                <w:position w:val="-5"/>
              </w:rPr>
              <w:drawing>
                <wp:inline distT="0" distB="0" distL="0" distR="0">
                  <wp:extent cx="6350" cy="225226"/>
                  <wp:effectExtent l="0" t="0" r="0" b="0"/>
                  <wp:docPr id="708" name="IM 708"/>
                  <wp:cNvGraphicFramePr/>
                  <a:graphic>
                    <a:graphicData uri="http://schemas.openxmlformats.org/drawingml/2006/picture">
                      <pic:pic>
                        <pic:nvPicPr>
                          <pic:cNvPr id="708" name="IM 708"/>
                          <pic:cNvPicPr/>
                        </pic:nvPicPr>
                        <pic:blipFill>
                          <a:blip r:embed="rId336"/>
                          <a:stretch>
                            <a:fillRect/>
                          </a:stretch>
                        </pic:blipFill>
                        <pic:spPr>
                          <a:xfrm rot="0">
                            <a:off x="0" y="0"/>
                            <a:ext cx="6350" cy="225226"/>
                          </a:xfrm>
                          <a:prstGeom prst="rect">
                            <a:avLst/>
                          </a:prstGeom>
                        </pic:spPr>
                      </pic:pic>
                    </a:graphicData>
                  </a:graphic>
                </wp:inline>
              </w:drawing>
            </w:r>
            <w:r>
              <w:rPr>
                <w:rFonts w:ascii="Arial" w:hAnsi="Arial" w:eastAsia="Arial" w:cs="Arial"/>
                <w:sz w:val="20"/>
                <w:szCs w:val="20"/>
                <w:spacing w:val="1"/>
              </w:rPr>
              <w:t xml:space="preserve">   </w:t>
            </w:r>
            <w:r>
              <w:rPr>
                <w:rFonts w:ascii="Arial" w:hAnsi="Arial" w:eastAsia="Arial" w:cs="Arial"/>
                <w:sz w:val="20"/>
                <w:szCs w:val="20"/>
                <w:spacing w:val="-2"/>
              </w:rPr>
              <w:t>Qtr2</w:t>
            </w:r>
            <w:r>
              <w:rPr>
                <w:rFonts w:ascii="Arial" w:hAnsi="Arial" w:eastAsia="Arial" w:cs="Arial"/>
                <w:sz w:val="20"/>
                <w:szCs w:val="20"/>
                <w:spacing w:val="26"/>
              </w:rPr>
              <w:t xml:space="preserve">  </w:t>
            </w:r>
            <w:r>
              <w:rPr>
                <w:sz w:val="20"/>
                <w:szCs w:val="20"/>
                <w:position w:val="-5"/>
              </w:rPr>
              <w:drawing>
                <wp:inline distT="0" distB="0" distL="0" distR="0">
                  <wp:extent cx="6350" cy="225226"/>
                  <wp:effectExtent l="0" t="0" r="0" b="0"/>
                  <wp:docPr id="710" name="IM 710"/>
                  <wp:cNvGraphicFramePr/>
                  <a:graphic>
                    <a:graphicData uri="http://schemas.openxmlformats.org/drawingml/2006/picture">
                      <pic:pic>
                        <pic:nvPicPr>
                          <pic:cNvPr id="710" name="IM 710"/>
                          <pic:cNvPicPr/>
                        </pic:nvPicPr>
                        <pic:blipFill>
                          <a:blip r:embed="rId337"/>
                          <a:stretch>
                            <a:fillRect/>
                          </a:stretch>
                        </pic:blipFill>
                        <pic:spPr>
                          <a:xfrm rot="0">
                            <a:off x="0" y="0"/>
                            <a:ext cx="6350" cy="225226"/>
                          </a:xfrm>
                          <a:prstGeom prst="rect">
                            <a:avLst/>
                          </a:prstGeom>
                        </pic:spPr>
                      </pic:pic>
                    </a:graphicData>
                  </a:graphic>
                </wp:inline>
              </w:drawing>
            </w:r>
            <w:r>
              <w:rPr>
                <w:rFonts w:ascii="Arial" w:hAnsi="Arial" w:eastAsia="Arial" w:cs="Arial"/>
                <w:sz w:val="20"/>
                <w:szCs w:val="20"/>
                <w:spacing w:val="1"/>
              </w:rPr>
              <w:t xml:space="preserve">   </w:t>
            </w:r>
            <w:r>
              <w:rPr>
                <w:rFonts w:ascii="Arial" w:hAnsi="Arial" w:eastAsia="Arial" w:cs="Arial"/>
                <w:sz w:val="20"/>
                <w:szCs w:val="20"/>
                <w:spacing w:val="-2"/>
              </w:rPr>
              <w:t>Qtr3</w:t>
            </w:r>
            <w:r>
              <w:rPr>
                <w:rFonts w:ascii="Arial" w:hAnsi="Arial" w:eastAsia="Arial" w:cs="Arial"/>
                <w:sz w:val="20"/>
                <w:szCs w:val="20"/>
                <w:spacing w:val="26"/>
              </w:rPr>
              <w:t xml:space="preserve">  </w:t>
            </w:r>
            <w:r>
              <w:rPr>
                <w:sz w:val="20"/>
                <w:szCs w:val="20"/>
                <w:position w:val="-5"/>
              </w:rPr>
              <w:drawing>
                <wp:inline distT="0" distB="0" distL="0" distR="0">
                  <wp:extent cx="6350" cy="225226"/>
                  <wp:effectExtent l="0" t="0" r="0" b="0"/>
                  <wp:docPr id="712" name="IM 712"/>
                  <wp:cNvGraphicFramePr/>
                  <a:graphic>
                    <a:graphicData uri="http://schemas.openxmlformats.org/drawingml/2006/picture">
                      <pic:pic>
                        <pic:nvPicPr>
                          <pic:cNvPr id="712" name="IM 712"/>
                          <pic:cNvPicPr/>
                        </pic:nvPicPr>
                        <pic:blipFill>
                          <a:blip r:embed="rId338"/>
                          <a:stretch>
                            <a:fillRect/>
                          </a:stretch>
                        </pic:blipFill>
                        <pic:spPr>
                          <a:xfrm rot="0">
                            <a:off x="0" y="0"/>
                            <a:ext cx="6350" cy="225226"/>
                          </a:xfrm>
                          <a:prstGeom prst="rect">
                            <a:avLst/>
                          </a:prstGeom>
                        </pic:spPr>
                      </pic:pic>
                    </a:graphicData>
                  </a:graphic>
                </wp:inline>
              </w:drawing>
            </w:r>
            <w:r>
              <w:rPr>
                <w:rFonts w:ascii="Arial" w:hAnsi="Arial" w:eastAsia="Arial" w:cs="Arial"/>
                <w:sz w:val="20"/>
                <w:szCs w:val="20"/>
                <w:spacing w:val="1"/>
              </w:rPr>
              <w:t xml:space="preserve">   </w:t>
            </w:r>
            <w:r>
              <w:rPr>
                <w:rFonts w:ascii="Arial" w:hAnsi="Arial" w:eastAsia="Arial" w:cs="Arial"/>
                <w:sz w:val="20"/>
                <w:szCs w:val="20"/>
                <w:spacing w:val="-2"/>
              </w:rPr>
              <w:t>Qtr4</w:t>
            </w:r>
            <w:r>
              <w:rPr>
                <w:rFonts w:ascii="Arial" w:hAnsi="Arial" w:eastAsia="Arial" w:cs="Arial"/>
                <w:sz w:val="20"/>
                <w:szCs w:val="20"/>
                <w:spacing w:val="2"/>
              </w:rPr>
              <w:t xml:space="preserve"> </w:t>
            </w:r>
            <w:r>
              <w:rPr>
                <w:rFonts w:ascii="Arial" w:hAnsi="Arial" w:eastAsia="Arial" w:cs="Arial"/>
                <w:sz w:val="20"/>
                <w:szCs w:val="20"/>
                <w:spacing w:val="-1"/>
              </w:rPr>
              <w:t>2020</w:t>
            </w:r>
          </w:p>
        </w:tc>
        <w:tc>
          <w:tcPr>
            <w:tcW w:w="2901" w:type="dxa"/>
            <w:vAlign w:val="top"/>
            <w:tcBorders>
              <w:bottom w:val="nil"/>
            </w:tcBorders>
          </w:tcPr>
          <w:p>
            <w:pPr>
              <w:ind w:left="1227" w:right="161" w:hanging="1056"/>
              <w:spacing w:line="300" w:lineRule="auto"/>
              <w:rPr>
                <w:rFonts w:ascii="Arial" w:hAnsi="Arial" w:eastAsia="Arial" w:cs="Arial"/>
                <w:sz w:val="20"/>
                <w:szCs w:val="20"/>
              </w:rPr>
            </w:pPr>
            <w:r>
              <w:rPr>
                <w:rFonts w:ascii="Arial" w:hAnsi="Arial" w:eastAsia="Arial" w:cs="Arial"/>
                <w:sz w:val="20"/>
                <w:szCs w:val="20"/>
                <w:spacing w:val="-2"/>
              </w:rPr>
              <w:t>Qtr1</w:t>
            </w:r>
            <w:r>
              <w:rPr>
                <w:rFonts w:ascii="Arial" w:hAnsi="Arial" w:eastAsia="Arial" w:cs="Arial"/>
                <w:sz w:val="20"/>
                <w:szCs w:val="20"/>
                <w:spacing w:val="29"/>
                <w:w w:val="101"/>
              </w:rPr>
              <w:t xml:space="preserve">  </w:t>
            </w:r>
            <w:r>
              <w:rPr>
                <w:sz w:val="20"/>
                <w:szCs w:val="20"/>
                <w:position w:val="-5"/>
              </w:rPr>
              <w:drawing>
                <wp:inline distT="0" distB="0" distL="0" distR="0">
                  <wp:extent cx="6350" cy="225226"/>
                  <wp:effectExtent l="0" t="0" r="0" b="0"/>
                  <wp:docPr id="714" name="IM 714"/>
                  <wp:cNvGraphicFramePr/>
                  <a:graphic>
                    <a:graphicData uri="http://schemas.openxmlformats.org/drawingml/2006/picture">
                      <pic:pic>
                        <pic:nvPicPr>
                          <pic:cNvPr id="714" name="IM 714"/>
                          <pic:cNvPicPr/>
                        </pic:nvPicPr>
                        <pic:blipFill>
                          <a:blip r:embed="rId339"/>
                          <a:stretch>
                            <a:fillRect/>
                          </a:stretch>
                        </pic:blipFill>
                        <pic:spPr>
                          <a:xfrm rot="0">
                            <a:off x="0" y="0"/>
                            <a:ext cx="6350" cy="225226"/>
                          </a:xfrm>
                          <a:prstGeom prst="rect">
                            <a:avLst/>
                          </a:prstGeom>
                        </pic:spPr>
                      </pic:pic>
                    </a:graphicData>
                  </a:graphic>
                </wp:inline>
              </w:drawing>
            </w:r>
            <w:r>
              <w:rPr>
                <w:rFonts w:ascii="Arial" w:hAnsi="Arial" w:eastAsia="Arial" w:cs="Arial"/>
                <w:sz w:val="20"/>
                <w:szCs w:val="20"/>
                <w:spacing w:val="2"/>
              </w:rPr>
              <w:t xml:space="preserve">   </w:t>
            </w:r>
            <w:r>
              <w:rPr>
                <w:rFonts w:ascii="Arial" w:hAnsi="Arial" w:eastAsia="Arial" w:cs="Arial"/>
                <w:sz w:val="20"/>
                <w:szCs w:val="20"/>
                <w:spacing w:val="-2"/>
              </w:rPr>
              <w:t>Qtr2   </w:t>
            </w:r>
            <w:r>
              <w:rPr>
                <w:sz w:val="20"/>
                <w:szCs w:val="20"/>
                <w:position w:val="-5"/>
              </w:rPr>
              <w:drawing>
                <wp:inline distT="0" distB="0" distL="0" distR="0">
                  <wp:extent cx="6350" cy="225226"/>
                  <wp:effectExtent l="0" t="0" r="0" b="0"/>
                  <wp:docPr id="716" name="IM 716"/>
                  <wp:cNvGraphicFramePr/>
                  <a:graphic>
                    <a:graphicData uri="http://schemas.openxmlformats.org/drawingml/2006/picture">
                      <pic:pic>
                        <pic:nvPicPr>
                          <pic:cNvPr id="716" name="IM 716"/>
                          <pic:cNvPicPr/>
                        </pic:nvPicPr>
                        <pic:blipFill>
                          <a:blip r:embed="rId340"/>
                          <a:stretch>
                            <a:fillRect/>
                          </a:stretch>
                        </pic:blipFill>
                        <pic:spPr>
                          <a:xfrm rot="0">
                            <a:off x="0" y="0"/>
                            <a:ext cx="6350" cy="225226"/>
                          </a:xfrm>
                          <a:prstGeom prst="rect">
                            <a:avLst/>
                          </a:prstGeom>
                        </pic:spPr>
                      </pic:pic>
                    </a:graphicData>
                  </a:graphic>
                </wp:inline>
              </w:drawing>
            </w:r>
            <w:r>
              <w:rPr>
                <w:rFonts w:ascii="Arial" w:hAnsi="Arial" w:eastAsia="Arial" w:cs="Arial"/>
                <w:sz w:val="20"/>
                <w:szCs w:val="20"/>
              </w:rPr>
              <w:t xml:space="preserve">   </w:t>
            </w:r>
            <w:r>
              <w:rPr>
                <w:rFonts w:ascii="Arial" w:hAnsi="Arial" w:eastAsia="Arial" w:cs="Arial"/>
                <w:sz w:val="20"/>
                <w:szCs w:val="20"/>
                <w:spacing w:val="-2"/>
              </w:rPr>
              <w:t>Qtr3   </w:t>
            </w:r>
            <w:r>
              <w:rPr>
                <w:sz w:val="20"/>
                <w:szCs w:val="20"/>
                <w:position w:val="-5"/>
              </w:rPr>
              <w:drawing>
                <wp:inline distT="0" distB="0" distL="0" distR="0">
                  <wp:extent cx="6350" cy="225226"/>
                  <wp:effectExtent l="0" t="0" r="0" b="0"/>
                  <wp:docPr id="718" name="IM 718"/>
                  <wp:cNvGraphicFramePr/>
                  <a:graphic>
                    <a:graphicData uri="http://schemas.openxmlformats.org/drawingml/2006/picture">
                      <pic:pic>
                        <pic:nvPicPr>
                          <pic:cNvPr id="718" name="IM 718"/>
                          <pic:cNvPicPr/>
                        </pic:nvPicPr>
                        <pic:blipFill>
                          <a:blip r:embed="rId341"/>
                          <a:stretch>
                            <a:fillRect/>
                          </a:stretch>
                        </pic:blipFill>
                        <pic:spPr>
                          <a:xfrm rot="0">
                            <a:off x="0" y="0"/>
                            <a:ext cx="6350" cy="225226"/>
                          </a:xfrm>
                          <a:prstGeom prst="rect">
                            <a:avLst/>
                          </a:prstGeom>
                        </pic:spPr>
                      </pic:pic>
                    </a:graphicData>
                  </a:graphic>
                </wp:inline>
              </w:drawing>
            </w:r>
            <w:r>
              <w:rPr>
                <w:rFonts w:ascii="Arial" w:hAnsi="Arial" w:eastAsia="Arial" w:cs="Arial"/>
                <w:sz w:val="20"/>
                <w:szCs w:val="20"/>
                <w:spacing w:val="1"/>
              </w:rPr>
              <w:t xml:space="preserve">   </w:t>
            </w:r>
            <w:r>
              <w:rPr>
                <w:rFonts w:ascii="Arial" w:hAnsi="Arial" w:eastAsia="Arial" w:cs="Arial"/>
                <w:sz w:val="20"/>
                <w:szCs w:val="20"/>
                <w:spacing w:val="-2"/>
              </w:rPr>
              <w:t>Qtr4</w:t>
            </w:r>
            <w:r>
              <w:rPr>
                <w:rFonts w:ascii="Arial" w:hAnsi="Arial" w:eastAsia="Arial" w:cs="Arial"/>
                <w:sz w:val="20"/>
                <w:szCs w:val="20"/>
                <w:spacing w:val="2"/>
              </w:rPr>
              <w:t xml:space="preserve"> </w:t>
            </w:r>
            <w:r>
              <w:rPr>
                <w:rFonts w:ascii="Arial" w:hAnsi="Arial" w:eastAsia="Arial" w:cs="Arial"/>
                <w:sz w:val="20"/>
                <w:szCs w:val="20"/>
                <w:spacing w:val="-1"/>
              </w:rPr>
              <w:t>2021</w:t>
            </w:r>
          </w:p>
        </w:tc>
        <w:tc>
          <w:tcPr>
            <w:tcW w:w="2958" w:type="dxa"/>
            <w:vAlign w:val="top"/>
            <w:tcBorders>
              <w:bottom w:val="nil"/>
            </w:tcBorders>
          </w:tcPr>
          <w:p>
            <w:pPr>
              <w:ind w:left="1228" w:right="218" w:hanging="1057"/>
              <w:spacing w:line="300" w:lineRule="auto"/>
              <w:rPr>
                <w:rFonts w:ascii="Arial" w:hAnsi="Arial" w:eastAsia="Arial" w:cs="Arial"/>
                <w:sz w:val="20"/>
                <w:szCs w:val="20"/>
              </w:rPr>
            </w:pPr>
            <w:r>
              <w:rPr>
                <w:rFonts w:ascii="Arial" w:hAnsi="Arial" w:eastAsia="Arial" w:cs="Arial"/>
                <w:sz w:val="20"/>
                <w:szCs w:val="20"/>
                <w:spacing w:val="-2"/>
              </w:rPr>
              <w:t>Qtr1</w:t>
            </w:r>
            <w:r>
              <w:rPr>
                <w:rFonts w:ascii="Arial" w:hAnsi="Arial" w:eastAsia="Arial" w:cs="Arial"/>
                <w:sz w:val="20"/>
                <w:szCs w:val="20"/>
                <w:spacing w:val="27"/>
              </w:rPr>
              <w:t xml:space="preserve">  </w:t>
            </w:r>
            <w:r>
              <w:rPr>
                <w:sz w:val="20"/>
                <w:szCs w:val="20"/>
                <w:position w:val="-5"/>
              </w:rPr>
              <w:drawing>
                <wp:inline distT="0" distB="0" distL="0" distR="0">
                  <wp:extent cx="6350" cy="225226"/>
                  <wp:effectExtent l="0" t="0" r="0" b="0"/>
                  <wp:docPr id="720" name="IM 720"/>
                  <wp:cNvGraphicFramePr/>
                  <a:graphic>
                    <a:graphicData uri="http://schemas.openxmlformats.org/drawingml/2006/picture">
                      <pic:pic>
                        <pic:nvPicPr>
                          <pic:cNvPr id="720" name="IM 720"/>
                          <pic:cNvPicPr/>
                        </pic:nvPicPr>
                        <pic:blipFill>
                          <a:blip r:embed="rId342"/>
                          <a:stretch>
                            <a:fillRect/>
                          </a:stretch>
                        </pic:blipFill>
                        <pic:spPr>
                          <a:xfrm rot="0">
                            <a:off x="0" y="0"/>
                            <a:ext cx="6350" cy="225226"/>
                          </a:xfrm>
                          <a:prstGeom prst="rect">
                            <a:avLst/>
                          </a:prstGeom>
                        </pic:spPr>
                      </pic:pic>
                    </a:graphicData>
                  </a:graphic>
                </wp:inline>
              </w:drawing>
            </w:r>
            <w:r>
              <w:rPr>
                <w:rFonts w:ascii="Arial" w:hAnsi="Arial" w:eastAsia="Arial" w:cs="Arial"/>
                <w:sz w:val="20"/>
                <w:szCs w:val="20"/>
                <w:spacing w:val="1"/>
              </w:rPr>
              <w:t xml:space="preserve">   </w:t>
            </w:r>
            <w:r>
              <w:rPr>
                <w:rFonts w:ascii="Arial" w:hAnsi="Arial" w:eastAsia="Arial" w:cs="Arial"/>
                <w:sz w:val="20"/>
                <w:szCs w:val="20"/>
                <w:spacing w:val="-2"/>
              </w:rPr>
              <w:t>Qtr2</w:t>
            </w:r>
            <w:r>
              <w:rPr>
                <w:rFonts w:ascii="Arial" w:hAnsi="Arial" w:eastAsia="Arial" w:cs="Arial"/>
                <w:sz w:val="20"/>
                <w:szCs w:val="20"/>
                <w:spacing w:val="26"/>
              </w:rPr>
              <w:t xml:space="preserve">  </w:t>
            </w:r>
            <w:r>
              <w:rPr>
                <w:sz w:val="20"/>
                <w:szCs w:val="20"/>
                <w:position w:val="-5"/>
              </w:rPr>
              <w:drawing>
                <wp:inline distT="0" distB="0" distL="0" distR="0">
                  <wp:extent cx="6350" cy="225226"/>
                  <wp:effectExtent l="0" t="0" r="0" b="0"/>
                  <wp:docPr id="722" name="IM 722"/>
                  <wp:cNvGraphicFramePr/>
                  <a:graphic>
                    <a:graphicData uri="http://schemas.openxmlformats.org/drawingml/2006/picture">
                      <pic:pic>
                        <pic:nvPicPr>
                          <pic:cNvPr id="722" name="IM 722"/>
                          <pic:cNvPicPr/>
                        </pic:nvPicPr>
                        <pic:blipFill>
                          <a:blip r:embed="rId343"/>
                          <a:stretch>
                            <a:fillRect/>
                          </a:stretch>
                        </pic:blipFill>
                        <pic:spPr>
                          <a:xfrm rot="0">
                            <a:off x="0" y="0"/>
                            <a:ext cx="6350" cy="225226"/>
                          </a:xfrm>
                          <a:prstGeom prst="rect">
                            <a:avLst/>
                          </a:prstGeom>
                        </pic:spPr>
                      </pic:pic>
                    </a:graphicData>
                  </a:graphic>
                </wp:inline>
              </w:drawing>
            </w:r>
            <w:r>
              <w:rPr>
                <w:rFonts w:ascii="Arial" w:hAnsi="Arial" w:eastAsia="Arial" w:cs="Arial"/>
                <w:sz w:val="20"/>
                <w:szCs w:val="20"/>
                <w:spacing w:val="1"/>
              </w:rPr>
              <w:t xml:space="preserve">   </w:t>
            </w:r>
            <w:r>
              <w:rPr>
                <w:rFonts w:ascii="Arial" w:hAnsi="Arial" w:eastAsia="Arial" w:cs="Arial"/>
                <w:sz w:val="20"/>
                <w:szCs w:val="20"/>
                <w:spacing w:val="-2"/>
              </w:rPr>
              <w:t>Qtr3</w:t>
            </w:r>
            <w:r>
              <w:rPr>
                <w:rFonts w:ascii="Arial" w:hAnsi="Arial" w:eastAsia="Arial" w:cs="Arial"/>
                <w:sz w:val="20"/>
                <w:szCs w:val="20"/>
                <w:spacing w:val="26"/>
              </w:rPr>
              <w:t xml:space="preserve">  </w:t>
            </w:r>
            <w:r>
              <w:rPr>
                <w:sz w:val="20"/>
                <w:szCs w:val="20"/>
                <w:position w:val="-5"/>
              </w:rPr>
              <w:drawing>
                <wp:inline distT="0" distB="0" distL="0" distR="0">
                  <wp:extent cx="6350" cy="225226"/>
                  <wp:effectExtent l="0" t="0" r="0" b="0"/>
                  <wp:docPr id="724" name="IM 724"/>
                  <wp:cNvGraphicFramePr/>
                  <a:graphic>
                    <a:graphicData uri="http://schemas.openxmlformats.org/drawingml/2006/picture">
                      <pic:pic>
                        <pic:nvPicPr>
                          <pic:cNvPr id="724" name="IM 724"/>
                          <pic:cNvPicPr/>
                        </pic:nvPicPr>
                        <pic:blipFill>
                          <a:blip r:embed="rId344"/>
                          <a:stretch>
                            <a:fillRect/>
                          </a:stretch>
                        </pic:blipFill>
                        <pic:spPr>
                          <a:xfrm rot="0">
                            <a:off x="0" y="0"/>
                            <a:ext cx="6350" cy="225226"/>
                          </a:xfrm>
                          <a:prstGeom prst="rect">
                            <a:avLst/>
                          </a:prstGeom>
                        </pic:spPr>
                      </pic:pic>
                    </a:graphicData>
                  </a:graphic>
                </wp:inline>
              </w:drawing>
            </w:r>
            <w:r>
              <w:rPr>
                <w:rFonts w:ascii="Arial" w:hAnsi="Arial" w:eastAsia="Arial" w:cs="Arial"/>
                <w:sz w:val="20"/>
                <w:szCs w:val="20"/>
                <w:spacing w:val="1"/>
              </w:rPr>
              <w:t xml:space="preserve">   </w:t>
            </w:r>
            <w:r>
              <w:rPr>
                <w:rFonts w:ascii="Arial" w:hAnsi="Arial" w:eastAsia="Arial" w:cs="Arial"/>
                <w:sz w:val="20"/>
                <w:szCs w:val="20"/>
                <w:spacing w:val="-2"/>
              </w:rPr>
              <w:t>Qtr4</w:t>
            </w:r>
            <w:r>
              <w:rPr>
                <w:rFonts w:ascii="Arial" w:hAnsi="Arial" w:eastAsia="Arial" w:cs="Arial"/>
                <w:sz w:val="20"/>
                <w:szCs w:val="20"/>
                <w:spacing w:val="2"/>
              </w:rPr>
              <w:t xml:space="preserve"> </w:t>
            </w:r>
            <w:r>
              <w:rPr>
                <w:rFonts w:ascii="Arial" w:hAnsi="Arial" w:eastAsia="Arial" w:cs="Arial"/>
                <w:sz w:val="20"/>
                <w:szCs w:val="20"/>
                <w:spacing w:val="-1"/>
              </w:rPr>
              <w:t>2022</w:t>
            </w:r>
          </w:p>
        </w:tc>
      </w:tr>
    </w:tbl>
    <w:p>
      <w:pPr>
        <w:ind w:left="1972"/>
        <w:spacing w:before="86" w:line="176" w:lineRule="exact"/>
        <w:rPr>
          <w:rFonts w:ascii="Microsoft YaHei" w:hAnsi="Microsoft YaHei" w:eastAsia="Microsoft YaHei" w:cs="Microsoft YaHei"/>
          <w:sz w:val="18"/>
          <w:szCs w:val="18"/>
        </w:rPr>
      </w:pPr>
      <w:r>
        <w:rPr>
          <w:rFonts w:ascii="Microsoft YaHei" w:hAnsi="Microsoft YaHei" w:eastAsia="Microsoft YaHei" w:cs="Microsoft YaHei"/>
          <w:sz w:val="18"/>
          <w:szCs w:val="18"/>
          <w:position w:val="1"/>
        </w:rPr>
        <w:drawing>
          <wp:inline distT="0" distB="0" distL="0" distR="0">
            <wp:extent cx="243840" cy="64008"/>
            <wp:effectExtent l="0" t="0" r="0" b="0"/>
            <wp:docPr id="726" name="IM 726"/>
            <wp:cNvGraphicFramePr/>
            <a:graphic>
              <a:graphicData uri="http://schemas.openxmlformats.org/drawingml/2006/picture">
                <pic:pic>
                  <pic:nvPicPr>
                    <pic:cNvPr id="726" name="IM 726"/>
                    <pic:cNvPicPr/>
                  </pic:nvPicPr>
                  <pic:blipFill>
                    <a:blip r:embed="rId345"/>
                    <a:stretch>
                      <a:fillRect/>
                    </a:stretch>
                  </pic:blipFill>
                  <pic:spPr>
                    <a:xfrm rot="0">
                      <a:off x="0" y="0"/>
                      <a:ext cx="243840" cy="64008"/>
                    </a:xfrm>
                    <a:prstGeom prst="rect">
                      <a:avLst/>
                    </a:prstGeom>
                  </pic:spPr>
                </pic:pic>
              </a:graphicData>
            </a:graphic>
          </wp:inline>
        </w:drawing>
      </w:r>
      <w:r>
        <w:rPr>
          <w:rFonts w:ascii="Microsoft YaHei" w:hAnsi="Microsoft YaHei" w:eastAsia="Microsoft YaHei" w:cs="Microsoft YaHei"/>
          <w:sz w:val="18"/>
          <w:szCs w:val="18"/>
          <w:spacing w:val="7"/>
          <w:position w:val="-1"/>
        </w:rPr>
        <w:t xml:space="preserve">   </w:t>
      </w:r>
      <w:r>
        <w:rPr>
          <w:rFonts w:ascii="Microsoft YaHei" w:hAnsi="Microsoft YaHei" w:eastAsia="Microsoft YaHei" w:cs="Microsoft YaHei"/>
          <w:sz w:val="18"/>
          <w:szCs w:val="18"/>
          <w:spacing w:val="1"/>
          <w:position w:val="-1"/>
        </w:rPr>
        <w:t>融资金额，亿美元                          </w:t>
      </w:r>
      <w:r>
        <w:rPr>
          <w:sz w:val="18"/>
          <w:szCs w:val="18"/>
          <w:position w:val="5"/>
        </w:rPr>
        <w:drawing>
          <wp:inline distT="0" distB="0" distL="0" distR="0">
            <wp:extent cx="262890" cy="19050"/>
            <wp:effectExtent l="0" t="0" r="0" b="0"/>
            <wp:docPr id="728" name="IM 728"/>
            <wp:cNvGraphicFramePr/>
            <a:graphic>
              <a:graphicData uri="http://schemas.openxmlformats.org/drawingml/2006/picture">
                <pic:pic>
                  <pic:nvPicPr>
                    <pic:cNvPr id="728" name="IM 728"/>
                    <pic:cNvPicPr/>
                  </pic:nvPicPr>
                  <pic:blipFill>
                    <a:blip r:embed="rId346"/>
                    <a:stretch>
                      <a:fillRect/>
                    </a:stretch>
                  </pic:blipFill>
                  <pic:spPr>
                    <a:xfrm rot="0">
                      <a:off x="0" y="0"/>
                      <a:ext cx="262890" cy="19050"/>
                    </a:xfrm>
                    <a:prstGeom prst="rect">
                      <a:avLst/>
                    </a:prstGeom>
                  </pic:spPr>
                </pic:pic>
              </a:graphicData>
            </a:graphic>
          </wp:inline>
        </w:drawing>
      </w:r>
      <w:r>
        <w:rPr>
          <w:rFonts w:ascii="Microsoft YaHei" w:hAnsi="Microsoft YaHei" w:eastAsia="Microsoft YaHei" w:cs="Microsoft YaHei"/>
          <w:sz w:val="18"/>
          <w:szCs w:val="18"/>
          <w:position w:val="-1"/>
        </w:rPr>
        <w:t xml:space="preserve">  </w:t>
      </w:r>
      <w:r>
        <w:rPr>
          <w:rFonts w:ascii="Microsoft YaHei" w:hAnsi="Microsoft YaHei" w:eastAsia="Microsoft YaHei" w:cs="Microsoft YaHei"/>
          <w:sz w:val="18"/>
          <w:szCs w:val="18"/>
          <w:spacing w:val="1"/>
          <w:position w:val="-1"/>
        </w:rPr>
        <w:t>融资数量，笔</w:t>
      </w:r>
    </w:p>
    <w:p>
      <w:pPr>
        <w:pStyle w:val="BodyText"/>
        <w:spacing w:line="14" w:lineRule="auto"/>
        <w:rPr>
          <w:sz w:val="2"/>
        </w:rPr>
      </w:pPr>
      <w:r>
        <w:rPr>
          <w:sz w:val="2"/>
          <w:szCs w:val="2"/>
        </w:rPr>
        <w:br w:type="column"/>
      </w:r>
    </w:p>
    <w:p>
      <w:pPr>
        <w:pStyle w:val="BodyText"/>
        <w:ind w:left="5"/>
        <w:spacing w:before="1" w:line="194" w:lineRule="auto"/>
        <w:rPr>
          <w:sz w:val="20"/>
          <w:szCs w:val="20"/>
        </w:rPr>
      </w:pPr>
      <w:r>
        <w:rPr>
          <w:sz w:val="20"/>
          <w:szCs w:val="20"/>
          <w:spacing w:val="-3"/>
        </w:rPr>
        <w:t>90</w:t>
      </w:r>
    </w:p>
    <w:p>
      <w:pPr>
        <w:pStyle w:val="BodyText"/>
        <w:ind w:left="5"/>
        <w:spacing w:before="148" w:line="195" w:lineRule="auto"/>
        <w:rPr>
          <w:sz w:val="20"/>
          <w:szCs w:val="20"/>
        </w:rPr>
      </w:pPr>
      <w:r>
        <w:rPr>
          <w:sz w:val="20"/>
          <w:szCs w:val="20"/>
          <w:spacing w:val="-3"/>
        </w:rPr>
        <w:t>80</w:t>
      </w:r>
    </w:p>
    <w:p>
      <w:pPr>
        <w:pStyle w:val="BodyText"/>
        <w:ind w:left="6"/>
        <w:spacing w:before="148" w:line="195" w:lineRule="auto"/>
        <w:rPr>
          <w:sz w:val="20"/>
          <w:szCs w:val="20"/>
        </w:rPr>
      </w:pPr>
      <w:r>
        <w:rPr>
          <w:sz w:val="20"/>
          <w:szCs w:val="20"/>
          <w:spacing w:val="-3"/>
        </w:rPr>
        <w:t>70</w:t>
      </w:r>
    </w:p>
    <w:p>
      <w:pPr>
        <w:pStyle w:val="BodyText"/>
        <w:ind w:left="5"/>
        <w:spacing w:before="149" w:line="195" w:lineRule="auto"/>
        <w:rPr>
          <w:sz w:val="20"/>
          <w:szCs w:val="20"/>
        </w:rPr>
      </w:pPr>
      <w:r>
        <w:rPr>
          <w:sz w:val="20"/>
          <w:szCs w:val="20"/>
          <w:spacing w:val="-2"/>
        </w:rPr>
        <w:t>60</w:t>
      </w:r>
    </w:p>
    <w:p>
      <w:pPr>
        <w:pStyle w:val="BodyText"/>
        <w:ind w:left="5"/>
        <w:spacing w:before="148" w:line="195" w:lineRule="auto"/>
        <w:rPr>
          <w:sz w:val="20"/>
          <w:szCs w:val="20"/>
        </w:rPr>
      </w:pPr>
      <w:r>
        <w:rPr>
          <w:sz w:val="20"/>
          <w:szCs w:val="20"/>
          <w:spacing w:val="-3"/>
        </w:rPr>
        <w:t>50</w:t>
      </w:r>
    </w:p>
    <w:p>
      <w:pPr>
        <w:pStyle w:val="BodyText"/>
        <w:spacing w:before="149" w:line="195" w:lineRule="auto"/>
        <w:rPr>
          <w:sz w:val="20"/>
          <w:szCs w:val="20"/>
        </w:rPr>
      </w:pPr>
      <w:r>
        <w:rPr>
          <w:sz w:val="20"/>
          <w:szCs w:val="20"/>
          <w:spacing w:val="-1"/>
        </w:rPr>
        <w:t>40</w:t>
      </w:r>
    </w:p>
    <w:p>
      <w:pPr>
        <w:pStyle w:val="BodyText"/>
        <w:ind w:left="5"/>
        <w:spacing w:before="148" w:line="195" w:lineRule="auto"/>
        <w:rPr>
          <w:sz w:val="20"/>
          <w:szCs w:val="20"/>
        </w:rPr>
      </w:pPr>
      <w:r>
        <w:rPr>
          <w:sz w:val="20"/>
          <w:szCs w:val="20"/>
          <w:spacing w:val="-3"/>
        </w:rPr>
        <w:t>30</w:t>
      </w:r>
    </w:p>
    <w:p>
      <w:pPr>
        <w:pStyle w:val="BodyText"/>
        <w:ind w:left="3"/>
        <w:spacing w:before="148" w:line="195" w:lineRule="auto"/>
        <w:rPr>
          <w:sz w:val="20"/>
          <w:szCs w:val="20"/>
        </w:rPr>
      </w:pPr>
      <w:r>
        <w:rPr>
          <w:sz w:val="20"/>
          <w:szCs w:val="20"/>
          <w:spacing w:val="-2"/>
        </w:rPr>
        <w:t>20</w:t>
      </w:r>
    </w:p>
    <w:p>
      <w:pPr>
        <w:pStyle w:val="BodyText"/>
        <w:ind w:left="19"/>
        <w:spacing w:before="149" w:line="195" w:lineRule="auto"/>
        <w:rPr>
          <w:sz w:val="20"/>
          <w:szCs w:val="20"/>
        </w:rPr>
      </w:pPr>
      <w:r>
        <w:rPr>
          <w:sz w:val="20"/>
          <w:szCs w:val="20"/>
          <w:spacing w:val="-6"/>
        </w:rPr>
        <w:t>10</w:t>
      </w:r>
    </w:p>
    <w:p>
      <w:pPr>
        <w:pStyle w:val="BodyText"/>
        <w:ind w:left="5"/>
        <w:spacing w:before="148" w:line="195" w:lineRule="auto"/>
        <w:rPr>
          <w:sz w:val="20"/>
          <w:szCs w:val="20"/>
        </w:rPr>
      </w:pPr>
      <w:r>
        <w:rPr>
          <w:sz w:val="20"/>
          <w:szCs w:val="20"/>
        </w:rPr>
        <w:t>0</w:t>
      </w:r>
    </w:p>
    <w:p>
      <w:pPr>
        <w:spacing w:line="195" w:lineRule="auto"/>
        <w:sectPr>
          <w:type w:val="continuous"/>
          <w:pgSz w:w="12245" w:h="17180"/>
          <w:pgMar w:top="400" w:right="0" w:bottom="0" w:left="916" w:header="0" w:footer="0" w:gutter="0"/>
          <w:cols w:equalWidth="0" w:num="3">
            <w:col w:w="731" w:space="100"/>
            <w:col w:w="8842" w:space="100"/>
            <w:col w:w="1557" w:space="0"/>
          </w:cols>
        </w:sectPr>
        <w:rPr>
          <w:sz w:val="20"/>
          <w:szCs w:val="20"/>
        </w:rPr>
      </w:pPr>
    </w:p>
    <w:p>
      <w:pPr>
        <w:ind w:left="388"/>
        <w:spacing w:before="135" w:line="185" w:lineRule="auto"/>
        <w:rPr>
          <w:rFonts w:ascii="Microsoft YaHei" w:hAnsi="Microsoft YaHei" w:eastAsia="Microsoft YaHei" w:cs="Microsoft YaHei"/>
          <w:sz w:val="15"/>
          <w:szCs w:val="15"/>
        </w:rPr>
      </w:pPr>
      <w:r>
        <w:pict>
          <v:rect id="_x0000_s1544" style="position:absolute;margin-left:566.152pt;margin-top:-439.568pt;mso-position-vertical-relative:text;mso-position-horizontal-relative:text;width:0.25pt;height:859pt;z-index:253661184;" fillcolor="#000000" filled="true" stroked="false"/>
        </w:pict>
      </w:r>
      <w:r>
        <w:rPr>
          <w:rFonts w:ascii="Microsoft YaHei" w:hAnsi="Microsoft YaHei" w:eastAsia="Microsoft YaHei" w:cs="Microsoft YaHei"/>
          <w:sz w:val="15"/>
          <w:szCs w:val="15"/>
          <w:spacing w:val="3"/>
        </w:rPr>
        <w:t>数据来源： </w:t>
      </w:r>
      <w:r>
        <w:rPr>
          <w:rFonts w:ascii="Microsoft YaHei" w:hAnsi="Microsoft YaHei" w:eastAsia="Microsoft YaHei" w:cs="Microsoft YaHei"/>
          <w:sz w:val="15"/>
          <w:szCs w:val="15"/>
        </w:rPr>
        <w:t>Pitchbook</w:t>
      </w:r>
      <w:r>
        <w:rPr>
          <w:rFonts w:ascii="Microsoft YaHei" w:hAnsi="Microsoft YaHei" w:eastAsia="Microsoft YaHei" w:cs="Microsoft YaHei"/>
          <w:sz w:val="15"/>
          <w:szCs w:val="15"/>
          <w:spacing w:val="3"/>
        </w:rPr>
        <w:t>，</w:t>
      </w:r>
      <w:r>
        <w:rPr>
          <w:rFonts w:ascii="Microsoft YaHei" w:hAnsi="Microsoft YaHei" w:eastAsia="Microsoft YaHei" w:cs="Microsoft YaHei"/>
          <w:sz w:val="15"/>
          <w:szCs w:val="15"/>
          <w:spacing w:val="-13"/>
        </w:rPr>
        <w:t xml:space="preserve"> </w:t>
      </w:r>
      <w:r>
        <w:rPr>
          <w:rFonts w:ascii="Microsoft YaHei" w:hAnsi="Microsoft YaHei" w:eastAsia="Microsoft YaHei" w:cs="Microsoft YaHei"/>
          <w:sz w:val="15"/>
          <w:szCs w:val="15"/>
          <w:spacing w:val="3"/>
        </w:rPr>
        <w:t>毕马威分析</w:t>
      </w:r>
    </w:p>
    <w:p>
      <w:pPr>
        <w:pStyle w:val="BodyText"/>
        <w:spacing w:line="320" w:lineRule="auto"/>
        <w:rPr/>
      </w:pPr>
      <w:r/>
    </w:p>
    <w:p>
      <w:pPr>
        <w:ind w:left="394" w:right="2998" w:firstLine="12"/>
        <w:spacing w:before="91" w:line="21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中国、美国、欧洲是全球储能融资交易的主体。</w:t>
      </w:r>
      <w:r>
        <w:rPr>
          <w:rFonts w:ascii="Microsoft YaHei" w:hAnsi="Microsoft YaHei" w:eastAsia="Microsoft YaHei" w:cs="Microsoft YaHei"/>
          <w:sz w:val="21"/>
          <w:szCs w:val="21"/>
          <w:spacing w:val="-42"/>
        </w:rPr>
        <w:t xml:space="preserve"> </w:t>
      </w:r>
      <w:r>
        <w:rPr>
          <w:rFonts w:ascii="Microsoft YaHei" w:hAnsi="Microsoft YaHei" w:eastAsia="Microsoft YaHei" w:cs="Microsoft YaHei"/>
          <w:sz w:val="21"/>
          <w:szCs w:val="21"/>
          <w:spacing w:val="1"/>
        </w:rPr>
        <w:t>2022年三个国家（地区）</w:t>
      </w:r>
      <w:r>
        <w:rPr>
          <w:rFonts w:ascii="Microsoft YaHei" w:hAnsi="Microsoft YaHei" w:eastAsia="Microsoft YaHei" w:cs="Microsoft YaHei"/>
          <w:sz w:val="21"/>
          <w:szCs w:val="21"/>
          <w:spacing w:val="-42"/>
        </w:rPr>
        <w:t xml:space="preserve"> </w:t>
      </w:r>
      <w:r>
        <w:rPr>
          <w:rFonts w:ascii="Microsoft YaHei" w:hAnsi="Microsoft YaHei" w:eastAsia="Microsoft YaHei" w:cs="Microsoft YaHei"/>
          <w:sz w:val="21"/>
          <w:szCs w:val="21"/>
          <w:spacing w:val="1"/>
        </w:rPr>
        <w:t>储能融资交</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易占全球90%，其中 ，中国、美国和欧洲的储能融资额分别为29亿美元、20亿美元、</w:t>
      </w:r>
      <w:r>
        <w:rPr>
          <w:rFonts w:ascii="Microsoft YaHei" w:hAnsi="Microsoft YaHei" w:eastAsia="Microsoft YaHei" w:cs="Microsoft YaHei"/>
          <w:sz w:val="21"/>
          <w:szCs w:val="21"/>
          <w:spacing w:val="18"/>
          <w:w w:val="101"/>
        </w:rPr>
        <w:t xml:space="preserve"> </w:t>
      </w:r>
      <w:r>
        <w:rPr>
          <w:rFonts w:ascii="Microsoft YaHei" w:hAnsi="Microsoft YaHei" w:eastAsia="Microsoft YaHei" w:cs="Microsoft YaHei"/>
          <w:sz w:val="21"/>
          <w:szCs w:val="21"/>
          <w:spacing w:val="-2"/>
        </w:rPr>
        <w:t>8亿美元，分别占全球储能融资额的46%、31%和13</w:t>
      </w:r>
      <w:r>
        <w:rPr>
          <w:rFonts w:ascii="Microsoft YaHei" w:hAnsi="Microsoft YaHei" w:eastAsia="Microsoft YaHei" w:cs="Microsoft YaHei"/>
          <w:sz w:val="21"/>
          <w:szCs w:val="21"/>
          <w:spacing w:val="-3"/>
        </w:rPr>
        <w:t>%（图 31）。</w:t>
      </w:r>
    </w:p>
    <w:p>
      <w:pPr>
        <w:pStyle w:val="BodyText"/>
        <w:spacing w:line="292" w:lineRule="auto"/>
        <w:rPr/>
      </w:pPr>
      <w:r>
        <w:pict>
          <v:rect id="_x0000_s1546" style="position:absolute;margin-left:19.3215pt;margin-top:8.08786pt;mso-position-vertical-relative:text;mso-position-horizontal-relative:text;width:30.5pt;height:5pt;z-index:253663232;" fillcolor="#00338D" filled="true" stroked="false"/>
        </w:pict>
      </w:r>
      <w:r/>
    </w:p>
    <w:p>
      <w:pPr>
        <w:ind w:left="1304"/>
        <w:spacing w:before="90" w:line="186" w:lineRule="auto"/>
        <w:rPr>
          <w:rFonts w:ascii="Microsoft YaHei" w:hAnsi="Microsoft YaHei" w:eastAsia="Microsoft YaHei" w:cs="Microsoft YaHei"/>
          <w:sz w:val="21"/>
          <w:szCs w:val="21"/>
        </w:rPr>
      </w:pPr>
      <w:r>
        <mc:AlternateContent xmlns:mc="http://schemas.openxmlformats.org/markup-compatibility/2006">
          <mc:Choice Requires="wps">
            <w:drawing>
              <wp:anchor distT="0" distB="0" distL="0" distR="0" simplePos="0" relativeHeight="253656064" behindDoc="1" locked="0" layoutInCell="1" allowOverlap="1">
                <wp:simplePos x="0" y="0"/>
                <wp:positionH relativeFrom="column">
                  <wp:posOffset>243859</wp:posOffset>
                </wp:positionH>
                <wp:positionV relativeFrom="paragraph">
                  <wp:posOffset>-41429</wp:posOffset>
                </wp:positionV>
                <wp:extent cx="6123940" cy="329565"/>
                <wp:effectExtent l="0" t="0" r="0" b="0"/>
                <wp:wrapNone/>
                <wp:docPr id="730" name="Rect 730"/>
                <wp:cNvGraphicFramePr/>
                <a:graphic>
                  <a:graphicData uri="http://schemas.microsoft.com/office/word/2010/wordprocessingShape">
                    <wps:wsp>
                      <wps:cNvPr id="730" name="Rect 730"/>
                      <wps:cNvSpPr/>
                      <wps:spPr>
                        <a:xfrm>
                          <a:off x="243859" y="-41429"/>
                          <a:ext cx="6123940" cy="329565"/>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548" style="position:absolute;margin-left:19.2016pt;margin-top:-3.26215pt;mso-position-vertical-relative:text;mso-position-horizontal-relative:text;width:482.2pt;height:25.95pt;z-index:-249660416;" fillcolor="#F1F1F1" filled="true" stroked="false"/>
            </w:pict>
          </mc:Fallback>
        </mc:AlternateContent>
      </w:r>
      <w:r>
        <w:pict>
          <v:shape id="_x0000_s1550" style="position:absolute;margin-left:26.2106pt;margin-top:1.73785pt;mso-position-vertical-relative:text;mso-position-horizontal-relative:text;width:31.5pt;height:18.2pt;z-index:253659136;" filled="false" stroked="false" type="#_x0000_t202">
            <v:fill on="false"/>
            <v:stroke on="false"/>
            <v:path/>
            <v:imagedata o:title=""/>
            <o:lock v:ext="edit" aspectratio="false"/>
            <v:textbox inset="0mm,0mm,0mm,0mm">
              <w:txbxContent>
                <w:p>
                  <w:pPr>
                    <w:ind w:left="20"/>
                    <w:spacing w:before="20" w:line="215" w:lineRule="auto"/>
                    <w:rPr>
                      <w:sz w:val="21"/>
                      <w:szCs w:val="21"/>
                    </w:rPr>
                  </w:pPr>
                  <w:r>
                    <w:rPr>
                      <w:rFonts w:ascii="Microsoft YaHei" w:hAnsi="Microsoft YaHei" w:eastAsia="Microsoft YaHei" w:cs="Microsoft YaHei"/>
                      <w:sz w:val="21"/>
                      <w:szCs w:val="21"/>
                      <w:b/>
                      <w:bCs/>
                      <w:color w:val="00338D"/>
                      <w:spacing w:val="-10"/>
                    </w:rPr>
                    <w:t>图 31</w:t>
                  </w:r>
                  <w:r>
                    <w:rPr>
                      <w:rFonts w:ascii="Microsoft YaHei" w:hAnsi="Microsoft YaHei" w:eastAsia="Microsoft YaHei" w:cs="Microsoft YaHei"/>
                      <w:sz w:val="21"/>
                      <w:szCs w:val="21"/>
                      <w:b/>
                      <w:bCs/>
                      <w:color w:val="00338D"/>
                      <w:spacing w:val="13"/>
                    </w:rPr>
                    <w:t xml:space="preserve"> </w:t>
                  </w:r>
                  <w:r>
                    <w:rPr>
                      <w:sz w:val="21"/>
                      <w:szCs w:val="21"/>
                      <w:position w:val="-5"/>
                    </w:rPr>
                    <w:drawing>
                      <wp:inline distT="0" distB="0" distL="0" distR="0">
                        <wp:extent cx="12700" cy="175666"/>
                        <wp:effectExtent l="0" t="0" r="0" b="0"/>
                        <wp:docPr id="732" name="IM 732"/>
                        <wp:cNvGraphicFramePr/>
                        <a:graphic>
                          <a:graphicData uri="http://schemas.openxmlformats.org/drawingml/2006/picture">
                            <pic:pic>
                              <pic:nvPicPr>
                                <pic:cNvPr id="732" name="IM 732"/>
                                <pic:cNvPicPr/>
                              </pic:nvPicPr>
                              <pic:blipFill>
                                <a:blip r:embed="rId347"/>
                                <a:stretch>
                                  <a:fillRect/>
                                </a:stretch>
                              </pic:blipFill>
                              <pic:spPr>
                                <a:xfrm rot="0">
                                  <a:off x="0" y="0"/>
                                  <a:ext cx="12700" cy="175666"/>
                                </a:xfrm>
                                <a:prstGeom prst="rect">
                                  <a:avLst/>
                                </a:prstGeom>
                              </pic:spPr>
                            </pic:pic>
                          </a:graphicData>
                        </a:graphic>
                      </wp:inline>
                    </w:drawing>
                  </w:r>
                </w:p>
              </w:txbxContent>
            </v:textbox>
          </v:shape>
        </w:pict>
      </w:r>
      <w:r>
        <w:rPr>
          <w:rFonts w:ascii="Microsoft YaHei" w:hAnsi="Microsoft YaHei" w:eastAsia="Microsoft YaHei" w:cs="Microsoft YaHei"/>
          <w:sz w:val="21"/>
          <w:szCs w:val="21"/>
          <w:b/>
          <w:bCs/>
          <w:color w:val="00338D"/>
          <w:spacing w:val="-3"/>
        </w:rPr>
        <w:t>2020—2022年美国、欧洲和中国储</w:t>
      </w:r>
      <w:r>
        <w:rPr>
          <w:rFonts w:ascii="Microsoft YaHei" w:hAnsi="Microsoft YaHei" w:eastAsia="Microsoft YaHei" w:cs="Microsoft YaHei"/>
          <w:sz w:val="21"/>
          <w:szCs w:val="21"/>
          <w:b/>
          <w:bCs/>
          <w:color w:val="00338D"/>
          <w:spacing w:val="-4"/>
        </w:rPr>
        <w:t>能融资额，亿美元</w:t>
      </w:r>
    </w:p>
    <w:p>
      <w:pPr>
        <w:pStyle w:val="BodyText"/>
        <w:spacing w:line="371" w:lineRule="auto"/>
        <w:rPr/>
      </w:pPr>
      <w:r/>
    </w:p>
    <w:p>
      <w:pPr>
        <w:pStyle w:val="BodyText"/>
        <w:ind w:left="455"/>
        <w:spacing w:before="59" w:line="195" w:lineRule="auto"/>
        <w:rPr>
          <w:sz w:val="20"/>
          <w:szCs w:val="20"/>
        </w:rPr>
      </w:pPr>
      <w:r>
        <w:pict>
          <v:shape id="_x0000_s1552" style="position:absolute;margin-left:39.3715pt;margin-top:6.8466pt;mso-position-vertical-relative:text;mso-position-horizontal-relative:text;width:3.15pt;height:138.5pt;z-index:253658112;" filled="false" strokecolor="#000000" strokeweight="0.50pt" coordsize="63,2770" coordorigin="0,0" path="m57,2712l57,4m0,2712l57,2712m0,2323l57,2323m0,1939l57,1939m0,1550l57,1550m0,1166l57,1166m0,777l57,777m0,393l57,393m0,5l57,5m57,2712l57,2769e">
            <v:stroke miterlimit="10"/>
          </v:shape>
        </w:pict>
      </w:r>
      <w:r>
        <w:rPr>
          <w:sz w:val="20"/>
          <w:szCs w:val="20"/>
          <w:spacing w:val="-3"/>
        </w:rPr>
        <w:t>35</w:t>
      </w:r>
    </w:p>
    <w:p>
      <w:pPr>
        <w:pStyle w:val="BodyText"/>
        <w:ind w:left="7775"/>
        <w:spacing w:before="77" w:line="134" w:lineRule="exact"/>
        <w:rPr>
          <w:sz w:val="20"/>
          <w:szCs w:val="20"/>
        </w:rPr>
      </w:pPr>
      <w:r>
        <w:rPr>
          <w:sz w:val="20"/>
          <w:szCs w:val="20"/>
          <w:spacing w:val="-2"/>
          <w:position w:val="-2"/>
        </w:rPr>
        <w:t>29</w:t>
      </w:r>
    </w:p>
    <w:p>
      <w:pPr>
        <w:pStyle w:val="BodyText"/>
        <w:ind w:left="455"/>
        <w:spacing w:line="146" w:lineRule="exact"/>
        <w:rPr>
          <w:sz w:val="20"/>
          <w:szCs w:val="20"/>
        </w:rPr>
      </w:pPr>
      <w:r>
        <w:rPr>
          <w:sz w:val="20"/>
          <w:szCs w:val="20"/>
          <w:spacing w:val="-3"/>
          <w:position w:val="-3"/>
        </w:rPr>
        <w:t>30</w:t>
      </w:r>
    </w:p>
    <w:p>
      <w:pPr>
        <w:pStyle w:val="BodyText"/>
        <w:ind w:firstLine="1233"/>
        <w:spacing w:line="2239" w:lineRule="exact"/>
        <w:rPr/>
      </w:pPr>
      <w:r>
        <w:pict>
          <v:shape id="_x0000_s1554" style="position:absolute;margin-left:21.648pt;margin-top:10.4114pt;mso-position-vertical-relative:text;mso-position-horizontal-relative:text;width:12.9pt;height:107.95pt;z-index:253657088;" filled="false" stroked="false" type="#_x0000_t202">
            <v:fill on="false"/>
            <v:stroke on="false"/>
            <v:path/>
            <v:imagedata o:title=""/>
            <o:lock v:ext="edit" aspectratio="false"/>
            <v:textbox inset="0mm,0mm,0mm,0mm">
              <w:txbxContent>
                <w:p>
                  <w:pPr>
                    <w:pStyle w:val="BodyText"/>
                    <w:ind w:left="20"/>
                    <w:spacing w:before="20" w:line="195" w:lineRule="auto"/>
                    <w:rPr>
                      <w:sz w:val="20"/>
                      <w:szCs w:val="20"/>
                    </w:rPr>
                  </w:pPr>
                  <w:r>
                    <w:rPr>
                      <w:sz w:val="20"/>
                      <w:szCs w:val="20"/>
                      <w:spacing w:val="-2"/>
                    </w:rPr>
                    <w:t>25</w:t>
                  </w:r>
                </w:p>
                <w:p>
                  <w:pPr>
                    <w:pStyle w:val="BodyText"/>
                    <w:ind w:left="20"/>
                    <w:spacing w:before="199" w:line="195" w:lineRule="auto"/>
                    <w:rPr>
                      <w:sz w:val="20"/>
                      <w:szCs w:val="20"/>
                    </w:rPr>
                  </w:pPr>
                  <w:r>
                    <w:rPr>
                      <w:sz w:val="20"/>
                      <w:szCs w:val="20"/>
                      <w:spacing w:val="-2"/>
                    </w:rPr>
                    <w:t>20</w:t>
                  </w:r>
                </w:p>
                <w:p>
                  <w:pPr>
                    <w:pStyle w:val="BodyText"/>
                    <w:ind w:left="36"/>
                    <w:spacing w:before="199" w:line="195" w:lineRule="auto"/>
                    <w:rPr>
                      <w:sz w:val="20"/>
                      <w:szCs w:val="20"/>
                    </w:rPr>
                  </w:pPr>
                  <w:r>
                    <w:rPr>
                      <w:sz w:val="20"/>
                      <w:szCs w:val="20"/>
                      <w:spacing w:val="-6"/>
                    </w:rPr>
                    <w:t>15</w:t>
                  </w:r>
                </w:p>
                <w:p>
                  <w:pPr>
                    <w:pStyle w:val="BodyText"/>
                    <w:ind w:left="36"/>
                    <w:spacing w:before="199" w:line="195" w:lineRule="auto"/>
                    <w:rPr>
                      <w:sz w:val="20"/>
                      <w:szCs w:val="20"/>
                    </w:rPr>
                  </w:pPr>
                  <w:r>
                    <w:rPr>
                      <w:sz w:val="20"/>
                      <w:szCs w:val="20"/>
                      <w:spacing w:val="-6"/>
                    </w:rPr>
                    <w:t>10</w:t>
                  </w:r>
                </w:p>
                <w:p>
                  <w:pPr>
                    <w:pStyle w:val="BodyText"/>
                    <w:ind w:right="12"/>
                    <w:spacing w:before="201" w:line="193" w:lineRule="auto"/>
                    <w:jc w:val="right"/>
                    <w:rPr>
                      <w:sz w:val="20"/>
                      <w:szCs w:val="20"/>
                    </w:rPr>
                  </w:pPr>
                  <w:r>
                    <w:rPr>
                      <w:sz w:val="20"/>
                      <w:szCs w:val="20"/>
                    </w:rPr>
                    <w:t>5</w:t>
                  </w:r>
                </w:p>
                <w:p>
                  <w:pPr>
                    <w:pStyle w:val="BodyText"/>
                    <w:ind w:right="12"/>
                    <w:spacing w:before="199" w:line="195" w:lineRule="auto"/>
                    <w:jc w:val="right"/>
                    <w:rPr>
                      <w:sz w:val="20"/>
                      <w:szCs w:val="20"/>
                    </w:rPr>
                  </w:pPr>
                  <w:r>
                    <w:rPr>
                      <w:sz w:val="20"/>
                      <w:szCs w:val="20"/>
                    </w:rPr>
                    <w:t>0</w:t>
                  </w:r>
                </w:p>
              </w:txbxContent>
            </v:textbox>
          </v:shape>
        </w:pict>
      </w:r>
      <w:r>
        <w:rPr>
          <w:position w:val="-45"/>
        </w:rPr>
        <w:pict>
          <v:group id="_x0000_s1556" style="mso-position-vertical-relative:line;mso-position-horizontal-relative:char;width:430.1pt;height:112.1pt;" filled="false" stroked="false" coordsize="8602,2241" coordorigin="0,0">
            <v:shape id="_x0000_s1558" style="position:absolute;left:0;top:0;width:8602;height:2241;" filled="false" stroked="false" type="#_x0000_t75">
              <v:imagedata o:title="" r:id="rId348"/>
            </v:shape>
            <v:shape id="_x0000_s1560" style="position:absolute;left:1898;top:418;width:6385;height:1630;" filled="false" stroked="false" type="#_x0000_t202">
              <v:fill on="false"/>
              <v:stroke on="false"/>
              <v:path/>
              <v:imagedata o:title=""/>
              <o:lock v:ext="edit" aspectratio="false"/>
              <v:textbox inset="0mm,0mm,0mm,0mm">
                <w:txbxContent>
                  <w:p>
                    <w:pPr>
                      <w:ind w:left="5424"/>
                      <w:spacing w:before="20" w:line="195" w:lineRule="auto"/>
                      <w:rPr>
                        <w:rFonts w:ascii="Arial" w:hAnsi="Arial" w:eastAsia="Arial" w:cs="Arial"/>
                        <w:sz w:val="20"/>
                        <w:szCs w:val="20"/>
                      </w:rPr>
                    </w:pPr>
                    <w:r>
                      <w:rPr>
                        <w:rFonts w:ascii="Arial" w:hAnsi="Arial" w:eastAsia="Arial" w:cs="Arial"/>
                        <w:sz w:val="20"/>
                        <w:szCs w:val="20"/>
                        <w:spacing w:val="-2"/>
                      </w:rPr>
                      <w:t>20</w:t>
                    </w:r>
                  </w:p>
                  <w:p>
                    <w:pPr>
                      <w:ind w:left="1531"/>
                      <w:spacing w:before="95" w:line="195" w:lineRule="auto"/>
                      <w:rPr>
                        <w:rFonts w:ascii="Arial" w:hAnsi="Arial" w:eastAsia="Arial" w:cs="Arial"/>
                        <w:sz w:val="20"/>
                        <w:szCs w:val="20"/>
                      </w:rPr>
                    </w:pPr>
                    <w:r>
                      <w:rPr>
                        <w:rFonts w:ascii="Arial" w:hAnsi="Arial" w:eastAsia="Arial" w:cs="Arial"/>
                        <w:sz w:val="20"/>
                        <w:szCs w:val="20"/>
                        <w:spacing w:val="-6"/>
                      </w:rPr>
                      <w:t>16</w:t>
                    </w:r>
                  </w:p>
                  <w:p>
                    <w:pPr>
                      <w:spacing w:line="260" w:lineRule="auto"/>
                      <w:rPr>
                        <w:rFonts w:ascii="Arial"/>
                        <w:sz w:val="21"/>
                      </w:rPr>
                    </w:pPr>
                    <w:r/>
                  </w:p>
                  <w:p>
                    <w:pPr>
                      <w:ind w:left="2312"/>
                      <w:spacing w:before="58" w:line="130" w:lineRule="exact"/>
                      <w:rPr>
                        <w:rFonts w:ascii="Arial" w:hAnsi="Arial" w:eastAsia="Arial" w:cs="Arial"/>
                        <w:sz w:val="20"/>
                        <w:szCs w:val="20"/>
                      </w:rPr>
                    </w:pPr>
                    <w:r>
                      <w:rPr>
                        <w:rFonts w:ascii="Arial" w:hAnsi="Arial" w:eastAsia="Arial" w:cs="Arial"/>
                        <w:sz w:val="20"/>
                        <w:szCs w:val="20"/>
                        <w:spacing w:val="-6"/>
                        <w:position w:val="-2"/>
                      </w:rPr>
                      <w:t>10</w:t>
                    </w:r>
                  </w:p>
                  <w:p>
                    <w:pPr>
                      <w:ind w:right="12"/>
                      <w:spacing w:line="177" w:lineRule="auto"/>
                      <w:jc w:val="right"/>
                      <w:rPr>
                        <w:rFonts w:ascii="Arial" w:hAnsi="Arial" w:eastAsia="Arial" w:cs="Arial"/>
                        <w:sz w:val="20"/>
                        <w:szCs w:val="20"/>
                      </w:rPr>
                    </w:pPr>
                    <w:r>
                      <w:rPr>
                        <w:rFonts w:ascii="Arial" w:hAnsi="Arial" w:eastAsia="Arial" w:cs="Arial"/>
                        <w:sz w:val="20"/>
                        <w:szCs w:val="20"/>
                      </w:rPr>
                      <w:t>8</w:t>
                    </w:r>
                  </w:p>
                  <w:p>
                    <w:pPr>
                      <w:ind w:left="3134"/>
                      <w:spacing w:before="49" w:line="193" w:lineRule="auto"/>
                      <w:rPr>
                        <w:rFonts w:ascii="Arial" w:hAnsi="Arial" w:eastAsia="Arial" w:cs="Arial"/>
                        <w:sz w:val="20"/>
                        <w:szCs w:val="20"/>
                      </w:rPr>
                    </w:pPr>
                    <w:r>
                      <w:rPr>
                        <w:rFonts w:ascii="Arial" w:hAnsi="Arial" w:eastAsia="Arial" w:cs="Arial"/>
                        <w:sz w:val="20"/>
                        <w:szCs w:val="20"/>
                      </w:rPr>
                      <w:t>5</w:t>
                    </w:r>
                  </w:p>
                  <w:p>
                    <w:pPr>
                      <w:ind w:left="20"/>
                      <w:spacing w:before="121" w:line="195" w:lineRule="auto"/>
                      <w:rPr>
                        <w:rFonts w:ascii="Arial" w:hAnsi="Arial" w:eastAsia="Arial" w:cs="Arial"/>
                        <w:sz w:val="20"/>
                        <w:szCs w:val="20"/>
                      </w:rPr>
                    </w:pPr>
                    <w:r>
                      <w:rPr>
                        <w:rFonts w:ascii="Arial" w:hAnsi="Arial" w:eastAsia="Arial" w:cs="Arial"/>
                        <w:sz w:val="20"/>
                        <w:szCs w:val="20"/>
                      </w:rPr>
                      <w:t>1</w:t>
                    </w:r>
                  </w:p>
                </w:txbxContent>
              </v:textbox>
            </v:shape>
            <v:shape id="_x0000_s1562" style="position:absolute;left:282;top:676;width:241;height:187;" filled="false" stroked="false" type="#_x0000_t202">
              <v:fill on="false"/>
              <v:stroke on="false"/>
              <v:path/>
              <v:imagedata o:title=""/>
              <o:lock v:ext="edit" aspectratio="false"/>
              <v:textbox inset="0mm,0mm,0mm,0mm">
                <w:txbxContent>
                  <w:p>
                    <w:pPr>
                      <w:ind w:left="20"/>
                      <w:spacing w:before="20" w:line="195" w:lineRule="auto"/>
                      <w:rPr>
                        <w:rFonts w:ascii="Arial" w:hAnsi="Arial" w:eastAsia="Arial" w:cs="Arial"/>
                        <w:sz w:val="20"/>
                        <w:szCs w:val="20"/>
                      </w:rPr>
                    </w:pPr>
                    <w:r>
                      <w:rPr>
                        <w:rFonts w:ascii="Arial" w:hAnsi="Arial" w:eastAsia="Arial" w:cs="Arial"/>
                        <w:sz w:val="20"/>
                        <w:szCs w:val="20"/>
                        <w:spacing w:val="-6"/>
                      </w:rPr>
                      <w:t>16</w:t>
                    </w:r>
                  </w:p>
                </w:txbxContent>
              </v:textbox>
            </v:shape>
            <v:shape id="_x0000_s1564" style="position:absolute;left:1102;top:1497;width:145;height:187;" filled="false" stroked="false" type="#_x0000_t202">
              <v:fill on="false"/>
              <v:stroke on="false"/>
              <v:path/>
              <v:imagedata o:title=""/>
              <o:lock v:ext="edit" aspectratio="false"/>
              <v:textbox inset="0mm,0mm,0mm,0mm">
                <w:txbxContent>
                  <w:p>
                    <w:pPr>
                      <w:ind w:left="20"/>
                      <w:spacing w:before="20" w:line="195" w:lineRule="auto"/>
                      <w:rPr>
                        <w:rFonts w:ascii="Arial" w:hAnsi="Arial" w:eastAsia="Arial" w:cs="Arial"/>
                        <w:sz w:val="20"/>
                        <w:szCs w:val="20"/>
                      </w:rPr>
                    </w:pPr>
                    <w:r>
                      <w:rPr>
                        <w:rFonts w:ascii="Arial" w:hAnsi="Arial" w:eastAsia="Arial" w:cs="Arial"/>
                        <w:sz w:val="20"/>
                        <w:szCs w:val="20"/>
                      </w:rPr>
                      <w:t>6</w:t>
                    </w:r>
                  </w:p>
                </w:txbxContent>
              </v:textbox>
            </v:shape>
          </v:group>
        </w:pict>
      </w:r>
    </w:p>
    <w:p>
      <w:pPr>
        <w:ind w:left="840"/>
        <w:spacing w:line="60" w:lineRule="exact"/>
        <w:rPr/>
      </w:pPr>
      <w:r>
        <w:rPr>
          <w:position w:val="-1"/>
        </w:rPr>
        <w:drawing>
          <wp:inline distT="0" distB="0" distL="0" distR="0">
            <wp:extent cx="5962015" cy="38163"/>
            <wp:effectExtent l="0" t="0" r="0" b="0"/>
            <wp:docPr id="734" name="IM 734"/>
            <wp:cNvGraphicFramePr/>
            <a:graphic>
              <a:graphicData uri="http://schemas.openxmlformats.org/drawingml/2006/picture">
                <pic:pic>
                  <pic:nvPicPr>
                    <pic:cNvPr id="734" name="IM 734"/>
                    <pic:cNvPicPr/>
                  </pic:nvPicPr>
                  <pic:blipFill>
                    <a:blip r:embed="rId349"/>
                    <a:stretch>
                      <a:fillRect/>
                    </a:stretch>
                  </pic:blipFill>
                  <pic:spPr>
                    <a:xfrm rot="0">
                      <a:off x="0" y="0"/>
                      <a:ext cx="5962015" cy="38163"/>
                    </a:xfrm>
                    <a:prstGeom prst="rect">
                      <a:avLst/>
                    </a:prstGeom>
                  </pic:spPr>
                </pic:pic>
              </a:graphicData>
            </a:graphic>
          </wp:inline>
        </w:drawing>
      </w:r>
    </w:p>
    <w:p>
      <w:pPr>
        <w:pStyle w:val="BodyText"/>
        <w:ind w:left="2188"/>
        <w:spacing w:before="99" w:line="195" w:lineRule="auto"/>
        <w:rPr>
          <w:sz w:val="20"/>
          <w:szCs w:val="20"/>
        </w:rPr>
      </w:pPr>
      <w:r>
        <w:rPr>
          <w:sz w:val="20"/>
          <w:szCs w:val="20"/>
        </w:rPr>
        <w:t>2020                                                2021                        </w:t>
      </w:r>
      <w:r>
        <w:rPr>
          <w:sz w:val="20"/>
          <w:szCs w:val="20"/>
          <w:spacing w:val="-1"/>
        </w:rPr>
        <w:t xml:space="preserve">                         2022</w:t>
      </w:r>
    </w:p>
    <w:p>
      <w:pPr>
        <w:ind w:left="3547"/>
        <w:spacing w:before="77" w:line="222" w:lineRule="auto"/>
        <w:rPr>
          <w:rFonts w:ascii="PMingLiU" w:hAnsi="PMingLiU" w:eastAsia="PMingLiU" w:cs="PMingLiU"/>
          <w:sz w:val="20"/>
          <w:szCs w:val="20"/>
        </w:rPr>
      </w:pPr>
      <w:r>
        <w:rPr>
          <w:rFonts w:ascii="PMingLiU" w:hAnsi="PMingLiU" w:eastAsia="PMingLiU" w:cs="PMingLiU"/>
          <w:sz w:val="20"/>
          <w:szCs w:val="20"/>
        </w:rPr>
        <w:drawing>
          <wp:inline distT="0" distB="0" distL="0" distR="0">
            <wp:extent cx="64007" cy="64008"/>
            <wp:effectExtent l="0" t="0" r="0" b="0"/>
            <wp:docPr id="736" name="IM 736"/>
            <wp:cNvGraphicFramePr/>
            <a:graphic>
              <a:graphicData uri="http://schemas.openxmlformats.org/drawingml/2006/picture">
                <pic:pic>
                  <pic:nvPicPr>
                    <pic:cNvPr id="736" name="IM 736"/>
                    <pic:cNvPicPr/>
                  </pic:nvPicPr>
                  <pic:blipFill>
                    <a:blip r:embed="rId350"/>
                    <a:stretch>
                      <a:fillRect/>
                    </a:stretch>
                  </pic:blipFill>
                  <pic:spPr>
                    <a:xfrm rot="0">
                      <a:off x="0" y="0"/>
                      <a:ext cx="64007" cy="64008"/>
                    </a:xfrm>
                    <a:prstGeom prst="rect">
                      <a:avLst/>
                    </a:prstGeom>
                  </pic:spPr>
                </pic:pic>
              </a:graphicData>
            </a:graphic>
          </wp:inline>
        </w:drawing>
      </w:r>
      <w:r>
        <w:rPr>
          <w:rFonts w:ascii="PMingLiU" w:hAnsi="PMingLiU" w:eastAsia="PMingLiU" w:cs="PMingLiU"/>
          <w:sz w:val="20"/>
          <w:szCs w:val="20"/>
          <w:spacing w:val="17"/>
          <w:w w:val="101"/>
        </w:rPr>
        <w:t xml:space="preserve"> </w:t>
      </w:r>
      <w:r>
        <w:rPr>
          <w:rFonts w:ascii="PMingLiU" w:hAnsi="PMingLiU" w:eastAsia="PMingLiU" w:cs="PMingLiU"/>
          <w:sz w:val="20"/>
          <w:szCs w:val="20"/>
          <w:spacing w:val="-1"/>
        </w:rPr>
        <w:t>中国                 </w:t>
      </w:r>
      <w:r>
        <w:rPr>
          <w:sz w:val="20"/>
          <w:szCs w:val="20"/>
        </w:rPr>
        <w:drawing>
          <wp:inline distT="0" distB="0" distL="0" distR="0">
            <wp:extent cx="64008" cy="64008"/>
            <wp:effectExtent l="0" t="0" r="0" b="0"/>
            <wp:docPr id="738" name="IM 738"/>
            <wp:cNvGraphicFramePr/>
            <a:graphic>
              <a:graphicData uri="http://schemas.openxmlformats.org/drawingml/2006/picture">
                <pic:pic>
                  <pic:nvPicPr>
                    <pic:cNvPr id="738" name="IM 738"/>
                    <pic:cNvPicPr/>
                  </pic:nvPicPr>
                  <pic:blipFill>
                    <a:blip r:embed="rId351"/>
                    <a:stretch>
                      <a:fillRect/>
                    </a:stretch>
                  </pic:blipFill>
                  <pic:spPr>
                    <a:xfrm rot="0">
                      <a:off x="0" y="0"/>
                      <a:ext cx="64008" cy="64008"/>
                    </a:xfrm>
                    <a:prstGeom prst="rect">
                      <a:avLst/>
                    </a:prstGeom>
                  </pic:spPr>
                </pic:pic>
              </a:graphicData>
            </a:graphic>
          </wp:inline>
        </w:drawing>
      </w:r>
      <w:r>
        <w:rPr>
          <w:rFonts w:ascii="PMingLiU" w:hAnsi="PMingLiU" w:eastAsia="PMingLiU" w:cs="PMingLiU"/>
          <w:sz w:val="20"/>
          <w:szCs w:val="20"/>
          <w:spacing w:val="-4"/>
        </w:rPr>
        <w:t xml:space="preserve"> </w:t>
      </w:r>
      <w:r>
        <w:rPr>
          <w:rFonts w:ascii="PMingLiU" w:hAnsi="PMingLiU" w:eastAsia="PMingLiU" w:cs="PMingLiU"/>
          <w:sz w:val="20"/>
          <w:szCs w:val="20"/>
          <w:spacing w:val="-2"/>
        </w:rPr>
        <w:t>美国</w:t>
      </w:r>
      <w:r>
        <w:rPr>
          <w:rFonts w:ascii="PMingLiU" w:hAnsi="PMingLiU" w:eastAsia="PMingLiU" w:cs="PMingLiU"/>
          <w:sz w:val="20"/>
          <w:szCs w:val="20"/>
          <w:spacing w:val="3"/>
        </w:rPr>
        <w:t xml:space="preserve">                </w:t>
      </w:r>
      <w:r>
        <w:rPr>
          <w:sz w:val="20"/>
          <w:szCs w:val="20"/>
        </w:rPr>
        <w:drawing>
          <wp:inline distT="0" distB="0" distL="0" distR="0">
            <wp:extent cx="64008" cy="64008"/>
            <wp:effectExtent l="0" t="0" r="0" b="0"/>
            <wp:docPr id="740" name="IM 740"/>
            <wp:cNvGraphicFramePr/>
            <a:graphic>
              <a:graphicData uri="http://schemas.openxmlformats.org/drawingml/2006/picture">
                <pic:pic>
                  <pic:nvPicPr>
                    <pic:cNvPr id="740" name="IM 740"/>
                    <pic:cNvPicPr/>
                  </pic:nvPicPr>
                  <pic:blipFill>
                    <a:blip r:embed="rId352"/>
                    <a:stretch>
                      <a:fillRect/>
                    </a:stretch>
                  </pic:blipFill>
                  <pic:spPr>
                    <a:xfrm rot="0">
                      <a:off x="0" y="0"/>
                      <a:ext cx="64008" cy="64008"/>
                    </a:xfrm>
                    <a:prstGeom prst="rect">
                      <a:avLst/>
                    </a:prstGeom>
                  </pic:spPr>
                </pic:pic>
              </a:graphicData>
            </a:graphic>
          </wp:inline>
        </w:drawing>
      </w:r>
      <w:r>
        <w:rPr>
          <w:rFonts w:ascii="PMingLiU" w:hAnsi="PMingLiU" w:eastAsia="PMingLiU" w:cs="PMingLiU"/>
          <w:sz w:val="20"/>
          <w:szCs w:val="20"/>
          <w:spacing w:val="-4"/>
        </w:rPr>
        <w:t xml:space="preserve"> </w:t>
      </w:r>
      <w:r>
        <w:rPr>
          <w:rFonts w:ascii="PMingLiU" w:hAnsi="PMingLiU" w:eastAsia="PMingLiU" w:cs="PMingLiU"/>
          <w:sz w:val="20"/>
          <w:szCs w:val="20"/>
          <w:spacing w:val="-2"/>
        </w:rPr>
        <w:t>欧洲</w:t>
      </w:r>
    </w:p>
    <w:p>
      <w:pPr>
        <w:ind w:left="388"/>
        <w:spacing w:before="75" w:line="185"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3"/>
        </w:rPr>
        <w:t>数据来源： </w:t>
      </w:r>
      <w:r>
        <w:rPr>
          <w:rFonts w:ascii="Microsoft YaHei" w:hAnsi="Microsoft YaHei" w:eastAsia="Microsoft YaHei" w:cs="Microsoft YaHei"/>
          <w:sz w:val="15"/>
          <w:szCs w:val="15"/>
        </w:rPr>
        <w:t>Pitchbook</w:t>
      </w:r>
      <w:r>
        <w:rPr>
          <w:rFonts w:ascii="Microsoft YaHei" w:hAnsi="Microsoft YaHei" w:eastAsia="Microsoft YaHei" w:cs="Microsoft YaHei"/>
          <w:sz w:val="15"/>
          <w:szCs w:val="15"/>
          <w:spacing w:val="3"/>
        </w:rPr>
        <w:t>，</w:t>
      </w:r>
      <w:r>
        <w:rPr>
          <w:rFonts w:ascii="Microsoft YaHei" w:hAnsi="Microsoft YaHei" w:eastAsia="Microsoft YaHei" w:cs="Microsoft YaHei"/>
          <w:sz w:val="15"/>
          <w:szCs w:val="15"/>
          <w:spacing w:val="-13"/>
        </w:rPr>
        <w:t xml:space="preserve"> </w:t>
      </w:r>
      <w:r>
        <w:rPr>
          <w:rFonts w:ascii="Microsoft YaHei" w:hAnsi="Microsoft YaHei" w:eastAsia="Microsoft YaHei" w:cs="Microsoft YaHei"/>
          <w:sz w:val="15"/>
          <w:szCs w:val="15"/>
          <w:spacing w:val="3"/>
        </w:rPr>
        <w:t>毕马威分析</w:t>
      </w:r>
    </w:p>
    <w:p>
      <w:pPr>
        <w:pStyle w:val="BodyText"/>
        <w:spacing w:line="261" w:lineRule="auto"/>
        <w:rPr/>
      </w:pPr>
      <w:r/>
    </w:p>
    <w:p>
      <w:pPr>
        <w:pStyle w:val="BodyText"/>
        <w:spacing w:line="261" w:lineRule="auto"/>
        <w:rPr/>
      </w:pPr>
      <w:r>
        <w:pict>
          <v:shape id="_x0000_s1566" style="position:absolute;margin-left:19.4516pt;margin-top:5.17889pt;mso-position-vertical-relative:text;mso-position-horizontal-relative:text;width:81.3pt;height:0.5pt;z-index:253664256;" filled="false" strokecolor="#000000" strokeweight="0.50pt" coordsize="1626,10" coordorigin="0,0" path="m0,5l1625,5e">
            <v:stroke joinstyle="miter"/>
          </v:shape>
        </w:pict>
      </w:r>
      <w:r/>
    </w:p>
    <w:p>
      <w:pPr>
        <w:ind w:left="390"/>
        <w:spacing w:before="56" w:line="181"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9"/>
          <w:position w:val="4"/>
        </w:rPr>
        <w:t>67</w:t>
      </w:r>
      <w:r>
        <w:rPr>
          <w:rFonts w:ascii="Microsoft YaHei" w:hAnsi="Microsoft YaHei" w:eastAsia="Microsoft YaHei" w:cs="Microsoft YaHei"/>
          <w:sz w:val="9"/>
          <w:szCs w:val="9"/>
          <w:spacing w:val="15"/>
          <w:position w:val="4"/>
        </w:rPr>
        <w:t xml:space="preserve"> </w:t>
      </w:r>
      <w:r>
        <w:rPr>
          <w:rFonts w:ascii="Microsoft YaHei" w:hAnsi="Microsoft YaHei" w:eastAsia="Microsoft YaHei" w:cs="Microsoft YaHei"/>
          <w:sz w:val="13"/>
          <w:szCs w:val="13"/>
          <w:spacing w:val="9"/>
        </w:rPr>
        <w:t>本部分股权投资交易轮次包括种子轮、孵化器、众筹、早期和</w:t>
      </w:r>
      <w:r>
        <w:rPr>
          <w:rFonts w:ascii="Microsoft YaHei" w:hAnsi="Microsoft YaHei" w:eastAsia="Microsoft YaHei" w:cs="Microsoft YaHei"/>
          <w:sz w:val="13"/>
          <w:szCs w:val="13"/>
          <w:spacing w:val="8"/>
        </w:rPr>
        <w:t>晚期</w:t>
      </w:r>
      <w:r>
        <w:rPr>
          <w:rFonts w:ascii="Microsoft YaHei" w:hAnsi="Microsoft YaHei" w:eastAsia="Microsoft YaHei" w:cs="Microsoft YaHei"/>
          <w:sz w:val="13"/>
          <w:szCs w:val="13"/>
        </w:rPr>
        <w:t>VC</w:t>
      </w:r>
      <w:r>
        <w:rPr>
          <w:rFonts w:ascii="Microsoft YaHei" w:hAnsi="Microsoft YaHei" w:eastAsia="Microsoft YaHei" w:cs="Microsoft YaHei"/>
          <w:sz w:val="13"/>
          <w:szCs w:val="13"/>
          <w:spacing w:val="8"/>
        </w:rPr>
        <w:t>、</w:t>
      </w:r>
      <w:r>
        <w:rPr>
          <w:rFonts w:ascii="Microsoft YaHei" w:hAnsi="Microsoft YaHei" w:eastAsia="Microsoft YaHei" w:cs="Microsoft YaHei"/>
          <w:sz w:val="13"/>
          <w:szCs w:val="13"/>
          <w:spacing w:val="-13"/>
        </w:rPr>
        <w:t xml:space="preserve"> </w:t>
      </w:r>
      <w:r>
        <w:rPr>
          <w:rFonts w:ascii="Microsoft YaHei" w:hAnsi="Microsoft YaHei" w:eastAsia="Microsoft YaHei" w:cs="Microsoft YaHei"/>
          <w:sz w:val="13"/>
          <w:szCs w:val="13"/>
        </w:rPr>
        <w:t>PE</w:t>
      </w:r>
      <w:r>
        <w:rPr>
          <w:rFonts w:ascii="Microsoft YaHei" w:hAnsi="Microsoft YaHei" w:eastAsia="Microsoft YaHei" w:cs="Microsoft YaHei"/>
          <w:sz w:val="13"/>
          <w:szCs w:val="13"/>
          <w:spacing w:val="8"/>
        </w:rPr>
        <w:t>成长期、 </w:t>
      </w:r>
      <w:r>
        <w:rPr>
          <w:rFonts w:ascii="Microsoft YaHei" w:hAnsi="Microsoft YaHei" w:eastAsia="Microsoft YaHei" w:cs="Microsoft YaHei"/>
          <w:sz w:val="13"/>
          <w:szCs w:val="13"/>
        </w:rPr>
        <w:t>PIPE</w:t>
      </w:r>
      <w:r>
        <w:rPr>
          <w:rFonts w:ascii="Microsoft YaHei" w:hAnsi="Microsoft YaHei" w:eastAsia="Microsoft YaHei" w:cs="Microsoft YaHei"/>
          <w:sz w:val="13"/>
          <w:szCs w:val="13"/>
          <w:spacing w:val="8"/>
        </w:rPr>
        <w:t>（</w:t>
      </w:r>
      <w:r>
        <w:rPr>
          <w:rFonts w:ascii="Microsoft YaHei" w:hAnsi="Microsoft YaHei" w:eastAsia="Microsoft YaHei" w:cs="Microsoft YaHei"/>
          <w:sz w:val="13"/>
          <w:szCs w:val="13"/>
        </w:rPr>
        <w:t>Private</w:t>
      </w:r>
      <w:r>
        <w:rPr>
          <w:rFonts w:ascii="Microsoft YaHei" w:hAnsi="Microsoft YaHei" w:eastAsia="Microsoft YaHei" w:cs="Microsoft YaHei"/>
          <w:sz w:val="13"/>
          <w:szCs w:val="13"/>
          <w:spacing w:val="8"/>
        </w:rPr>
        <w:t xml:space="preserve">  </w:t>
      </w:r>
      <w:r>
        <w:rPr>
          <w:rFonts w:ascii="Microsoft YaHei" w:hAnsi="Microsoft YaHei" w:eastAsia="Microsoft YaHei" w:cs="Microsoft YaHei"/>
          <w:sz w:val="13"/>
          <w:szCs w:val="13"/>
        </w:rPr>
        <w:t>Investment</w:t>
      </w:r>
      <w:r>
        <w:rPr>
          <w:rFonts w:ascii="Microsoft YaHei" w:hAnsi="Microsoft YaHei" w:eastAsia="Microsoft YaHei" w:cs="Microsoft YaHei"/>
          <w:sz w:val="13"/>
          <w:szCs w:val="13"/>
          <w:spacing w:val="8"/>
        </w:rPr>
        <w:t xml:space="preserve"> </w:t>
      </w:r>
      <w:r>
        <w:rPr>
          <w:rFonts w:ascii="Microsoft YaHei" w:hAnsi="Microsoft YaHei" w:eastAsia="Microsoft YaHei" w:cs="Microsoft YaHei"/>
          <w:sz w:val="13"/>
          <w:szCs w:val="13"/>
        </w:rPr>
        <w:t>in</w:t>
      </w:r>
      <w:r>
        <w:rPr>
          <w:rFonts w:ascii="Microsoft YaHei" w:hAnsi="Microsoft YaHei" w:eastAsia="Microsoft YaHei" w:cs="Microsoft YaHei"/>
          <w:sz w:val="13"/>
          <w:szCs w:val="13"/>
          <w:spacing w:val="8"/>
        </w:rPr>
        <w:t xml:space="preserve"> </w:t>
      </w:r>
      <w:r>
        <w:rPr>
          <w:rFonts w:ascii="Microsoft YaHei" w:hAnsi="Microsoft YaHei" w:eastAsia="Microsoft YaHei" w:cs="Microsoft YaHei"/>
          <w:sz w:val="13"/>
          <w:szCs w:val="13"/>
        </w:rPr>
        <w:t>Public</w:t>
      </w:r>
    </w:p>
    <w:p>
      <w:pPr>
        <w:ind w:left="394" w:right="2978" w:firstLine="5"/>
        <w:spacing w:before="1" w:line="183" w:lineRule="auto"/>
        <w:rPr>
          <w:rFonts w:ascii="Microsoft YaHei" w:hAnsi="Microsoft YaHei" w:eastAsia="Microsoft YaHei" w:cs="Microsoft YaHei"/>
          <w:sz w:val="13"/>
          <w:szCs w:val="13"/>
        </w:rPr>
      </w:pPr>
      <w:r>
        <w:rPr>
          <w:rFonts w:ascii="Microsoft YaHei" w:hAnsi="Microsoft YaHei" w:eastAsia="Microsoft YaHei" w:cs="Microsoft YaHei"/>
          <w:sz w:val="13"/>
          <w:szCs w:val="13"/>
        </w:rPr>
        <w:t>Equity</w:t>
      </w:r>
      <w:r>
        <w:rPr>
          <w:rFonts w:ascii="Microsoft YaHei" w:hAnsi="Microsoft YaHei" w:eastAsia="Microsoft YaHei" w:cs="Microsoft YaHei"/>
          <w:sz w:val="13"/>
          <w:szCs w:val="13"/>
          <w:spacing w:val="8"/>
        </w:rPr>
        <w:t>）、战略收购（</w:t>
      </w:r>
      <w:r>
        <w:rPr>
          <w:rFonts w:ascii="Microsoft YaHei" w:hAnsi="Microsoft YaHei" w:eastAsia="Microsoft YaHei" w:cs="Microsoft YaHei"/>
          <w:sz w:val="13"/>
          <w:szCs w:val="13"/>
        </w:rPr>
        <w:t>Buyout</w:t>
      </w:r>
      <w:r>
        <w:rPr>
          <w:rFonts w:ascii="Microsoft YaHei" w:hAnsi="Microsoft YaHei" w:eastAsia="Microsoft YaHei" w:cs="Microsoft YaHei"/>
          <w:sz w:val="13"/>
          <w:szCs w:val="13"/>
          <w:spacing w:val="8"/>
        </w:rPr>
        <w:t>/</w:t>
      </w:r>
      <w:r>
        <w:rPr>
          <w:rFonts w:ascii="Microsoft YaHei" w:hAnsi="Microsoft YaHei" w:eastAsia="Microsoft YaHei" w:cs="Microsoft YaHei"/>
          <w:sz w:val="13"/>
          <w:szCs w:val="13"/>
        </w:rPr>
        <w:t>LBO</w:t>
      </w:r>
      <w:r>
        <w:rPr>
          <w:rFonts w:ascii="Microsoft YaHei" w:hAnsi="Microsoft YaHei" w:eastAsia="Microsoft YaHei" w:cs="Microsoft YaHei"/>
          <w:sz w:val="13"/>
          <w:szCs w:val="13"/>
          <w:spacing w:val="8"/>
        </w:rPr>
        <w:t>）、 </w:t>
      </w:r>
      <w:r>
        <w:rPr>
          <w:rFonts w:ascii="Microsoft YaHei" w:hAnsi="Microsoft YaHei" w:eastAsia="Microsoft YaHei" w:cs="Microsoft YaHei"/>
          <w:sz w:val="13"/>
          <w:szCs w:val="13"/>
        </w:rPr>
        <w:t>IPO</w:t>
      </w:r>
      <w:r>
        <w:rPr>
          <w:rFonts w:ascii="Microsoft YaHei" w:hAnsi="Microsoft YaHei" w:eastAsia="Microsoft YaHei" w:cs="Microsoft YaHei"/>
          <w:sz w:val="13"/>
          <w:szCs w:val="13"/>
          <w:spacing w:val="-17"/>
        </w:rPr>
        <w:t xml:space="preserve"> </w:t>
      </w:r>
      <w:r>
        <w:rPr>
          <w:rFonts w:ascii="Microsoft YaHei" w:hAnsi="Microsoft YaHei" w:eastAsia="Microsoft YaHei" w:cs="Microsoft YaHei"/>
          <w:sz w:val="13"/>
          <w:szCs w:val="13"/>
          <w:spacing w:val="8"/>
        </w:rPr>
        <w:t>，包括未披露金额的交易。  </w:t>
      </w:r>
      <w:r>
        <w:rPr>
          <w:rFonts w:ascii="Microsoft YaHei" w:hAnsi="Microsoft YaHei" w:eastAsia="Microsoft YaHei" w:cs="Microsoft YaHei"/>
          <w:sz w:val="13"/>
          <w:szCs w:val="13"/>
        </w:rPr>
        <w:t>Pitchbook</w:t>
      </w:r>
      <w:r>
        <w:rPr>
          <w:rFonts w:ascii="Microsoft YaHei" w:hAnsi="Microsoft YaHei" w:eastAsia="Microsoft YaHei" w:cs="Microsoft YaHei"/>
          <w:sz w:val="13"/>
          <w:szCs w:val="13"/>
          <w:spacing w:val="8"/>
        </w:rPr>
        <w:t>和投中数据对储能行业和融资轮次的</w:t>
      </w:r>
      <w:r>
        <w:rPr>
          <w:rFonts w:ascii="Microsoft YaHei" w:hAnsi="Microsoft YaHei" w:eastAsia="Microsoft YaHei" w:cs="Microsoft YaHei"/>
          <w:sz w:val="13"/>
          <w:szCs w:val="13"/>
          <w:spacing w:val="7"/>
        </w:rPr>
        <w:t>界定不同，</w:t>
      </w:r>
      <w:r>
        <w:rPr>
          <w:rFonts w:ascii="Microsoft YaHei" w:hAnsi="Microsoft YaHei" w:eastAsia="Microsoft YaHei" w:cs="Microsoft YaHei"/>
          <w:sz w:val="13"/>
          <w:szCs w:val="13"/>
        </w:rPr>
        <w:t xml:space="preserve"> </w:t>
      </w:r>
      <w:r>
        <w:rPr>
          <w:rFonts w:ascii="Microsoft YaHei" w:hAnsi="Microsoft YaHei" w:eastAsia="Microsoft YaHei" w:cs="Microsoft YaHei"/>
          <w:sz w:val="13"/>
          <w:szCs w:val="13"/>
          <w:spacing w:val="9"/>
        </w:rPr>
        <w:t>可能导致</w:t>
      </w:r>
      <w:r>
        <w:rPr>
          <w:rFonts w:ascii="Microsoft YaHei" w:hAnsi="Microsoft YaHei" w:eastAsia="Microsoft YaHei" w:cs="Microsoft YaHei"/>
          <w:sz w:val="13"/>
          <w:szCs w:val="13"/>
        </w:rPr>
        <w:t>Pitchbook</w:t>
      </w:r>
      <w:r>
        <w:rPr>
          <w:rFonts w:ascii="Microsoft YaHei" w:hAnsi="Microsoft YaHei" w:eastAsia="Microsoft YaHei" w:cs="Microsoft YaHei"/>
          <w:sz w:val="13"/>
          <w:szCs w:val="13"/>
          <w:spacing w:val="9"/>
        </w:rPr>
        <w:t>统计口径下中国储能融资规模和投中数据统计口径下存在较大差异。</w:t>
      </w:r>
    </w:p>
    <w:p>
      <w:pPr>
        <w:ind w:left="889" w:right="1241" w:hanging="411"/>
        <w:spacing w:before="266" w:line="150"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50" w:lineRule="auto"/>
        <w:sectPr>
          <w:type w:val="continuous"/>
          <w:pgSz w:w="12245" w:h="17180"/>
          <w:pgMar w:top="400" w:right="0" w:bottom="0" w:left="916" w:header="0" w:footer="0" w:gutter="0"/>
          <w:cols w:equalWidth="0" w:num="1">
            <w:col w:w="11329" w:space="0"/>
          </w:cols>
        </w:sectPr>
        <w:rPr>
          <w:rFonts w:ascii="Microsoft YaHei" w:hAnsi="Microsoft YaHei" w:eastAsia="Microsoft YaHei" w:cs="Microsoft YaHei"/>
          <w:sz w:val="11"/>
          <w:szCs w:val="11"/>
        </w:rPr>
      </w:pPr>
    </w:p>
    <w:p>
      <w:pPr>
        <w:spacing w:before="314" w:line="193" w:lineRule="auto"/>
        <w:rPr>
          <w:rFonts w:ascii="Microsoft YaHei" w:hAnsi="Microsoft YaHei" w:eastAsia="Microsoft YaHei" w:cs="Microsoft YaHei"/>
          <w:sz w:val="18"/>
          <w:szCs w:val="18"/>
        </w:rPr>
      </w:pPr>
      <w:r>
        <w:pict>
          <v:rect id="_x0000_s1568" style="position:absolute;margin-left:611.99pt;margin-top:0pt;mso-position-vertical-relative:page;mso-position-horizontal-relative:page;width:0.25pt;height:859pt;z-index:253699072;" o:allowincell="f" fillcolor="#000000" filled="true" stroked="false"/>
        </w:pict>
      </w:r>
      <w:r>
        <w:rPr>
          <w:rFonts w:ascii="Microsoft YaHei" w:hAnsi="Microsoft YaHei" w:eastAsia="Microsoft YaHei" w:cs="Microsoft YaHei"/>
          <w:sz w:val="18"/>
          <w:szCs w:val="18"/>
          <w:b/>
          <w:bCs/>
          <w:color w:val="A8A8A8"/>
          <w:spacing w:val="-2"/>
        </w:rPr>
        <w:t>69</w:t>
      </w:r>
      <w:r>
        <w:rPr>
          <w:rFonts w:ascii="Microsoft YaHei" w:hAnsi="Microsoft YaHei" w:eastAsia="Microsoft YaHei" w:cs="Microsoft YaHei"/>
          <w:sz w:val="18"/>
          <w:szCs w:val="18"/>
          <w:b/>
          <w:bCs/>
          <w:color w:val="A8A8A8"/>
          <w:spacing w:val="18"/>
        </w:rPr>
        <w:t xml:space="preserve">  </w:t>
      </w:r>
      <w:r>
        <w:rPr>
          <w:sz w:val="18"/>
          <w:szCs w:val="18"/>
          <w:position w:val="-4"/>
        </w:rPr>
        <w:drawing>
          <wp:inline distT="0" distB="0" distL="0" distR="0">
            <wp:extent cx="6350" cy="130175"/>
            <wp:effectExtent l="0" t="0" r="0" b="0"/>
            <wp:docPr id="742" name="IM 742"/>
            <wp:cNvGraphicFramePr/>
            <a:graphic>
              <a:graphicData uri="http://schemas.openxmlformats.org/drawingml/2006/picture">
                <pic:pic>
                  <pic:nvPicPr>
                    <pic:cNvPr id="742" name="IM 742"/>
                    <pic:cNvPicPr/>
                  </pic:nvPicPr>
                  <pic:blipFill>
                    <a:blip r:embed="rId353"/>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A8A8A8"/>
          <w:spacing w:val="26"/>
          <w:w w:val="101"/>
        </w:rPr>
        <w:t xml:space="preserve">  </w:t>
      </w:r>
      <w:r>
        <w:rPr>
          <w:rFonts w:ascii="Microsoft YaHei" w:hAnsi="Microsoft YaHei" w:eastAsia="Microsoft YaHei" w:cs="Microsoft YaHei"/>
          <w:sz w:val="18"/>
          <w:szCs w:val="18"/>
          <w:color w:val="A8A8A8"/>
          <w:spacing w:val="-2"/>
        </w:rPr>
        <w:t>新型储能助力能源转型</w:t>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60" w:lineRule="auto"/>
        <w:rPr/>
      </w:pPr>
      <w:r/>
    </w:p>
    <w:p>
      <w:pPr>
        <w:ind w:left="350" w:right="3002"/>
        <w:spacing w:before="90" w:line="21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欧洲储能行业股权融资主要分布在德国、法国、瑞典、英国和比利时，</w:t>
      </w:r>
      <w:r>
        <w:rPr>
          <w:rFonts w:ascii="Microsoft YaHei" w:hAnsi="Microsoft YaHei" w:eastAsia="Microsoft YaHei" w:cs="Microsoft YaHei"/>
          <w:sz w:val="21"/>
          <w:szCs w:val="21"/>
          <w:spacing w:val="-22"/>
        </w:rPr>
        <w:t xml:space="preserve"> </w:t>
      </w:r>
      <w:r>
        <w:rPr>
          <w:rFonts w:ascii="Microsoft YaHei" w:hAnsi="Microsoft YaHei" w:eastAsia="Microsoft YaHei" w:cs="Microsoft YaHei"/>
          <w:sz w:val="21"/>
          <w:szCs w:val="21"/>
          <w:spacing w:val="1"/>
        </w:rPr>
        <w:t>2022年五国占</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欧洲储能融资规模的91%，五国占比分别为38%、30%、11%、7%、4%（图 32）。</w:t>
      </w:r>
    </w:p>
    <w:p>
      <w:pPr>
        <w:pStyle w:val="BodyText"/>
        <w:spacing w:line="385" w:lineRule="auto"/>
        <w:rPr/>
      </w:pPr>
      <w:r>
        <w:pict>
          <v:rect id="_x0000_s1570" style="position:absolute;margin-left:16.7428pt;margin-top:12.7771pt;mso-position-vertical-relative:text;mso-position-horizontal-relative:text;width:30.5pt;height:5pt;z-index:253700096;" fillcolor="#00338D" filled="true" stroked="false"/>
        </w:pict>
      </w:r>
      <w:r/>
    </w:p>
    <w:p>
      <w:pPr>
        <w:ind w:left="1253"/>
        <w:spacing w:before="90" w:line="180" w:lineRule="auto"/>
        <w:rPr>
          <w:rFonts w:ascii="Microsoft YaHei" w:hAnsi="Microsoft YaHei" w:eastAsia="Microsoft YaHei" w:cs="Microsoft YaHei"/>
          <w:sz w:val="21"/>
          <w:szCs w:val="21"/>
        </w:rPr>
      </w:pPr>
      <w:r>
        <mc:AlternateContent xmlns:mc="http://schemas.openxmlformats.org/markup-compatibility/2006">
          <mc:Choice Requires="wps">
            <w:drawing>
              <wp:anchor distT="0" distB="0" distL="0" distR="0" simplePos="0" relativeHeight="253694976" behindDoc="1" locked="0" layoutInCell="1" allowOverlap="1">
                <wp:simplePos x="0" y="0"/>
                <wp:positionH relativeFrom="column">
                  <wp:posOffset>211109</wp:posOffset>
                </wp:positionH>
                <wp:positionV relativeFrom="paragraph">
                  <wp:posOffset>-41296</wp:posOffset>
                </wp:positionV>
                <wp:extent cx="6123940" cy="329565"/>
                <wp:effectExtent l="0" t="0" r="0" b="0"/>
                <wp:wrapNone/>
                <wp:docPr id="744" name="Rect 744"/>
                <wp:cNvGraphicFramePr/>
                <a:graphic>
                  <a:graphicData uri="http://schemas.microsoft.com/office/word/2010/wordprocessingShape">
                    <wps:wsp>
                      <wps:cNvPr id="744" name="Rect 744"/>
                      <wps:cNvSpPr/>
                      <wps:spPr>
                        <a:xfrm>
                          <a:off x="211109" y="-41296"/>
                          <a:ext cx="6123940" cy="329565"/>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572" style="position:absolute;margin-left:16.6228pt;margin-top:-3.25166pt;mso-position-vertical-relative:text;mso-position-horizontal-relative:text;width:482.2pt;height:25.95pt;z-index:-249621504;" fillcolor="#F1F1F1" filled="true" stroked="false"/>
            </w:pict>
          </mc:Fallback>
        </mc:AlternateContent>
      </w:r>
      <w:r>
        <w:pict>
          <v:shape id="_x0000_s1574" style="position:absolute;margin-left:23.6318pt;margin-top:1.74834pt;mso-position-vertical-relative:text;mso-position-horizontal-relative:text;width:31.5pt;height:18.2pt;z-index:253698048;" filled="false" stroked="false" type="#_x0000_t202">
            <v:fill on="false"/>
            <v:stroke on="false"/>
            <v:path/>
            <v:imagedata o:title=""/>
            <o:lock v:ext="edit" aspectratio="false"/>
            <v:textbox inset="0mm,0mm,0mm,0mm">
              <w:txbxContent>
                <w:p>
                  <w:pPr>
                    <w:ind w:left="20"/>
                    <w:spacing w:before="20" w:line="215" w:lineRule="auto"/>
                    <w:rPr>
                      <w:sz w:val="21"/>
                      <w:szCs w:val="21"/>
                    </w:rPr>
                  </w:pPr>
                  <w:r>
                    <w:rPr>
                      <w:rFonts w:ascii="Microsoft YaHei" w:hAnsi="Microsoft YaHei" w:eastAsia="Microsoft YaHei" w:cs="Microsoft YaHei"/>
                      <w:sz w:val="21"/>
                      <w:szCs w:val="21"/>
                      <w:b/>
                      <w:bCs/>
                      <w:color w:val="00338D"/>
                      <w:spacing w:val="-10"/>
                    </w:rPr>
                    <w:t>图 32</w:t>
                  </w:r>
                  <w:r>
                    <w:rPr>
                      <w:rFonts w:ascii="Microsoft YaHei" w:hAnsi="Microsoft YaHei" w:eastAsia="Microsoft YaHei" w:cs="Microsoft YaHei"/>
                      <w:sz w:val="21"/>
                      <w:szCs w:val="21"/>
                      <w:b/>
                      <w:bCs/>
                      <w:color w:val="00338D"/>
                      <w:spacing w:val="13"/>
                    </w:rPr>
                    <w:t xml:space="preserve"> </w:t>
                  </w:r>
                  <w:r>
                    <w:rPr>
                      <w:sz w:val="21"/>
                      <w:szCs w:val="21"/>
                      <w:position w:val="-5"/>
                    </w:rPr>
                    <w:drawing>
                      <wp:inline distT="0" distB="0" distL="0" distR="0">
                        <wp:extent cx="12700" cy="175666"/>
                        <wp:effectExtent l="0" t="0" r="0" b="0"/>
                        <wp:docPr id="746" name="IM 746"/>
                        <wp:cNvGraphicFramePr/>
                        <a:graphic>
                          <a:graphicData uri="http://schemas.openxmlformats.org/drawingml/2006/picture">
                            <pic:pic>
                              <pic:nvPicPr>
                                <pic:cNvPr id="746" name="IM 746"/>
                                <pic:cNvPicPr/>
                              </pic:nvPicPr>
                              <pic:blipFill>
                                <a:blip r:embed="rId354"/>
                                <a:stretch>
                                  <a:fillRect/>
                                </a:stretch>
                              </pic:blipFill>
                              <pic:spPr>
                                <a:xfrm rot="0">
                                  <a:off x="0" y="0"/>
                                  <a:ext cx="12700" cy="175666"/>
                                </a:xfrm>
                                <a:prstGeom prst="rect">
                                  <a:avLst/>
                                </a:prstGeom>
                              </pic:spPr>
                            </pic:pic>
                          </a:graphicData>
                        </a:graphic>
                      </wp:inline>
                    </w:drawing>
                  </w:r>
                </w:p>
              </w:txbxContent>
            </v:textbox>
          </v:shape>
        </w:pict>
      </w:r>
      <w:r>
        <w:rPr>
          <w:rFonts w:ascii="Microsoft YaHei" w:hAnsi="Microsoft YaHei" w:eastAsia="Microsoft YaHei" w:cs="Microsoft YaHei"/>
          <w:sz w:val="21"/>
          <w:szCs w:val="21"/>
          <w:b/>
          <w:bCs/>
          <w:color w:val="00338D"/>
          <w:spacing w:val="-2"/>
        </w:rPr>
        <w:t>2022年欧洲主要国家储能融资占比</w:t>
      </w:r>
    </w:p>
    <w:p>
      <w:pPr>
        <w:pStyle w:val="BodyText"/>
        <w:spacing w:line="389" w:lineRule="auto"/>
        <w:rPr/>
      </w:pPr>
      <w:r/>
    </w:p>
    <w:p>
      <w:pPr>
        <w:ind w:left="1012"/>
        <w:spacing w:before="105" w:line="197" w:lineRule="auto"/>
        <w:rPr>
          <w:rFonts w:ascii="Trebuchet MS" w:hAnsi="Trebuchet MS" w:eastAsia="Trebuchet MS" w:cs="Trebuchet MS"/>
          <w:sz w:val="36"/>
          <w:szCs w:val="36"/>
        </w:rPr>
      </w:pPr>
      <w:r>
        <w:pict>
          <v:shape id="_x0000_s1576" style="position:absolute;margin-left:99.9128pt;margin-top:14.1002pt;mso-position-vertical-relative:text;mso-position-horizontal-relative:text;width:138.7pt;height:0.5pt;z-index:253701120;" filled="false" strokecolor="#7F7F7F" strokeweight="0.50pt" coordsize="2773,10" coordorigin="0,0" path="m0,5l2773,5e">
            <v:stroke joinstyle="miter"/>
          </v:shape>
        </w:pict>
      </w:r>
      <w:r>
        <w:pict>
          <v:group id="_x0000_s1578" style="position:absolute;margin-left:180.248pt;margin-top:10.2195pt;mso-position-vertical-relative:text;mso-position-horizontal-relative:text;width:184.3pt;height:184.25pt;z-index:-249620480;" filled="false" stroked="false" coordsize="3686,3685" coordorigin="0,0">
            <v:shape id="_x0000_s1580" style="position:absolute;left:1842;top:15;width:1828;height:3156;" fillcolor="#00338D" filled="true" stroked="false" coordsize="1828,3156" coordorigin="0,0" path="m,c1009,0,1827,818,1827,1827c1827,2330,1620,2810,1255,3155l0,1827l0,0xe"/>
            <v:shape id="_x0000_s1582" style="position:absolute;left:1827;top:0;width:1858;height:3186;" filled="false" strokecolor="#FFFFFF" strokeweight="1.50pt" coordsize="1858,3186" coordorigin="0,0" path="m15,15c1024,15,1842,833,1842,1842c1842,2345,1635,2825,1270,3170l15,1842l15,15xe">
              <v:stroke miterlimit="10"/>
            </v:shape>
            <v:shape id="_x0000_s1584" style="position:absolute;left:172;top:1842;width:2926;height:1841;" fillcolor="#00B8F5" filled="true" stroked="false" coordsize="2926,1841" coordorigin="0,0" path="m2925,1328c2191,2021,1035,1988,341,1255c199,1104,84,931,0,741l1670,0l2925,1328xe"/>
            <v:shape id="_x0000_s1586" style="position:absolute;left:157;top:1827;width:2956;height:1856;" filled="false" strokecolor="#FFFFFF" strokeweight="1.50pt" coordsize="2956,1856" coordorigin="0,0" path="m2940,1343c2206,2036,1050,2003,356,1270c214,1119,99,946,15,756l1685,15l2940,1343xe">
              <v:stroke miterlimit="10"/>
            </v:shape>
            <v:shape id="_x0000_s1588" style="position:absolute;left:0;top:1366;width:1843;height:1219;" fillcolor="#ACEAFF" filled="true" stroked="false" coordsize="1843,1219" coordorigin="0,0" path="m172,1218c2,835,-31,404,78,0l1842,476l172,1218xe"/>
            <v:shape id="_x0000_s1590" style="position:absolute;left:0;top:1351;width:1858;height:1249;" filled="false" strokecolor="#FFFFFF" strokeweight="1.50pt" coordsize="1858,1249" coordorigin="0,0" path="m172,1233c2,850,-31,419,78,15l1842,491l172,1233xe">
              <v:stroke miterlimit="10"/>
            </v:shape>
            <v:shape id="_x0000_s1592" style="position:absolute;left:78;top:657;width:1765;height:1185;" fillcolor="#00C0AE" filled="true" stroked="false" coordsize="1765,1185" coordorigin="0,0" path="m0,709c70,447,198,205,373,0l1764,1185l0,709xe"/>
            <v:shape id="_x0000_s1594" style="position:absolute;left:63;top:642;width:1795;height:1215;" filled="false" strokecolor="#FFFFFF" strokeweight="1.50pt" coordsize="1795,1215" coordorigin="0,0" path="m15,724c85,462,213,220,388,15l1779,1200l15,724xe">
              <v:stroke miterlimit="10"/>
            </v:shape>
            <v:shape id="_x0000_s1596" style="position:absolute;left:451;top:326;width:1391;height:1516;" fillcolor="#0C233C" filled="true" stroked="false" coordsize="1391,1516" coordorigin="0,0" path="m0,330m0,330c107,203,232,92,369,0l1390,1515l0,330xe"/>
            <v:shape id="_x0000_s1598" style="position:absolute;left:436;top:311;width:1418;height:1543;" filled="false" strokecolor="#FFFFFF" strokeweight="1.50pt" coordsize="1418,1543" coordorigin="0,0" path="m15,345c122,218,247,107,384,15l1405,1530l15,345xe">
              <v:stroke miterlimit="10"/>
            </v:shape>
            <v:shape id="_x0000_s1600" style="position:absolute;left:821;top:15;width:1021;height:1828;" fillcolor="#7F7F7F" filled="true" stroked="false" coordsize="1021,1828" coordorigin="0,0" path="m0,311m0,311c301,108,657,0,1021,0l1021,1827l0,311xe"/>
            <v:shape id="_x0000_s1602" style="position:absolute;left:806;top:0;width:1051;height:1851;" filled="false" strokecolor="#FFFFFF" strokeweight="1.50pt" coordsize="1051,1851" coordorigin="0,0" path="m15,326c316,123,672,15,1036,15l1036,1842l15,326xe">
              <v:stroke miterlimit="10"/>
            </v:shape>
          </v:group>
        </w:pict>
      </w:r>
      <w:r>
        <w:rPr>
          <w:rFonts w:ascii="Microsoft YaHei" w:hAnsi="Microsoft YaHei" w:eastAsia="Microsoft YaHei" w:cs="Microsoft YaHei"/>
          <w:sz w:val="21"/>
          <w:szCs w:val="21"/>
          <w:color w:val="7F7F7F"/>
          <w:spacing w:val="-2"/>
          <w:position w:val="1"/>
        </w:rPr>
        <w:t>其他  </w:t>
      </w:r>
      <w:r>
        <w:rPr>
          <w:rFonts w:ascii="Trebuchet MS" w:hAnsi="Trebuchet MS" w:eastAsia="Trebuchet MS" w:cs="Trebuchet MS"/>
          <w:sz w:val="36"/>
          <w:szCs w:val="36"/>
          <w:b/>
          <w:bCs/>
          <w:color w:val="7F7F7F"/>
          <w:spacing w:val="-24"/>
          <w:w w:val="92"/>
        </w:rPr>
        <w:t>9%</w:t>
      </w:r>
    </w:p>
    <w:p>
      <w:pPr>
        <w:ind w:left="1021"/>
        <w:spacing w:before="1" w:line="230" w:lineRule="auto"/>
        <w:rPr>
          <w:rFonts w:ascii="Trebuchet MS" w:hAnsi="Trebuchet MS" w:eastAsia="Trebuchet MS" w:cs="Trebuchet MS"/>
          <w:sz w:val="36"/>
          <w:szCs w:val="36"/>
        </w:rPr>
      </w:pPr>
      <w:r>
        <w:pict>
          <v:shape id="_x0000_s1604" style="position:absolute;margin-left:108.073pt;margin-top:8.96082pt;mso-position-vertical-relative:text;mso-position-horizontal-relative:text;width:100.95pt;height:0.5pt;z-index:253702144;" filled="false" strokecolor="#7F7F7F" strokeweight="0.50pt" coordsize="2018,10" coordorigin="0,0" path="m0,5l2018,5e">
            <v:stroke joinstyle="miter"/>
          </v:shape>
        </w:pict>
      </w:r>
      <w:r>
        <w:rPr>
          <w:rFonts w:ascii="Microsoft YaHei" w:hAnsi="Microsoft YaHei" w:eastAsia="Microsoft YaHei" w:cs="Microsoft YaHei"/>
          <w:sz w:val="21"/>
          <w:szCs w:val="21"/>
          <w:color w:val="0C233C"/>
          <w:spacing w:val="-6"/>
          <w:position w:val="1"/>
        </w:rPr>
        <w:t>比利时</w:t>
      </w:r>
      <w:r>
        <w:rPr>
          <w:rFonts w:ascii="Microsoft YaHei" w:hAnsi="Microsoft YaHei" w:eastAsia="Microsoft YaHei" w:cs="Microsoft YaHei"/>
          <w:sz w:val="21"/>
          <w:szCs w:val="21"/>
          <w:color w:val="0C233C"/>
          <w:spacing w:val="12"/>
          <w:position w:val="1"/>
        </w:rPr>
        <w:t xml:space="preserve"> </w:t>
      </w:r>
      <w:r>
        <w:rPr>
          <w:rFonts w:ascii="Trebuchet MS" w:hAnsi="Trebuchet MS" w:eastAsia="Trebuchet MS" w:cs="Trebuchet MS"/>
          <w:sz w:val="36"/>
          <w:szCs w:val="36"/>
          <w:b/>
          <w:bCs/>
          <w:color w:val="0C233C"/>
          <w:spacing w:val="-15"/>
          <w:w w:val="90"/>
        </w:rPr>
        <w:t>4%</w:t>
      </w:r>
    </w:p>
    <w:p>
      <w:pPr>
        <w:ind w:left="1011"/>
        <w:spacing w:before="145" w:line="238" w:lineRule="auto"/>
        <w:rPr>
          <w:rFonts w:ascii="Trebuchet MS" w:hAnsi="Trebuchet MS" w:eastAsia="Trebuchet MS" w:cs="Trebuchet MS"/>
          <w:sz w:val="36"/>
          <w:szCs w:val="36"/>
        </w:rPr>
      </w:pPr>
      <w:r>
        <w:pict>
          <v:shape id="_x0000_s1606" style="position:absolute;margin-left:99.9128pt;margin-top:14.657pt;mso-position-vertical-relative:text;mso-position-horizontal-relative:text;width:88.9pt;height:0.5pt;z-index:253703168;" filled="false" strokecolor="#7F7F7F" strokeweight="0.50pt" coordsize="1778,10" coordorigin="0,0" path="m0,5l1777,5e">
            <v:stroke joinstyle="miter"/>
          </v:shape>
        </w:pict>
      </w:r>
      <w:r>
        <w:rPr>
          <w:rFonts w:ascii="Microsoft YaHei" w:hAnsi="Microsoft YaHei" w:eastAsia="Microsoft YaHei" w:cs="Microsoft YaHei"/>
          <w:sz w:val="21"/>
          <w:szCs w:val="21"/>
          <w:color w:val="00C0AE"/>
          <w:spacing w:val="-4"/>
          <w:position w:val="3"/>
        </w:rPr>
        <w:t>英国</w:t>
      </w:r>
      <w:r>
        <w:rPr>
          <w:rFonts w:ascii="Microsoft YaHei" w:hAnsi="Microsoft YaHei" w:eastAsia="Microsoft YaHei" w:cs="Microsoft YaHei"/>
          <w:sz w:val="21"/>
          <w:szCs w:val="21"/>
          <w:color w:val="00C0AE"/>
          <w:spacing w:val="60"/>
          <w:position w:val="3"/>
        </w:rPr>
        <w:t xml:space="preserve"> </w:t>
      </w:r>
      <w:r>
        <w:rPr>
          <w:rFonts w:ascii="Trebuchet MS" w:hAnsi="Trebuchet MS" w:eastAsia="Trebuchet MS" w:cs="Trebuchet MS"/>
          <w:sz w:val="36"/>
          <w:szCs w:val="36"/>
          <w:b/>
          <w:bCs/>
          <w:color w:val="00C0AE"/>
          <w:spacing w:val="-11"/>
          <w:w w:val="83"/>
          <w:position w:val="-1"/>
        </w:rPr>
        <w:t>7%</w:t>
      </w:r>
    </w:p>
    <w:p>
      <w:pPr>
        <w:ind w:left="8985"/>
        <w:spacing w:before="1" w:line="184" w:lineRule="auto"/>
        <w:rPr>
          <w:rFonts w:ascii="Trebuchet MS" w:hAnsi="Trebuchet MS" w:eastAsia="Trebuchet MS" w:cs="Trebuchet MS"/>
          <w:sz w:val="36"/>
          <w:szCs w:val="36"/>
        </w:rPr>
      </w:pPr>
      <w:r>
        <w:pict>
          <v:shape id="_x0000_s1608" style="position:absolute;margin-left:368.233pt;margin-top:6.65917pt;mso-position-vertical-relative:text;mso-position-horizontal-relative:text;width:73.8pt;height:0.5pt;z-index:253706240;" filled="false" strokecolor="#7F7F7F" strokeweight="0.50pt" coordsize="1476,10" coordorigin="0,0" path="m0,5l1475,5e">
            <v:stroke joinstyle="miter"/>
          </v:shape>
        </w:pict>
      </w:r>
      <w:r>
        <w:rPr>
          <w:rFonts w:ascii="Microsoft YaHei" w:hAnsi="Microsoft YaHei" w:eastAsia="Microsoft YaHei" w:cs="Microsoft YaHei"/>
          <w:sz w:val="21"/>
          <w:szCs w:val="21"/>
          <w:color w:val="00338D"/>
          <w:spacing w:val="-2"/>
          <w:position w:val="2"/>
        </w:rPr>
        <w:t>德国  </w:t>
      </w:r>
      <w:r>
        <w:rPr>
          <w:rFonts w:ascii="Trebuchet MS" w:hAnsi="Trebuchet MS" w:eastAsia="Trebuchet MS" w:cs="Trebuchet MS"/>
          <w:sz w:val="36"/>
          <w:szCs w:val="36"/>
          <w:b/>
          <w:bCs/>
          <w:color w:val="00338D"/>
          <w:spacing w:val="-31"/>
          <w:w w:val="92"/>
        </w:rPr>
        <w:t>38%</w:t>
      </w:r>
    </w:p>
    <w:p>
      <w:pPr>
        <w:ind w:left="1012"/>
        <w:spacing w:before="286" w:line="187" w:lineRule="auto"/>
        <w:rPr>
          <w:rFonts w:ascii="Trebuchet MS" w:hAnsi="Trebuchet MS" w:eastAsia="Trebuchet MS" w:cs="Trebuchet MS"/>
          <w:sz w:val="36"/>
          <w:szCs w:val="36"/>
        </w:rPr>
      </w:pPr>
      <w:r>
        <w:pict>
          <v:shape id="_x0000_s1610" style="position:absolute;margin-left:99.9128pt;margin-top:19.5474pt;mso-position-vertical-relative:text;mso-position-horizontal-relative:text;width:78.1pt;height:0.5pt;z-index:253705216;" filled="false" strokecolor="#7F7F7F" strokeweight="0.50pt" coordsize="1561,10" coordorigin="0,0" path="m0,5l1561,5e">
            <v:stroke joinstyle="miter"/>
          </v:shape>
        </w:pict>
      </w:r>
      <w:r>
        <w:rPr>
          <w:rFonts w:ascii="Microsoft YaHei" w:hAnsi="Microsoft YaHei" w:eastAsia="Microsoft YaHei" w:cs="Microsoft YaHei"/>
          <w:sz w:val="21"/>
          <w:szCs w:val="21"/>
          <w:color w:val="00338D"/>
          <w:spacing w:val="-2"/>
          <w:position w:val="2"/>
        </w:rPr>
        <w:t>瑞典  </w:t>
      </w:r>
      <w:r>
        <w:rPr>
          <w:rFonts w:ascii="Trebuchet MS" w:hAnsi="Trebuchet MS" w:eastAsia="Trebuchet MS" w:cs="Trebuchet MS"/>
          <w:sz w:val="36"/>
          <w:szCs w:val="36"/>
          <w:b/>
          <w:bCs/>
          <w:color w:val="00338D"/>
          <w:spacing w:val="-62"/>
          <w:position w:val="-1"/>
        </w:rPr>
        <w:t>11%</w:t>
      </w:r>
    </w:p>
    <w:p>
      <w:pPr>
        <w:pStyle w:val="BodyText"/>
        <w:spacing w:line="330" w:lineRule="auto"/>
        <w:rPr/>
      </w:pPr>
      <w:r/>
    </w:p>
    <w:p>
      <w:pPr>
        <w:pStyle w:val="BodyText"/>
        <w:spacing w:line="331" w:lineRule="auto"/>
        <w:rPr/>
      </w:pPr>
      <w:r/>
    </w:p>
    <w:p>
      <w:pPr>
        <w:ind w:left="1011"/>
        <w:spacing w:before="105" w:line="185" w:lineRule="auto"/>
        <w:rPr>
          <w:rFonts w:ascii="Trebuchet MS" w:hAnsi="Trebuchet MS" w:eastAsia="Trebuchet MS" w:cs="Trebuchet MS"/>
          <w:sz w:val="36"/>
          <w:szCs w:val="36"/>
        </w:rPr>
      </w:pPr>
      <w:r>
        <w:pict>
          <v:shape id="_x0000_s1612" style="position:absolute;margin-left:99.9128pt;margin-top:11.3486pt;mso-position-vertical-relative:text;mso-position-horizontal-relative:text;width:100.95pt;height:0.5pt;z-index:-249619456;" filled="false" strokecolor="#7F7F7F" strokeweight="0.50pt" coordsize="2018,10" coordorigin="0,0" path="m0,5l2018,5e">
            <v:stroke joinstyle="miter"/>
          </v:shape>
        </w:pict>
      </w:r>
      <w:r>
        <w:rPr>
          <w:rFonts w:ascii="Microsoft YaHei" w:hAnsi="Microsoft YaHei" w:eastAsia="Microsoft YaHei" w:cs="Microsoft YaHei"/>
          <w:sz w:val="21"/>
          <w:szCs w:val="21"/>
          <w:color w:val="00B8F5"/>
          <w:spacing w:val="-2"/>
          <w:position w:val="2"/>
        </w:rPr>
        <w:t>法国  </w:t>
      </w:r>
      <w:r>
        <w:rPr>
          <w:rFonts w:ascii="Trebuchet MS" w:hAnsi="Trebuchet MS" w:eastAsia="Trebuchet MS" w:cs="Trebuchet MS"/>
          <w:sz w:val="36"/>
          <w:szCs w:val="36"/>
          <w:b/>
          <w:bCs/>
          <w:color w:val="00B8F5"/>
          <w:spacing w:val="-26"/>
          <w:w w:val="90"/>
        </w:rPr>
        <w:t>30%</w:t>
      </w:r>
    </w:p>
    <w:p>
      <w:pPr>
        <w:pStyle w:val="BodyText"/>
        <w:spacing w:line="363" w:lineRule="auto"/>
        <w:rPr/>
      </w:pPr>
      <w:r/>
    </w:p>
    <w:p>
      <w:pPr>
        <w:ind w:left="340"/>
        <w:spacing w:before="65" w:line="185"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3"/>
        </w:rPr>
        <w:t>数据来源： </w:t>
      </w:r>
      <w:r>
        <w:rPr>
          <w:rFonts w:ascii="Microsoft YaHei" w:hAnsi="Microsoft YaHei" w:eastAsia="Microsoft YaHei" w:cs="Microsoft YaHei"/>
          <w:sz w:val="15"/>
          <w:szCs w:val="15"/>
        </w:rPr>
        <w:t>Pitchbook</w:t>
      </w:r>
      <w:r>
        <w:rPr>
          <w:rFonts w:ascii="Microsoft YaHei" w:hAnsi="Microsoft YaHei" w:eastAsia="Microsoft YaHei" w:cs="Microsoft YaHei"/>
          <w:sz w:val="15"/>
          <w:szCs w:val="15"/>
          <w:spacing w:val="3"/>
        </w:rPr>
        <w:t>，</w:t>
      </w:r>
      <w:r>
        <w:rPr>
          <w:rFonts w:ascii="Microsoft YaHei" w:hAnsi="Microsoft YaHei" w:eastAsia="Microsoft YaHei" w:cs="Microsoft YaHei"/>
          <w:sz w:val="15"/>
          <w:szCs w:val="15"/>
          <w:spacing w:val="-13"/>
        </w:rPr>
        <w:t xml:space="preserve"> </w:t>
      </w:r>
      <w:r>
        <w:rPr>
          <w:rFonts w:ascii="Microsoft YaHei" w:hAnsi="Microsoft YaHei" w:eastAsia="Microsoft YaHei" w:cs="Microsoft YaHei"/>
          <w:sz w:val="15"/>
          <w:szCs w:val="15"/>
          <w:spacing w:val="3"/>
        </w:rPr>
        <w:t>毕马威分析</w:t>
      </w:r>
    </w:p>
    <w:p>
      <w:pPr>
        <w:pStyle w:val="BodyText"/>
        <w:spacing w:line="306" w:lineRule="auto"/>
        <w:rPr/>
      </w:pPr>
      <w:r/>
    </w:p>
    <w:p>
      <w:pPr>
        <w:pStyle w:val="BodyText"/>
        <w:spacing w:line="306" w:lineRule="auto"/>
        <w:rPr/>
      </w:pPr>
      <w:r/>
    </w:p>
    <w:p>
      <w:pPr>
        <w:pStyle w:val="BodyText"/>
        <w:spacing w:line="306" w:lineRule="auto"/>
        <w:rPr/>
      </w:pPr>
      <w:r/>
    </w:p>
    <w:p>
      <w:pPr>
        <w:ind w:left="421"/>
        <w:spacing w:before="309" w:line="179" w:lineRule="auto"/>
        <w:outlineLvl w:val="0"/>
        <w:rPr>
          <w:rFonts w:ascii="Microsoft YaHei" w:hAnsi="Microsoft YaHei" w:eastAsia="Microsoft YaHei" w:cs="Microsoft YaHei"/>
          <w:sz w:val="72"/>
          <w:szCs w:val="72"/>
        </w:rPr>
      </w:pPr>
      <w:r>
        <w:rPr>
          <w:rFonts w:ascii="Microsoft YaHei" w:hAnsi="Microsoft YaHei" w:eastAsia="Microsoft YaHei" w:cs="Microsoft YaHei"/>
          <w:sz w:val="72"/>
          <w:szCs w:val="72"/>
          <w:b/>
          <w:bCs/>
          <w:color w:val="00338D"/>
          <w:spacing w:val="-8"/>
        </w:rPr>
        <w:t>中国储能行业融资</w:t>
      </w:r>
    </w:p>
    <w:p>
      <w:pPr>
        <w:ind w:left="341" w:right="2997" w:firstLine="11"/>
        <w:spacing w:before="100" w:line="21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国家“双碳”</w:t>
      </w:r>
      <w:r>
        <w:rPr>
          <w:rFonts w:ascii="Microsoft YaHei" w:hAnsi="Microsoft YaHei" w:eastAsia="Microsoft YaHei" w:cs="Microsoft YaHei"/>
          <w:sz w:val="21"/>
          <w:szCs w:val="21"/>
          <w:spacing w:val="-39"/>
        </w:rPr>
        <w:t xml:space="preserve"> </w:t>
      </w:r>
      <w:r>
        <w:rPr>
          <w:rFonts w:ascii="Microsoft YaHei" w:hAnsi="Microsoft YaHei" w:eastAsia="Microsoft YaHei" w:cs="Microsoft YaHei"/>
          <w:sz w:val="21"/>
          <w:szCs w:val="21"/>
          <w:spacing w:val="2"/>
        </w:rPr>
        <w:t>战略的实施</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，大幅促进了储能技术和产业的发展</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2"/>
        </w:rPr>
        <w:t>，储能实现了</w:t>
      </w:r>
      <w:r>
        <w:rPr>
          <w:rFonts w:ascii="Microsoft YaHei" w:hAnsi="Microsoft YaHei" w:eastAsia="Microsoft YaHei" w:cs="Microsoft YaHei"/>
          <w:sz w:val="21"/>
          <w:szCs w:val="21"/>
          <w:spacing w:val="1"/>
        </w:rPr>
        <w:t>从商业化</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发展初期到规模化发展的转变，储能的发展进入快车道。</w:t>
      </w:r>
    </w:p>
    <w:p>
      <w:pPr>
        <w:ind w:left="371" w:right="3334" w:hanging="8"/>
        <w:spacing w:before="179" w:line="173" w:lineRule="auto"/>
        <w:rPr>
          <w:rFonts w:ascii="Microsoft YaHei" w:hAnsi="Microsoft YaHei" w:eastAsia="Microsoft YaHei" w:cs="Microsoft YaHei"/>
          <w:sz w:val="36"/>
          <w:szCs w:val="36"/>
        </w:rPr>
      </w:pPr>
      <w:r>
        <w:rPr>
          <w:rFonts w:ascii="Microsoft YaHei" w:hAnsi="Microsoft YaHei" w:eastAsia="Microsoft YaHei" w:cs="Microsoft YaHei"/>
          <w:sz w:val="36"/>
          <w:szCs w:val="36"/>
          <w:b/>
          <w:bCs/>
          <w:color w:val="00338D"/>
          <w:spacing w:val="-5"/>
        </w:rPr>
        <w:t>储能融资：</w:t>
      </w:r>
      <w:r>
        <w:rPr>
          <w:rFonts w:ascii="Microsoft YaHei" w:hAnsi="Microsoft YaHei" w:eastAsia="Microsoft YaHei" w:cs="Microsoft YaHei"/>
          <w:sz w:val="36"/>
          <w:szCs w:val="36"/>
          <w:color w:val="00338D"/>
          <w:spacing w:val="-5"/>
        </w:rPr>
        <w:t>2020年以来行业融资金额快速增长，</w:t>
      </w:r>
      <w:r>
        <w:rPr>
          <w:rFonts w:ascii="Microsoft YaHei" w:hAnsi="Microsoft YaHei" w:eastAsia="Microsoft YaHei" w:cs="Microsoft YaHei"/>
          <w:sz w:val="36"/>
          <w:szCs w:val="36"/>
          <w:color w:val="00338D"/>
          <w:spacing w:val="8"/>
        </w:rPr>
        <w:t xml:space="preserve"> </w:t>
      </w:r>
      <w:r>
        <w:rPr>
          <w:rFonts w:ascii="Microsoft YaHei" w:hAnsi="Microsoft YaHei" w:eastAsia="Microsoft YaHei" w:cs="Microsoft YaHei"/>
          <w:sz w:val="36"/>
          <w:szCs w:val="36"/>
          <w:color w:val="00338D"/>
          <w:spacing w:val="-2"/>
        </w:rPr>
        <w:t>广东省储能企业遥遥领先</w:t>
      </w:r>
    </w:p>
    <w:p>
      <w:pPr>
        <w:ind w:left="360" w:right="2826" w:hanging="19"/>
        <w:spacing w:before="250" w:line="21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投中数据显示</w:t>
      </w:r>
      <w:r>
        <w:rPr>
          <w:rFonts w:ascii="Microsoft YaHei" w:hAnsi="Microsoft YaHei" w:eastAsia="Microsoft YaHei" w:cs="Microsoft YaHei"/>
          <w:sz w:val="21"/>
          <w:szCs w:val="21"/>
          <w:spacing w:val="-17"/>
        </w:rPr>
        <w:t xml:space="preserve"> </w:t>
      </w:r>
      <w:r>
        <w:rPr>
          <w:rFonts w:ascii="Microsoft YaHei" w:hAnsi="Microsoft YaHei" w:eastAsia="Microsoft YaHei" w:cs="Microsoft YaHei"/>
          <w:sz w:val="21"/>
          <w:szCs w:val="21"/>
          <w:spacing w:val="-1"/>
        </w:rPr>
        <w:t>，2020年下半年以来</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1"/>
        </w:rPr>
        <w:t>，储能行业融资数量和规模大幅增加，</w:t>
      </w:r>
      <w:r>
        <w:rPr>
          <w:rFonts w:ascii="Microsoft YaHei" w:hAnsi="Microsoft YaHei" w:eastAsia="Microsoft YaHei" w:cs="Microsoft YaHei"/>
          <w:sz w:val="21"/>
          <w:szCs w:val="21"/>
          <w:spacing w:val="-41"/>
        </w:rPr>
        <w:t xml:space="preserve"> </w:t>
      </w:r>
      <w:r>
        <w:rPr>
          <w:rFonts w:ascii="Microsoft YaHei" w:hAnsi="Microsoft YaHei" w:eastAsia="Microsoft YaHei" w:cs="Microsoft YaHei"/>
          <w:sz w:val="21"/>
          <w:szCs w:val="21"/>
          <w:spacing w:val="-1"/>
        </w:rPr>
        <w:t>成为继光伏、</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6"/>
        </w:rPr>
        <w:t>电动汽车后备受投资市场看好的新能源赛道。2019年储能行业融资规模仅30亿元，</w:t>
      </w:r>
    </w:p>
    <w:p>
      <w:pPr>
        <w:ind w:left="340" w:right="2833" w:firstLine="2"/>
        <w:spacing w:before="3" w:line="21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2022年增加到494亿元，是2019年融资额的16倍（图</w:t>
      </w:r>
      <w:r>
        <w:rPr>
          <w:rFonts w:ascii="Microsoft YaHei" w:hAnsi="Microsoft YaHei" w:eastAsia="Microsoft YaHei" w:cs="Microsoft YaHei"/>
          <w:sz w:val="21"/>
          <w:szCs w:val="21"/>
          <w:spacing w:val="25"/>
        </w:rPr>
        <w:t xml:space="preserve"> </w:t>
      </w:r>
      <w:r>
        <w:rPr>
          <w:rFonts w:ascii="Microsoft YaHei" w:hAnsi="Microsoft YaHei" w:eastAsia="Microsoft YaHei" w:cs="Microsoft YaHei"/>
          <w:sz w:val="21"/>
          <w:szCs w:val="21"/>
          <w:spacing w:val="-3"/>
        </w:rPr>
        <w:t>33）。由于中创新航（中航锂电）</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115.9亿元和蜂巢能源102.8亿元的大额融资，2021年三季度成为2019年以来储能融资</w:t>
      </w:r>
      <w:r>
        <w:rPr>
          <w:rFonts w:ascii="Microsoft YaHei" w:hAnsi="Microsoft YaHei" w:eastAsia="Microsoft YaHei" w:cs="Microsoft YaHei"/>
          <w:sz w:val="21"/>
          <w:szCs w:val="21"/>
          <w:spacing w:val="4"/>
        </w:rPr>
        <w:t xml:space="preserve">    </w:t>
      </w:r>
      <w:r>
        <w:rPr>
          <w:rFonts w:ascii="Microsoft YaHei" w:hAnsi="Microsoft YaHei" w:eastAsia="Microsoft YaHei" w:cs="Microsoft YaHei"/>
          <w:sz w:val="21"/>
          <w:szCs w:val="21"/>
          <w:spacing w:val="2"/>
        </w:rPr>
        <w:t>规模最大的季度。2022年储能行业仍然延续去年以来的火热，全年储能行业融资交易    </w:t>
      </w:r>
      <w:r>
        <w:rPr>
          <w:rFonts w:ascii="Microsoft YaHei" w:hAnsi="Microsoft YaHei" w:eastAsia="Microsoft YaHei" w:cs="Microsoft YaHei"/>
          <w:sz w:val="21"/>
          <w:szCs w:val="21"/>
        </w:rPr>
        <w:t>249笔，融资规模为494亿元。值得关注的是</w:t>
      </w:r>
      <w:r>
        <w:rPr>
          <w:rFonts w:ascii="Microsoft YaHei" w:hAnsi="Microsoft YaHei" w:eastAsia="Microsoft YaHei" w:cs="Microsoft YaHei"/>
          <w:sz w:val="21"/>
          <w:szCs w:val="21"/>
          <w:spacing w:val="-1"/>
        </w:rPr>
        <w:t>2022年下半年储能融资的数量和金额远远</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超过上半年</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4"/>
        </w:rPr>
        <w:t>，尤其是欣旺达、融通高科、国氢科技、海辰储能</w:t>
      </w:r>
      <w:r>
        <w:rPr>
          <w:rFonts w:ascii="Microsoft YaHei" w:hAnsi="Microsoft YaHei" w:eastAsia="Microsoft YaHei" w:cs="Microsoft YaHei"/>
          <w:sz w:val="21"/>
          <w:szCs w:val="21"/>
          <w:spacing w:val="3"/>
        </w:rPr>
        <w:t>、卫蓝新能源等多笔大</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额融资，带动下半年融资达367亿元，占全年融资的74%</w:t>
      </w:r>
      <w:r>
        <w:rPr>
          <w:rFonts w:ascii="Microsoft YaHei" w:hAnsi="Microsoft YaHei" w:eastAsia="Microsoft YaHei" w:cs="Microsoft YaHei"/>
          <w:sz w:val="13"/>
          <w:szCs w:val="13"/>
          <w:spacing w:val="-1"/>
          <w:position w:val="6"/>
        </w:rPr>
        <w:t>68</w:t>
      </w:r>
      <w:r>
        <w:rPr>
          <w:rFonts w:ascii="Microsoft YaHei" w:hAnsi="Microsoft YaHei" w:eastAsia="Microsoft YaHei" w:cs="Microsoft YaHei"/>
          <w:sz w:val="21"/>
          <w:szCs w:val="21"/>
          <w:spacing w:val="-1"/>
        </w:rPr>
        <w:t>。</w:t>
      </w:r>
    </w:p>
    <w:p>
      <w:pPr>
        <w:pStyle w:val="BodyText"/>
        <w:spacing w:line="255" w:lineRule="auto"/>
        <w:rPr/>
      </w:pPr>
      <w: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ict>
          <v:shape id="_x0000_s1614" style="position:absolute;margin-left:16.8728pt;margin-top:4.91353pt;mso-position-vertical-relative:text;mso-position-horizontal-relative:text;width:81.3pt;height:0.5pt;z-index:253704192;" filled="false" strokecolor="#000000" strokeweight="0.50pt" coordsize="1626,10" coordorigin="0,0" path="m0,5l1625,5e">
            <v:stroke joinstyle="miter"/>
          </v:shape>
        </w:pict>
      </w:r>
      <w:r/>
    </w:p>
    <w:p>
      <w:pPr>
        <w:ind w:left="338" w:right="2849"/>
        <w:spacing w:before="56" w:line="183"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8"/>
          <w:position w:val="4"/>
        </w:rPr>
        <w:t>68</w:t>
      </w:r>
      <w:r>
        <w:rPr>
          <w:rFonts w:ascii="Microsoft YaHei" w:hAnsi="Microsoft YaHei" w:eastAsia="Microsoft YaHei" w:cs="Microsoft YaHei"/>
          <w:sz w:val="9"/>
          <w:szCs w:val="9"/>
          <w:spacing w:val="14"/>
          <w:w w:val="103"/>
          <w:position w:val="4"/>
        </w:rPr>
        <w:t xml:space="preserve"> </w:t>
      </w:r>
      <w:r>
        <w:rPr>
          <w:rFonts w:ascii="Microsoft YaHei" w:hAnsi="Microsoft YaHei" w:eastAsia="Microsoft YaHei" w:cs="Microsoft YaHei"/>
          <w:sz w:val="13"/>
          <w:szCs w:val="13"/>
          <w:spacing w:val="8"/>
        </w:rPr>
        <w:t>投中数据部分储能融资交易没有披露具体金额，对未披露具体金额的交易，我们根据交易金额范围做</w:t>
      </w:r>
      <w:r>
        <w:rPr>
          <w:rFonts w:ascii="Microsoft YaHei" w:hAnsi="Microsoft YaHei" w:eastAsia="Microsoft YaHei" w:cs="Microsoft YaHei"/>
          <w:sz w:val="13"/>
          <w:szCs w:val="13"/>
          <w:spacing w:val="7"/>
        </w:rPr>
        <w:t>了近似处理。此外，</w:t>
      </w:r>
      <w:r>
        <w:rPr>
          <w:rFonts w:ascii="Microsoft YaHei" w:hAnsi="Microsoft YaHei" w:eastAsia="Microsoft YaHei" w:cs="Microsoft YaHei"/>
          <w:sz w:val="13"/>
          <w:szCs w:val="13"/>
          <w:spacing w:val="32"/>
        </w:rPr>
        <w:t xml:space="preserve"> </w:t>
      </w:r>
      <w:r>
        <w:rPr>
          <w:rFonts w:ascii="Microsoft YaHei" w:hAnsi="Microsoft YaHei" w:eastAsia="Microsoft YaHei" w:cs="Microsoft YaHei"/>
          <w:sz w:val="13"/>
          <w:szCs w:val="13"/>
          <w:spacing w:val="7"/>
        </w:rPr>
        <w:t>本部分数</w:t>
      </w:r>
      <w:r>
        <w:rPr>
          <w:rFonts w:ascii="Microsoft YaHei" w:hAnsi="Microsoft YaHei" w:eastAsia="Microsoft YaHei" w:cs="Microsoft YaHei"/>
          <w:sz w:val="13"/>
          <w:szCs w:val="13"/>
        </w:rPr>
        <w:t xml:space="preserve"> </w:t>
      </w:r>
      <w:r>
        <w:rPr>
          <w:rFonts w:ascii="Microsoft YaHei" w:hAnsi="Microsoft YaHei" w:eastAsia="Microsoft YaHei" w:cs="Microsoft YaHei"/>
          <w:sz w:val="13"/>
          <w:szCs w:val="13"/>
          <w:spacing w:val="8"/>
        </w:rPr>
        <w:t>据分析只包括企业上市之前的融资交易，例如，中创新航（中航锂电）于2022年10月上市，在此之前的多轮融资属于分析范围。</w:t>
      </w:r>
    </w:p>
    <w:p>
      <w:pPr>
        <w:ind w:left="837" w:right="1241" w:hanging="411"/>
        <w:spacing w:before="210"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968" w:header="0" w:footer="0" w:gutter="0"/>
        </w:sectPr>
        <w:rPr>
          <w:rFonts w:ascii="Microsoft YaHei" w:hAnsi="Microsoft YaHei" w:eastAsia="Microsoft YaHei" w:cs="Microsoft YaHei"/>
          <w:sz w:val="11"/>
          <w:szCs w:val="11"/>
        </w:rPr>
      </w:pPr>
    </w:p>
    <w:p>
      <w:pPr>
        <w:ind w:left="8034"/>
        <w:spacing w:before="314" w:line="193"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A8A8A8"/>
          <w:spacing w:val="-1"/>
        </w:rPr>
        <w:t>新型储能助力能源转型</w:t>
      </w:r>
      <w:r>
        <w:rPr>
          <w:rFonts w:ascii="Microsoft YaHei" w:hAnsi="Microsoft YaHei" w:eastAsia="Microsoft YaHei" w:cs="Microsoft YaHei"/>
          <w:sz w:val="18"/>
          <w:szCs w:val="18"/>
          <w:color w:val="A8A8A8"/>
          <w:spacing w:val="25"/>
        </w:rPr>
        <w:t xml:space="preserve">  </w:t>
      </w:r>
      <w:r>
        <w:rPr>
          <w:sz w:val="18"/>
          <w:szCs w:val="18"/>
          <w:position w:val="-4"/>
        </w:rPr>
        <w:drawing>
          <wp:inline distT="0" distB="0" distL="0" distR="0">
            <wp:extent cx="6350" cy="130175"/>
            <wp:effectExtent l="0" t="0" r="0" b="0"/>
            <wp:docPr id="748" name="IM 748"/>
            <wp:cNvGraphicFramePr/>
            <a:graphic>
              <a:graphicData uri="http://schemas.openxmlformats.org/drawingml/2006/picture">
                <pic:pic>
                  <pic:nvPicPr>
                    <pic:cNvPr id="748" name="IM 748"/>
                    <pic:cNvPicPr/>
                  </pic:nvPicPr>
                  <pic:blipFill>
                    <a:blip r:embed="rId355"/>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spacing w:val="17"/>
          <w:w w:val="101"/>
        </w:rPr>
        <w:t xml:space="preserve">  </w:t>
      </w:r>
      <w:r>
        <w:rPr>
          <w:rFonts w:ascii="Microsoft YaHei" w:hAnsi="Microsoft YaHei" w:eastAsia="Microsoft YaHei" w:cs="Microsoft YaHei"/>
          <w:sz w:val="18"/>
          <w:szCs w:val="18"/>
          <w:b/>
          <w:bCs/>
          <w:color w:val="A8A8A8"/>
          <w:spacing w:val="-1"/>
        </w:rPr>
        <w:t>70</w:t>
      </w:r>
    </w:p>
    <w:p>
      <w:pPr>
        <w:pStyle w:val="BodyText"/>
        <w:spacing w:line="276" w:lineRule="auto"/>
        <w:rPr/>
      </w:pPr>
      <w:r/>
    </w:p>
    <w:p>
      <w:pPr>
        <w:pStyle w:val="BodyText"/>
        <w:spacing w:line="277" w:lineRule="auto"/>
        <w:rPr/>
      </w:pPr>
      <w:r/>
    </w:p>
    <w:p>
      <w:pPr>
        <w:pStyle w:val="BodyText"/>
        <w:spacing w:line="277" w:lineRule="auto"/>
        <w:rPr/>
      </w:pPr>
      <w:r/>
    </w:p>
    <w:p>
      <w:pPr>
        <w:pStyle w:val="BodyText"/>
        <w:spacing w:line="277" w:lineRule="auto"/>
        <w:rPr/>
      </w:pPr>
      <w:r>
        <w:pict>
          <v:rect id="_x0000_s1616" style="position:absolute;margin-left:18.1061pt;margin-top:7.30017pt;mso-position-vertical-relative:text;mso-position-horizontal-relative:text;width:30.5pt;height:5pt;z-index:253745152;" fillcolor="#00338D" filled="true" stroked="false"/>
        </w:pict>
      </w:r>
      <w:r/>
    </w:p>
    <w:p>
      <w:pPr>
        <w:ind w:left="1280"/>
        <w:spacing w:before="91" w:line="187" w:lineRule="auto"/>
        <w:rPr>
          <w:rFonts w:ascii="Microsoft YaHei" w:hAnsi="Microsoft YaHei" w:eastAsia="Microsoft YaHei" w:cs="Microsoft YaHei"/>
          <w:sz w:val="21"/>
          <w:szCs w:val="21"/>
        </w:rPr>
      </w:pPr>
      <w:r>
        <mc:AlternateContent xmlns:mc="http://schemas.openxmlformats.org/markup-compatibility/2006">
          <mc:Choice Requires="wps">
            <w:drawing>
              <wp:anchor distT="0" distB="0" distL="0" distR="0" simplePos="0" relativeHeight="253735936" behindDoc="1" locked="0" layoutInCell="1" allowOverlap="1">
                <wp:simplePos x="0" y="0"/>
                <wp:positionH relativeFrom="column">
                  <wp:posOffset>228422</wp:posOffset>
                </wp:positionH>
                <wp:positionV relativeFrom="paragraph">
                  <wp:posOffset>-41849</wp:posOffset>
                </wp:positionV>
                <wp:extent cx="6123940" cy="332740"/>
                <wp:effectExtent l="0" t="0" r="0" b="0"/>
                <wp:wrapNone/>
                <wp:docPr id="750" name="Rect 750"/>
                <wp:cNvGraphicFramePr/>
                <a:graphic>
                  <a:graphicData uri="http://schemas.microsoft.com/office/word/2010/wordprocessingShape">
                    <wps:wsp>
                      <wps:cNvPr id="750" name="Rect 750"/>
                      <wps:cNvSpPr/>
                      <wps:spPr>
                        <a:xfrm>
                          <a:off x="228422" y="-41849"/>
                          <a:ext cx="6123940" cy="332740"/>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618" style="position:absolute;margin-left:17.9861pt;margin-top:-3.29527pt;mso-position-vertical-relative:text;mso-position-horizontal-relative:text;width:482.2pt;height:26.2pt;z-index:-249580544;" fillcolor="#F1F1F1" filled="true" stroked="false"/>
            </w:pict>
          </mc:Fallback>
        </mc:AlternateContent>
      </w:r>
      <w:r>
        <w:pict>
          <v:shape id="_x0000_s1620" style="position:absolute;margin-left:24.9951pt;margin-top:1.70473pt;mso-position-vertical-relative:text;mso-position-horizontal-relative:text;width:31.5pt;height:18.2pt;z-index:253743104;" filled="false" stroked="false" type="#_x0000_t202">
            <v:fill on="false"/>
            <v:stroke on="false"/>
            <v:path/>
            <v:imagedata o:title=""/>
            <o:lock v:ext="edit" aspectratio="false"/>
            <v:textbox inset="0mm,0mm,0mm,0mm">
              <w:txbxContent>
                <w:p>
                  <w:pPr>
                    <w:ind w:left="20"/>
                    <w:spacing w:before="20" w:line="215" w:lineRule="auto"/>
                    <w:outlineLvl w:val="0"/>
                    <w:rPr>
                      <w:sz w:val="21"/>
                      <w:szCs w:val="21"/>
                    </w:rPr>
                  </w:pPr>
                  <w:r>
                    <w:rPr>
                      <w:rFonts w:ascii="Microsoft YaHei" w:hAnsi="Microsoft YaHei" w:eastAsia="Microsoft YaHei" w:cs="Microsoft YaHei"/>
                      <w:sz w:val="21"/>
                      <w:szCs w:val="21"/>
                      <w:b/>
                      <w:bCs/>
                      <w:color w:val="00338D"/>
                      <w:spacing w:val="-10"/>
                    </w:rPr>
                    <w:t>图 33</w:t>
                  </w:r>
                  <w:r>
                    <w:rPr>
                      <w:rFonts w:ascii="Microsoft YaHei" w:hAnsi="Microsoft YaHei" w:eastAsia="Microsoft YaHei" w:cs="Microsoft YaHei"/>
                      <w:sz w:val="21"/>
                      <w:szCs w:val="21"/>
                      <w:b/>
                      <w:bCs/>
                      <w:color w:val="00338D"/>
                      <w:spacing w:val="13"/>
                    </w:rPr>
                    <w:t xml:space="preserve"> </w:t>
                  </w:r>
                  <w:r>
                    <w:rPr>
                      <w:sz w:val="21"/>
                      <w:szCs w:val="21"/>
                      <w:position w:val="-5"/>
                    </w:rPr>
                    <w:drawing>
                      <wp:inline distT="0" distB="0" distL="0" distR="0">
                        <wp:extent cx="12700" cy="175666"/>
                        <wp:effectExtent l="0" t="0" r="0" b="0"/>
                        <wp:docPr id="752" name="IM 752"/>
                        <wp:cNvGraphicFramePr/>
                        <a:graphic>
                          <a:graphicData uri="http://schemas.openxmlformats.org/drawingml/2006/picture">
                            <pic:pic>
                              <pic:nvPicPr>
                                <pic:cNvPr id="752" name="IM 752"/>
                                <pic:cNvPicPr/>
                              </pic:nvPicPr>
                              <pic:blipFill>
                                <a:blip r:embed="rId356"/>
                                <a:stretch>
                                  <a:fillRect/>
                                </a:stretch>
                              </pic:blipFill>
                              <pic:spPr>
                                <a:xfrm rot="0">
                                  <a:off x="0" y="0"/>
                                  <a:ext cx="12700" cy="175666"/>
                                </a:xfrm>
                                <a:prstGeom prst="rect">
                                  <a:avLst/>
                                </a:prstGeom>
                              </pic:spPr>
                            </pic:pic>
                          </a:graphicData>
                        </a:graphic>
                      </wp:inline>
                    </w:drawing>
                  </w:r>
                </w:p>
              </w:txbxContent>
            </v:textbox>
          </v:shape>
        </w:pict>
      </w:r>
      <w:r>
        <w:rPr>
          <w:rFonts w:ascii="Microsoft YaHei" w:hAnsi="Microsoft YaHei" w:eastAsia="Microsoft YaHei" w:cs="Microsoft YaHei"/>
          <w:sz w:val="21"/>
          <w:szCs w:val="21"/>
          <w:b/>
          <w:bCs/>
          <w:color w:val="00338D"/>
          <w:spacing w:val="-3"/>
        </w:rPr>
        <w:t>2019-2022年储能行业融资数量和金额，季度</w:t>
      </w:r>
    </w:p>
    <w:p>
      <w:pPr>
        <w:spacing w:before="96"/>
        <w:rPr/>
      </w:pPr>
      <w:r/>
    </w:p>
    <w:p>
      <w:pPr>
        <w:sectPr>
          <w:pgSz w:w="12245" w:h="17180"/>
          <w:pgMar w:top="400" w:right="0" w:bottom="0" w:left="941" w:header="0" w:footer="0" w:gutter="0"/>
          <w:cols w:equalWidth="0" w:num="1">
            <w:col w:w="11304" w:space="0"/>
          </w:cols>
        </w:sectPr>
        <w:rPr/>
      </w:pPr>
    </w:p>
    <w:p>
      <w:pPr>
        <w:pStyle w:val="BodyText"/>
        <w:ind w:right="9"/>
        <w:spacing w:line="195" w:lineRule="auto"/>
        <w:jc w:val="right"/>
        <w:rPr>
          <w:sz w:val="20"/>
          <w:szCs w:val="20"/>
        </w:rPr>
      </w:pPr>
      <w:r>
        <w:rPr>
          <w:sz w:val="20"/>
          <w:szCs w:val="20"/>
          <w:spacing w:val="-2"/>
        </w:rPr>
        <w:t>250</w:t>
      </w:r>
    </w:p>
    <w:p>
      <w:pPr>
        <w:pStyle w:val="BodyText"/>
        <w:spacing w:line="401" w:lineRule="auto"/>
        <w:rPr/>
      </w:pPr>
      <w:r/>
    </w:p>
    <w:p>
      <w:pPr>
        <w:pStyle w:val="BodyText"/>
        <w:ind w:right="9"/>
        <w:spacing w:before="58" w:line="195" w:lineRule="auto"/>
        <w:jc w:val="right"/>
        <w:rPr>
          <w:sz w:val="20"/>
          <w:szCs w:val="20"/>
        </w:rPr>
      </w:pPr>
      <w:r>
        <w:rPr>
          <w:sz w:val="20"/>
          <w:szCs w:val="20"/>
          <w:spacing w:val="-2"/>
        </w:rPr>
        <w:t>200</w:t>
      </w:r>
    </w:p>
    <w:p>
      <w:pPr>
        <w:pStyle w:val="BodyText"/>
        <w:spacing w:line="401" w:lineRule="auto"/>
        <w:rPr/>
      </w:pPr>
      <w:r/>
    </w:p>
    <w:p>
      <w:pPr>
        <w:pStyle w:val="BodyText"/>
        <w:ind w:right="3"/>
        <w:spacing w:before="58" w:line="195" w:lineRule="auto"/>
        <w:jc w:val="right"/>
        <w:rPr>
          <w:sz w:val="20"/>
          <w:szCs w:val="20"/>
        </w:rPr>
      </w:pPr>
      <w:r>
        <w:rPr>
          <w:sz w:val="20"/>
          <w:szCs w:val="20"/>
          <w:spacing w:val="-6"/>
        </w:rPr>
        <w:t>150</w:t>
      </w:r>
    </w:p>
    <w:p>
      <w:pPr>
        <w:pStyle w:val="BodyText"/>
        <w:spacing w:line="401" w:lineRule="auto"/>
        <w:rPr/>
      </w:pPr>
      <w:r/>
    </w:p>
    <w:p>
      <w:pPr>
        <w:pStyle w:val="BodyText"/>
        <w:ind w:right="3"/>
        <w:spacing w:before="58" w:line="195" w:lineRule="auto"/>
        <w:jc w:val="right"/>
        <w:rPr>
          <w:sz w:val="20"/>
          <w:szCs w:val="20"/>
        </w:rPr>
      </w:pPr>
      <w:r>
        <w:rPr>
          <w:sz w:val="20"/>
          <w:szCs w:val="20"/>
          <w:spacing w:val="-6"/>
        </w:rPr>
        <w:t>100</w:t>
      </w:r>
    </w:p>
    <w:p>
      <w:pPr>
        <w:pStyle w:val="BodyText"/>
        <w:spacing w:line="401" w:lineRule="auto"/>
        <w:rPr/>
      </w:pPr>
      <w:r/>
    </w:p>
    <w:p>
      <w:pPr>
        <w:pStyle w:val="BodyText"/>
        <w:ind w:right="6"/>
        <w:spacing w:before="58" w:line="195" w:lineRule="auto"/>
        <w:jc w:val="right"/>
        <w:rPr>
          <w:sz w:val="20"/>
          <w:szCs w:val="20"/>
        </w:rPr>
      </w:pPr>
      <w:r>
        <w:rPr>
          <w:sz w:val="20"/>
          <w:szCs w:val="20"/>
          <w:spacing w:val="-3"/>
        </w:rPr>
        <w:t>50</w:t>
      </w:r>
    </w:p>
    <w:p>
      <w:pPr>
        <w:pStyle w:val="BodyText"/>
        <w:spacing w:line="401" w:lineRule="auto"/>
        <w:rPr/>
      </w:pPr>
      <w:r/>
    </w:p>
    <w:p>
      <w:pPr>
        <w:pStyle w:val="BodyText"/>
        <w:ind w:right="2"/>
        <w:spacing w:before="58" w:line="195" w:lineRule="auto"/>
        <w:jc w:val="right"/>
        <w:rPr>
          <w:sz w:val="20"/>
          <w:szCs w:val="20"/>
        </w:rPr>
      </w:pPr>
      <w:r>
        <w:rPr>
          <w:sz w:val="20"/>
          <w:szCs w:val="20"/>
        </w:rPr>
        <w:t>0</w:t>
      </w:r>
    </w:p>
    <w:p>
      <w:pPr>
        <w:pStyle w:val="BodyText"/>
        <w:spacing w:line="14" w:lineRule="auto"/>
        <w:rPr>
          <w:sz w:val="2"/>
        </w:rPr>
      </w:pPr>
      <w:r>
        <w:rPr>
          <w:sz w:val="2"/>
          <w:szCs w:val="2"/>
        </w:rPr>
        <w:br w:type="column"/>
      </w:r>
      <w:r>
        <w:pict>
          <v:shape id="_x0000_s1622" style="position:absolute;margin-left:437.29pt;margin-top:24.3685pt;mso-position-vertical-relative:text;mso-position-horizontal-relative:text;width:3.15pt;height:0.5pt;z-index:253758464;" filled="false" strokecolor="#898989" strokeweight="0.50pt" coordsize="63,10" coordorigin="0,0" path="m0,5l62,5e">
            <v:stroke miterlimit="10"/>
          </v:shape>
        </w:pict>
      </w:r>
      <w:r>
        <w:pict>
          <v:shape id="_x0000_s1624" style="position:absolute;margin-left:437.29pt;margin-top:44.5285pt;mso-position-vertical-relative:text;mso-position-horizontal-relative:text;width:3.15pt;height:0.5pt;z-index:253762560;" filled="false" strokecolor="#898989" strokeweight="0.50pt" coordsize="63,10" coordorigin="0,0" path="m0,5l62,5e">
            <v:stroke miterlimit="10"/>
          </v:shape>
        </w:pict>
      </w:r>
      <w:r>
        <w:pict>
          <v:shape id="_x0000_s1626" style="position:absolute;margin-left:437.29pt;margin-top:64.9285pt;mso-position-vertical-relative:text;mso-position-horizontal-relative:text;width:3.15pt;height:0.5pt;z-index:253757440;" filled="false" strokecolor="#898989" strokeweight="0.50pt" coordsize="63,10" coordorigin="0,0" path="m0,5l62,5e">
            <v:stroke miterlimit="10"/>
          </v:shape>
        </w:pict>
      </w:r>
      <w:r>
        <w:pict>
          <v:shape id="_x0000_s1628" style="position:absolute;margin-left:437.29pt;margin-top:85.0885pt;mso-position-vertical-relative:text;mso-position-horizontal-relative:text;width:3.15pt;height:0.5pt;z-index:253756416;" filled="false" strokecolor="#898989" strokeweight="0.50pt" coordsize="63,10" coordorigin="0,0" path="m0,5l62,5e">
            <v:stroke miterlimit="10"/>
          </v:shape>
        </w:pict>
      </w:r>
      <w:r>
        <w:pict>
          <v:shape id="_x0000_s1630" style="position:absolute;margin-left:437.29pt;margin-top:105.248pt;mso-position-vertical-relative:text;mso-position-horizontal-relative:text;width:3.15pt;height:0.5pt;z-index:253750272;" filled="false" strokecolor="#898989" strokeweight="0.50pt" coordsize="63,10" coordorigin="0,0" path="m0,5l62,5e">
            <v:stroke miterlimit="10"/>
          </v:shape>
        </w:pict>
      </w:r>
      <w:r>
        <w:pict>
          <v:shape id="_x0000_s1632" style="position:absolute;margin-left:437.29pt;margin-top:125.649pt;mso-position-vertical-relative:text;mso-position-horizontal-relative:text;width:3.15pt;height:0.5pt;z-index:253748224;" filled="false" strokecolor="#898989" strokeweight="0.50pt" coordsize="63,10" coordorigin="0,0" path="m0,5l62,5e">
            <v:stroke miterlimit="10"/>
          </v:shape>
        </w:pict>
      </w:r>
      <w:r>
        <w:pict>
          <v:shape id="_x0000_s1634" style="position:absolute;margin-left:437.29pt;margin-top:145.808pt;mso-position-vertical-relative:text;mso-position-horizontal-relative:text;width:3.15pt;height:0.5pt;z-index:253749248;" filled="false" strokecolor="#898989" strokeweight="0.50pt" coordsize="63,10" coordorigin="0,0" path="m0,5l62,5e">
            <v:stroke miterlimit="10"/>
          </v:shape>
        </w:pict>
      </w:r>
    </w:p>
    <w:p>
      <w:pPr>
        <w:spacing w:line="72" w:lineRule="exact"/>
        <w:rPr/>
      </w:pPr>
      <w:r/>
    </w:p>
    <w:tbl>
      <w:tblPr>
        <w:tblStyle w:val="TableNormal"/>
        <w:tblW w:w="8793"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29"/>
        <w:gridCol w:w="2100"/>
        <w:gridCol w:w="2167"/>
        <w:gridCol w:w="2167"/>
        <w:gridCol w:w="2230"/>
      </w:tblGrid>
      <w:tr>
        <w:trPr>
          <w:trHeight w:val="3246" w:hRule="atLeast"/>
        </w:trPr>
        <w:tc>
          <w:tcPr>
            <w:tcW w:w="129" w:type="dxa"/>
            <w:vAlign w:val="top"/>
            <w:tcBorders>
              <w:right w:val="nil"/>
              <w:top w:val="nil"/>
            </w:tcBorders>
          </w:tcPr>
          <w:p>
            <w:pPr>
              <w:spacing w:line="322" w:lineRule="auto"/>
              <w:rPr>
                <w:rFonts w:ascii="Arial"/>
                <w:sz w:val="21"/>
              </w:rPr>
            </w:pPr>
            <w:r/>
          </w:p>
          <w:p>
            <w:pPr>
              <w:spacing w:line="322" w:lineRule="auto"/>
              <w:rPr>
                <w:rFonts w:ascii="Arial"/>
                <w:sz w:val="21"/>
              </w:rPr>
            </w:pPr>
            <w:r/>
          </w:p>
          <w:p>
            <w:pPr>
              <w:spacing w:line="1958" w:lineRule="exact"/>
              <w:rPr/>
            </w:pPr>
            <w:r>
              <w:rPr>
                <w:position w:val="-39"/>
              </w:rPr>
              <w:pict>
                <v:shape id="_x0000_s1636" style="mso-position-vertical-relative:line;mso-position-horizontal-relative:char;width:3.15pt;height:97.95pt;" filled="false" strokecolor="#000000" strokeweight="0.50pt" coordsize="63,1958" coordorigin="0,0" path="m0,1953l62,1953m0,1305l62,1305m0,652l62,652m0,5l62,5e">
                  <v:stroke miterlimit="10"/>
                </v:shape>
              </w:pict>
            </w:r>
          </w:p>
        </w:tc>
        <w:tc>
          <w:tcPr>
            <w:tcW w:w="8664" w:type="dxa"/>
            <w:vAlign w:val="top"/>
            <w:gridSpan w:val="4"/>
            <w:tcBorders>
              <w:left w:val="nil"/>
              <w:top w:val="nil"/>
            </w:tcBorders>
          </w:tcPr>
          <w:p>
            <w:pPr>
              <w:ind w:firstLine="182"/>
              <w:spacing w:before="153" w:line="3082" w:lineRule="exact"/>
              <w:rPr/>
            </w:pPr>
            <w:r>
              <w:pict>
                <v:rect id="_x0000_s1638" style="position:absolute;margin-left:-429.81pt;margin-top:152.4pt;mso-position-vertical-relative:top-margin-area;mso-position-horizontal-relative:right-margin-area;width:13.95pt;height:10.1pt;z-index:253761536;" fillcolor="#00B8F5" filled="true" stroked="false"/>
              </w:pict>
            </w:r>
            <w:r>
              <w:pict>
                <v:rect id="_x0000_s1640" style="position:absolute;margin-left:-321.58pt;margin-top:156.72pt;mso-position-vertical-relative:top-margin-area;mso-position-horizontal-relative:right-margin-area;width:14.2pt;height:5.8pt;z-index:253763584;" fillcolor="#00B8F5" filled="true" stroked="false">
                  <v:fill opacity="0.964706"/>
                </v:rect>
              </w:pict>
            </w:r>
            <w:r>
              <w:pict>
                <v:rect id="_x0000_s1642" style="position:absolute;margin-left:-375.82pt;margin-top:157.2pt;mso-position-vertical-relative:top-margin-area;mso-position-horizontal-relative:right-margin-area;width:14.2pt;height:5.3pt;z-index:253760512;" fillcolor="#00B8F5" filled="true" stroked="false"/>
              </w:pict>
            </w:r>
            <w:r>
              <w:pict>
                <v:rect id="_x0000_s1644" style="position:absolute;margin-left:-213.1pt;margin-top:132.96pt;mso-position-vertical-relative:top-margin-area;mso-position-horizontal-relative:right-margin-area;width:14.2pt;height:29.55pt;z-index:253759488;" fillcolor="#00B8F5" filled="true" stroked="false"/>
              </w:pict>
            </w:r>
            <w:r>
              <w:pict>
                <v:rect id="_x0000_s1646" style="position:absolute;margin-left:-185.98pt;margin-top:130.08pt;mso-position-vertical-relative:top-margin-area;mso-position-horizontal-relative:right-margin-area;width:14.2pt;height:32.45pt;z-index:253755392;" fillcolor="#00B8F5" filled="true" stroked="false"/>
              </w:pict>
            </w:r>
            <w:r>
              <w:pict>
                <v:rect id="_x0000_s1648" style="position:absolute;margin-left:-77.5pt;margin-top:112.8pt;mso-position-vertical-relative:top-margin-area;mso-position-horizontal-relative:right-margin-area;width:14.2pt;height:49.7pt;z-index:253754368;" fillcolor="#00B8F5" filled="true" stroked="false"/>
              </w:pict>
            </w:r>
            <w:r>
              <w:pict>
                <v:rect id="_x0000_s1650" style="position:absolute;margin-left:-104.62pt;margin-top:129.36pt;mso-position-vertical-relative:top-margin-area;mso-position-horizontal-relative:right-margin-area;width:14.2pt;height:33.15pt;z-index:253752320;" fillcolor="#00B8F5" filled="true" stroked="false"/>
              </w:pict>
            </w:r>
            <w:r>
              <w:pict>
                <v:rect id="_x0000_s1652" style="position:absolute;margin-left:-294.46pt;margin-top:151.2pt;mso-position-vertical-relative:top-margin-area;mso-position-horizontal-relative:right-margin-area;width:14.2pt;height:11.3pt;z-index:253751296;" fillcolor="#00B8F5" filled="true" stroked="false"/>
              </w:pict>
            </w:r>
            <w:r>
              <w:pict>
                <v:rect id="_x0000_s1654" style="position:absolute;margin-left:-131.74pt;margin-top:79.4399pt;mso-position-vertical-relative:top-margin-area;mso-position-horizontal-relative:right-margin-area;width:14.2pt;height:83.1pt;z-index:253753344;" fillcolor="#00B8F5" filled="true" stroked="false"/>
              </w:pict>
            </w:r>
            <w:r>
              <w:drawing>
                <wp:anchor distT="0" distB="0" distL="0" distR="0" simplePos="0" relativeHeight="253736960" behindDoc="1" locked="0" layoutInCell="1" allowOverlap="1">
                  <wp:simplePos x="0" y="0"/>
                  <wp:positionH relativeFrom="rightMargin">
                    <wp:posOffset>-5117337</wp:posOffset>
                  </wp:positionH>
                  <wp:positionV relativeFrom="topMargin">
                    <wp:posOffset>2023871</wp:posOffset>
                  </wp:positionV>
                  <wp:extent cx="180086" cy="39751"/>
                  <wp:effectExtent l="0" t="0" r="0" b="0"/>
                  <wp:wrapNone/>
                  <wp:docPr id="754" name="IM 754"/>
                  <wp:cNvGraphicFramePr/>
                  <a:graphic>
                    <a:graphicData uri="http://schemas.openxmlformats.org/drawingml/2006/picture">
                      <pic:pic>
                        <pic:nvPicPr>
                          <pic:cNvPr id="754" name="IM 754"/>
                          <pic:cNvPicPr/>
                        </pic:nvPicPr>
                        <pic:blipFill>
                          <a:blip r:embed="rId357"/>
                          <a:stretch>
                            <a:fillRect/>
                          </a:stretch>
                        </pic:blipFill>
                        <pic:spPr>
                          <a:xfrm rot="0">
                            <a:off x="0" y="0"/>
                            <a:ext cx="180086" cy="39751"/>
                          </a:xfrm>
                          <a:prstGeom prst="rect">
                            <a:avLst/>
                          </a:prstGeom>
                        </pic:spPr>
                      </pic:pic>
                    </a:graphicData>
                  </a:graphic>
                </wp:anchor>
              </w:drawing>
            </w:r>
            <w:r>
              <w:drawing>
                <wp:anchor distT="0" distB="0" distL="0" distR="0" simplePos="0" relativeHeight="253737984" behindDoc="1" locked="0" layoutInCell="1" allowOverlap="1">
                  <wp:simplePos x="0" y="0"/>
                  <wp:positionH relativeFrom="rightMargin">
                    <wp:posOffset>-3395217</wp:posOffset>
                  </wp:positionH>
                  <wp:positionV relativeFrom="topMargin">
                    <wp:posOffset>1859278</wp:posOffset>
                  </wp:positionV>
                  <wp:extent cx="180085" cy="204344"/>
                  <wp:effectExtent l="0" t="0" r="0" b="0"/>
                  <wp:wrapNone/>
                  <wp:docPr id="756" name="IM 756"/>
                  <wp:cNvGraphicFramePr/>
                  <a:graphic>
                    <a:graphicData uri="http://schemas.openxmlformats.org/drawingml/2006/picture">
                      <pic:pic>
                        <pic:nvPicPr>
                          <pic:cNvPr id="756" name="IM 756"/>
                          <pic:cNvPicPr/>
                        </pic:nvPicPr>
                        <pic:blipFill>
                          <a:blip r:embed="rId358"/>
                          <a:stretch>
                            <a:fillRect/>
                          </a:stretch>
                        </pic:blipFill>
                        <pic:spPr>
                          <a:xfrm rot="0">
                            <a:off x="0" y="0"/>
                            <a:ext cx="180085" cy="204344"/>
                          </a:xfrm>
                          <a:prstGeom prst="rect">
                            <a:avLst/>
                          </a:prstGeom>
                        </pic:spPr>
                      </pic:pic>
                    </a:graphicData>
                  </a:graphic>
                </wp:anchor>
              </w:drawing>
            </w:r>
            <w:r>
              <w:rPr>
                <w:position w:val="-61"/>
              </w:rPr>
              <w:drawing>
                <wp:inline distT="0" distB="0" distL="0" distR="0">
                  <wp:extent cx="5264277" cy="1957578"/>
                  <wp:effectExtent l="0" t="0" r="0" b="0"/>
                  <wp:docPr id="758" name="IM 758"/>
                  <wp:cNvGraphicFramePr/>
                  <a:graphic>
                    <a:graphicData uri="http://schemas.openxmlformats.org/drawingml/2006/picture">
                      <pic:pic>
                        <pic:nvPicPr>
                          <pic:cNvPr id="758" name="IM 758"/>
                          <pic:cNvPicPr/>
                        </pic:nvPicPr>
                        <pic:blipFill>
                          <a:blip r:embed="rId359"/>
                          <a:stretch>
                            <a:fillRect/>
                          </a:stretch>
                        </pic:blipFill>
                        <pic:spPr>
                          <a:xfrm rot="0">
                            <a:off x="0" y="0"/>
                            <a:ext cx="5264277" cy="1957578"/>
                          </a:xfrm>
                          <a:prstGeom prst="rect">
                            <a:avLst/>
                          </a:prstGeom>
                        </pic:spPr>
                      </pic:pic>
                    </a:graphicData>
                  </a:graphic>
                </wp:inline>
              </w:drawing>
            </w:r>
          </w:p>
        </w:tc>
      </w:tr>
      <w:tr>
        <w:trPr>
          <w:trHeight w:val="713" w:hRule="atLeast"/>
        </w:trPr>
        <w:tc>
          <w:tcPr>
            <w:tcW w:w="2229" w:type="dxa"/>
            <w:vAlign w:val="top"/>
            <w:gridSpan w:val="2"/>
            <w:tcBorders>
              <w:bottom w:val="nil"/>
            </w:tcBorders>
          </w:tcPr>
          <w:p>
            <w:pPr>
              <w:ind w:left="919" w:right="73" w:hanging="783"/>
              <w:spacing w:before="1" w:line="300" w:lineRule="auto"/>
              <w:rPr>
                <w:rFonts w:ascii="Arial" w:hAnsi="Arial" w:eastAsia="Arial" w:cs="Arial"/>
                <w:sz w:val="20"/>
                <w:szCs w:val="20"/>
              </w:rPr>
            </w:pPr>
            <w:r>
              <w:rPr>
                <w:rFonts w:ascii="Arial" w:hAnsi="Arial" w:eastAsia="Arial" w:cs="Arial"/>
                <w:sz w:val="20"/>
                <w:szCs w:val="20"/>
                <w:spacing w:val="-2"/>
              </w:rPr>
              <w:t>Qtr1</w:t>
            </w:r>
            <w:r>
              <w:rPr>
                <w:rFonts w:ascii="Arial" w:hAnsi="Arial" w:eastAsia="Arial" w:cs="Arial"/>
                <w:sz w:val="20"/>
                <w:szCs w:val="20"/>
                <w:spacing w:val="18"/>
              </w:rPr>
              <w:t xml:space="preserve"> </w:t>
            </w:r>
            <w:r>
              <w:rPr>
                <w:sz w:val="20"/>
                <w:szCs w:val="20"/>
                <w:position w:val="-5"/>
              </w:rPr>
              <w:drawing>
                <wp:inline distT="0" distB="0" distL="0" distR="0">
                  <wp:extent cx="6350" cy="226466"/>
                  <wp:effectExtent l="0" t="0" r="0" b="0"/>
                  <wp:docPr id="760" name="IM 760"/>
                  <wp:cNvGraphicFramePr/>
                  <a:graphic>
                    <a:graphicData uri="http://schemas.openxmlformats.org/drawingml/2006/picture">
                      <pic:pic>
                        <pic:nvPicPr>
                          <pic:cNvPr id="760" name="IM 760"/>
                          <pic:cNvPicPr/>
                        </pic:nvPicPr>
                        <pic:blipFill>
                          <a:blip r:embed="rId360"/>
                          <a:stretch>
                            <a:fillRect/>
                          </a:stretch>
                        </pic:blipFill>
                        <pic:spPr>
                          <a:xfrm rot="0">
                            <a:off x="0" y="0"/>
                            <a:ext cx="6350" cy="226466"/>
                          </a:xfrm>
                          <a:prstGeom prst="rect">
                            <a:avLst/>
                          </a:prstGeom>
                        </pic:spPr>
                      </pic:pic>
                    </a:graphicData>
                  </a:graphic>
                </wp:inline>
              </w:drawing>
            </w:r>
            <w:r>
              <w:rPr>
                <w:rFonts w:ascii="Arial" w:hAnsi="Arial" w:eastAsia="Arial" w:cs="Arial"/>
                <w:sz w:val="20"/>
                <w:szCs w:val="20"/>
                <w:spacing w:val="24"/>
              </w:rPr>
              <w:t xml:space="preserve"> </w:t>
            </w:r>
            <w:r>
              <w:rPr>
                <w:rFonts w:ascii="Arial" w:hAnsi="Arial" w:eastAsia="Arial" w:cs="Arial"/>
                <w:sz w:val="20"/>
                <w:szCs w:val="20"/>
                <w:spacing w:val="-2"/>
              </w:rPr>
              <w:t>Qtr2</w:t>
            </w:r>
            <w:r>
              <w:rPr>
                <w:rFonts w:ascii="Arial" w:hAnsi="Arial" w:eastAsia="Arial" w:cs="Arial"/>
                <w:sz w:val="20"/>
                <w:szCs w:val="20"/>
                <w:spacing w:val="15"/>
                <w:w w:val="101"/>
              </w:rPr>
              <w:t xml:space="preserve"> </w:t>
            </w:r>
            <w:r>
              <w:rPr>
                <w:sz w:val="20"/>
                <w:szCs w:val="20"/>
                <w:position w:val="-5"/>
              </w:rPr>
              <w:drawing>
                <wp:inline distT="0" distB="0" distL="0" distR="0">
                  <wp:extent cx="6350" cy="226466"/>
                  <wp:effectExtent l="0" t="0" r="0" b="0"/>
                  <wp:docPr id="762" name="IM 762"/>
                  <wp:cNvGraphicFramePr/>
                  <a:graphic>
                    <a:graphicData uri="http://schemas.openxmlformats.org/drawingml/2006/picture">
                      <pic:pic>
                        <pic:nvPicPr>
                          <pic:cNvPr id="762" name="IM 762"/>
                          <pic:cNvPicPr/>
                        </pic:nvPicPr>
                        <pic:blipFill>
                          <a:blip r:embed="rId361"/>
                          <a:stretch>
                            <a:fillRect/>
                          </a:stretch>
                        </pic:blipFill>
                        <pic:spPr>
                          <a:xfrm rot="0">
                            <a:off x="0" y="0"/>
                            <a:ext cx="6350" cy="226466"/>
                          </a:xfrm>
                          <a:prstGeom prst="rect">
                            <a:avLst/>
                          </a:prstGeom>
                        </pic:spPr>
                      </pic:pic>
                    </a:graphicData>
                  </a:graphic>
                </wp:inline>
              </w:drawing>
            </w:r>
            <w:r>
              <w:rPr>
                <w:rFonts w:ascii="Arial" w:hAnsi="Arial" w:eastAsia="Arial" w:cs="Arial"/>
                <w:sz w:val="20"/>
                <w:szCs w:val="20"/>
                <w:spacing w:val="24"/>
              </w:rPr>
              <w:t xml:space="preserve"> </w:t>
            </w:r>
            <w:r>
              <w:rPr>
                <w:rFonts w:ascii="Arial" w:hAnsi="Arial" w:eastAsia="Arial" w:cs="Arial"/>
                <w:sz w:val="20"/>
                <w:szCs w:val="20"/>
                <w:spacing w:val="-2"/>
              </w:rPr>
              <w:t>Qtr3</w:t>
            </w:r>
            <w:r>
              <w:rPr>
                <w:rFonts w:ascii="Arial" w:hAnsi="Arial" w:eastAsia="Arial" w:cs="Arial"/>
                <w:sz w:val="20"/>
                <w:szCs w:val="20"/>
                <w:spacing w:val="15"/>
                <w:w w:val="101"/>
              </w:rPr>
              <w:t xml:space="preserve"> </w:t>
            </w:r>
            <w:r>
              <w:rPr>
                <w:sz w:val="20"/>
                <w:szCs w:val="20"/>
                <w:position w:val="-5"/>
              </w:rPr>
              <w:drawing>
                <wp:inline distT="0" distB="0" distL="0" distR="0">
                  <wp:extent cx="6350" cy="226466"/>
                  <wp:effectExtent l="0" t="0" r="0" b="0"/>
                  <wp:docPr id="764" name="IM 764"/>
                  <wp:cNvGraphicFramePr/>
                  <a:graphic>
                    <a:graphicData uri="http://schemas.openxmlformats.org/drawingml/2006/picture">
                      <pic:pic>
                        <pic:nvPicPr>
                          <pic:cNvPr id="764" name="IM 764"/>
                          <pic:cNvPicPr/>
                        </pic:nvPicPr>
                        <pic:blipFill>
                          <a:blip r:embed="rId362"/>
                          <a:stretch>
                            <a:fillRect/>
                          </a:stretch>
                        </pic:blipFill>
                        <pic:spPr>
                          <a:xfrm rot="0">
                            <a:off x="0" y="0"/>
                            <a:ext cx="6350" cy="226466"/>
                          </a:xfrm>
                          <a:prstGeom prst="rect">
                            <a:avLst/>
                          </a:prstGeom>
                        </pic:spPr>
                      </pic:pic>
                    </a:graphicData>
                  </a:graphic>
                </wp:inline>
              </w:drawing>
            </w:r>
            <w:r>
              <w:rPr>
                <w:rFonts w:ascii="Arial" w:hAnsi="Arial" w:eastAsia="Arial" w:cs="Arial"/>
                <w:sz w:val="20"/>
                <w:szCs w:val="20"/>
                <w:spacing w:val="23"/>
                <w:w w:val="101"/>
              </w:rPr>
              <w:t xml:space="preserve"> </w:t>
            </w:r>
            <w:r>
              <w:rPr>
                <w:rFonts w:ascii="Arial" w:hAnsi="Arial" w:eastAsia="Arial" w:cs="Arial"/>
                <w:sz w:val="20"/>
                <w:szCs w:val="20"/>
                <w:spacing w:val="-2"/>
              </w:rPr>
              <w:t>Qtr4</w:t>
            </w:r>
            <w:r>
              <w:rPr>
                <w:rFonts w:ascii="Arial" w:hAnsi="Arial" w:eastAsia="Arial" w:cs="Arial"/>
                <w:sz w:val="20"/>
                <w:szCs w:val="20"/>
              </w:rPr>
              <w:t xml:space="preserve"> </w:t>
            </w:r>
            <w:r>
              <w:rPr>
                <w:rFonts w:ascii="Arial" w:hAnsi="Arial" w:eastAsia="Arial" w:cs="Arial"/>
                <w:sz w:val="20"/>
                <w:szCs w:val="20"/>
                <w:spacing w:val="-1"/>
              </w:rPr>
              <w:t>2019</w:t>
            </w:r>
          </w:p>
        </w:tc>
        <w:tc>
          <w:tcPr>
            <w:tcW w:w="2167" w:type="dxa"/>
            <w:vAlign w:val="top"/>
            <w:tcBorders>
              <w:bottom w:val="nil"/>
            </w:tcBorders>
          </w:tcPr>
          <w:p>
            <w:pPr>
              <w:ind w:left="860" w:right="70" w:hanging="783"/>
              <w:spacing w:before="1" w:line="300" w:lineRule="auto"/>
              <w:rPr>
                <w:rFonts w:ascii="Arial" w:hAnsi="Arial" w:eastAsia="Arial" w:cs="Arial"/>
                <w:sz w:val="20"/>
                <w:szCs w:val="20"/>
              </w:rPr>
            </w:pPr>
            <w:r>
              <w:rPr>
                <w:rFonts w:ascii="Arial" w:hAnsi="Arial" w:eastAsia="Arial" w:cs="Arial"/>
                <w:sz w:val="20"/>
                <w:szCs w:val="20"/>
                <w:spacing w:val="-2"/>
              </w:rPr>
              <w:t>Qtr1</w:t>
            </w:r>
            <w:r>
              <w:rPr>
                <w:rFonts w:ascii="Arial" w:hAnsi="Arial" w:eastAsia="Arial" w:cs="Arial"/>
                <w:sz w:val="20"/>
                <w:szCs w:val="20"/>
                <w:spacing w:val="17"/>
                <w:w w:val="101"/>
              </w:rPr>
              <w:t xml:space="preserve"> </w:t>
            </w:r>
            <w:r>
              <w:rPr>
                <w:sz w:val="20"/>
                <w:szCs w:val="20"/>
                <w:position w:val="-5"/>
              </w:rPr>
              <w:drawing>
                <wp:inline distT="0" distB="0" distL="0" distR="0">
                  <wp:extent cx="6350" cy="226466"/>
                  <wp:effectExtent l="0" t="0" r="0" b="0"/>
                  <wp:docPr id="766" name="IM 766"/>
                  <wp:cNvGraphicFramePr/>
                  <a:graphic>
                    <a:graphicData uri="http://schemas.openxmlformats.org/drawingml/2006/picture">
                      <pic:pic>
                        <pic:nvPicPr>
                          <pic:cNvPr id="766" name="IM 766"/>
                          <pic:cNvPicPr/>
                        </pic:nvPicPr>
                        <pic:blipFill>
                          <a:blip r:embed="rId363"/>
                          <a:stretch>
                            <a:fillRect/>
                          </a:stretch>
                        </pic:blipFill>
                        <pic:spPr>
                          <a:xfrm rot="0">
                            <a:off x="0" y="0"/>
                            <a:ext cx="6350" cy="226466"/>
                          </a:xfrm>
                          <a:prstGeom prst="rect">
                            <a:avLst/>
                          </a:prstGeom>
                        </pic:spPr>
                      </pic:pic>
                    </a:graphicData>
                  </a:graphic>
                </wp:inline>
              </w:drawing>
            </w:r>
            <w:r>
              <w:rPr>
                <w:rFonts w:ascii="Arial" w:hAnsi="Arial" w:eastAsia="Arial" w:cs="Arial"/>
                <w:sz w:val="20"/>
                <w:szCs w:val="20"/>
                <w:spacing w:val="24"/>
              </w:rPr>
              <w:t xml:space="preserve"> </w:t>
            </w:r>
            <w:r>
              <w:rPr>
                <w:rFonts w:ascii="Arial" w:hAnsi="Arial" w:eastAsia="Arial" w:cs="Arial"/>
                <w:sz w:val="20"/>
                <w:szCs w:val="20"/>
                <w:spacing w:val="-2"/>
              </w:rPr>
              <w:t>Qtr2</w:t>
            </w:r>
            <w:r>
              <w:rPr>
                <w:rFonts w:ascii="Arial" w:hAnsi="Arial" w:eastAsia="Arial" w:cs="Arial"/>
                <w:sz w:val="20"/>
                <w:szCs w:val="20"/>
                <w:spacing w:val="15"/>
                <w:w w:val="101"/>
              </w:rPr>
              <w:t xml:space="preserve"> </w:t>
            </w:r>
            <w:r>
              <w:rPr>
                <w:sz w:val="20"/>
                <w:szCs w:val="20"/>
                <w:position w:val="-5"/>
              </w:rPr>
              <w:drawing>
                <wp:inline distT="0" distB="0" distL="0" distR="0">
                  <wp:extent cx="6350" cy="226466"/>
                  <wp:effectExtent l="0" t="0" r="0" b="0"/>
                  <wp:docPr id="768" name="IM 768"/>
                  <wp:cNvGraphicFramePr/>
                  <a:graphic>
                    <a:graphicData uri="http://schemas.openxmlformats.org/drawingml/2006/picture">
                      <pic:pic>
                        <pic:nvPicPr>
                          <pic:cNvPr id="768" name="IM 768"/>
                          <pic:cNvPicPr/>
                        </pic:nvPicPr>
                        <pic:blipFill>
                          <a:blip r:embed="rId364"/>
                          <a:stretch>
                            <a:fillRect/>
                          </a:stretch>
                        </pic:blipFill>
                        <pic:spPr>
                          <a:xfrm rot="0">
                            <a:off x="0" y="0"/>
                            <a:ext cx="6350" cy="226466"/>
                          </a:xfrm>
                          <a:prstGeom prst="rect">
                            <a:avLst/>
                          </a:prstGeom>
                        </pic:spPr>
                      </pic:pic>
                    </a:graphicData>
                  </a:graphic>
                </wp:inline>
              </w:drawing>
            </w:r>
            <w:r>
              <w:rPr>
                <w:rFonts w:ascii="Arial" w:hAnsi="Arial" w:eastAsia="Arial" w:cs="Arial"/>
                <w:sz w:val="20"/>
                <w:szCs w:val="20"/>
                <w:spacing w:val="24"/>
              </w:rPr>
              <w:t xml:space="preserve"> </w:t>
            </w:r>
            <w:r>
              <w:rPr>
                <w:rFonts w:ascii="Arial" w:hAnsi="Arial" w:eastAsia="Arial" w:cs="Arial"/>
                <w:sz w:val="20"/>
                <w:szCs w:val="20"/>
                <w:spacing w:val="-2"/>
              </w:rPr>
              <w:t>Qtr3</w:t>
            </w:r>
            <w:r>
              <w:rPr>
                <w:rFonts w:ascii="Arial" w:hAnsi="Arial" w:eastAsia="Arial" w:cs="Arial"/>
                <w:sz w:val="20"/>
                <w:szCs w:val="20"/>
                <w:spacing w:val="15"/>
                <w:w w:val="101"/>
              </w:rPr>
              <w:t xml:space="preserve"> </w:t>
            </w:r>
            <w:r>
              <w:rPr>
                <w:sz w:val="20"/>
                <w:szCs w:val="20"/>
                <w:position w:val="-5"/>
              </w:rPr>
              <w:drawing>
                <wp:inline distT="0" distB="0" distL="0" distR="0">
                  <wp:extent cx="6350" cy="226466"/>
                  <wp:effectExtent l="0" t="0" r="0" b="0"/>
                  <wp:docPr id="770" name="IM 770"/>
                  <wp:cNvGraphicFramePr/>
                  <a:graphic>
                    <a:graphicData uri="http://schemas.openxmlformats.org/drawingml/2006/picture">
                      <pic:pic>
                        <pic:nvPicPr>
                          <pic:cNvPr id="770" name="IM 770"/>
                          <pic:cNvPicPr/>
                        </pic:nvPicPr>
                        <pic:blipFill>
                          <a:blip r:embed="rId365"/>
                          <a:stretch>
                            <a:fillRect/>
                          </a:stretch>
                        </pic:blipFill>
                        <pic:spPr>
                          <a:xfrm rot="0">
                            <a:off x="0" y="0"/>
                            <a:ext cx="6350" cy="226466"/>
                          </a:xfrm>
                          <a:prstGeom prst="rect">
                            <a:avLst/>
                          </a:prstGeom>
                        </pic:spPr>
                      </pic:pic>
                    </a:graphicData>
                  </a:graphic>
                </wp:inline>
              </w:drawing>
            </w:r>
            <w:r>
              <w:rPr>
                <w:rFonts w:ascii="Arial" w:hAnsi="Arial" w:eastAsia="Arial" w:cs="Arial"/>
                <w:sz w:val="20"/>
                <w:szCs w:val="20"/>
                <w:spacing w:val="24"/>
              </w:rPr>
              <w:t xml:space="preserve"> </w:t>
            </w:r>
            <w:r>
              <w:rPr>
                <w:rFonts w:ascii="Arial" w:hAnsi="Arial" w:eastAsia="Arial" w:cs="Arial"/>
                <w:sz w:val="20"/>
                <w:szCs w:val="20"/>
                <w:spacing w:val="-2"/>
              </w:rPr>
              <w:t>Qtr4</w:t>
            </w:r>
            <w:r>
              <w:rPr>
                <w:rFonts w:ascii="Arial" w:hAnsi="Arial" w:eastAsia="Arial" w:cs="Arial"/>
                <w:sz w:val="20"/>
                <w:szCs w:val="20"/>
              </w:rPr>
              <w:t xml:space="preserve"> </w:t>
            </w:r>
            <w:r>
              <w:rPr>
                <w:rFonts w:ascii="Arial" w:hAnsi="Arial" w:eastAsia="Arial" w:cs="Arial"/>
                <w:sz w:val="20"/>
                <w:szCs w:val="20"/>
                <w:spacing w:val="-1"/>
              </w:rPr>
              <w:t>2020</w:t>
            </w:r>
          </w:p>
        </w:tc>
        <w:tc>
          <w:tcPr>
            <w:tcW w:w="2167" w:type="dxa"/>
            <w:vAlign w:val="top"/>
            <w:tcBorders>
              <w:bottom w:val="nil"/>
            </w:tcBorders>
          </w:tcPr>
          <w:p>
            <w:pPr>
              <w:ind w:left="863" w:right="67" w:hanging="783"/>
              <w:spacing w:before="1" w:line="300" w:lineRule="auto"/>
              <w:rPr>
                <w:rFonts w:ascii="Arial" w:hAnsi="Arial" w:eastAsia="Arial" w:cs="Arial"/>
                <w:sz w:val="20"/>
                <w:szCs w:val="20"/>
              </w:rPr>
            </w:pPr>
            <w:r>
              <w:rPr>
                <w:rFonts w:ascii="Arial" w:hAnsi="Arial" w:eastAsia="Arial" w:cs="Arial"/>
                <w:sz w:val="20"/>
                <w:szCs w:val="20"/>
                <w:spacing w:val="-2"/>
              </w:rPr>
              <w:t>Qtr1</w:t>
            </w:r>
            <w:r>
              <w:rPr>
                <w:rFonts w:ascii="Arial" w:hAnsi="Arial" w:eastAsia="Arial" w:cs="Arial"/>
                <w:sz w:val="20"/>
                <w:szCs w:val="20"/>
                <w:spacing w:val="17"/>
                <w:w w:val="101"/>
              </w:rPr>
              <w:t xml:space="preserve"> </w:t>
            </w:r>
            <w:r>
              <w:rPr>
                <w:sz w:val="20"/>
                <w:szCs w:val="20"/>
                <w:position w:val="-5"/>
              </w:rPr>
              <w:drawing>
                <wp:inline distT="0" distB="0" distL="0" distR="0">
                  <wp:extent cx="6350" cy="226466"/>
                  <wp:effectExtent l="0" t="0" r="0" b="0"/>
                  <wp:docPr id="772" name="IM 772"/>
                  <wp:cNvGraphicFramePr/>
                  <a:graphic>
                    <a:graphicData uri="http://schemas.openxmlformats.org/drawingml/2006/picture">
                      <pic:pic>
                        <pic:nvPicPr>
                          <pic:cNvPr id="772" name="IM 772"/>
                          <pic:cNvPicPr/>
                        </pic:nvPicPr>
                        <pic:blipFill>
                          <a:blip r:embed="rId366"/>
                          <a:stretch>
                            <a:fillRect/>
                          </a:stretch>
                        </pic:blipFill>
                        <pic:spPr>
                          <a:xfrm rot="0">
                            <a:off x="0" y="0"/>
                            <a:ext cx="6350" cy="226466"/>
                          </a:xfrm>
                          <a:prstGeom prst="rect">
                            <a:avLst/>
                          </a:prstGeom>
                        </pic:spPr>
                      </pic:pic>
                    </a:graphicData>
                  </a:graphic>
                </wp:inline>
              </w:drawing>
            </w:r>
            <w:r>
              <w:rPr>
                <w:rFonts w:ascii="Arial" w:hAnsi="Arial" w:eastAsia="Arial" w:cs="Arial"/>
                <w:sz w:val="20"/>
                <w:szCs w:val="20"/>
                <w:spacing w:val="24"/>
              </w:rPr>
              <w:t xml:space="preserve"> </w:t>
            </w:r>
            <w:r>
              <w:rPr>
                <w:rFonts w:ascii="Arial" w:hAnsi="Arial" w:eastAsia="Arial" w:cs="Arial"/>
                <w:sz w:val="20"/>
                <w:szCs w:val="20"/>
                <w:spacing w:val="-2"/>
              </w:rPr>
              <w:t>Qtr2</w:t>
            </w:r>
            <w:r>
              <w:rPr>
                <w:rFonts w:ascii="Arial" w:hAnsi="Arial" w:eastAsia="Arial" w:cs="Arial"/>
                <w:sz w:val="20"/>
                <w:szCs w:val="20"/>
                <w:spacing w:val="15"/>
              </w:rPr>
              <w:t xml:space="preserve"> </w:t>
            </w:r>
            <w:r>
              <w:rPr>
                <w:sz w:val="20"/>
                <w:szCs w:val="20"/>
                <w:position w:val="-5"/>
              </w:rPr>
              <w:drawing>
                <wp:inline distT="0" distB="0" distL="0" distR="0">
                  <wp:extent cx="6350" cy="226466"/>
                  <wp:effectExtent l="0" t="0" r="0" b="0"/>
                  <wp:docPr id="774" name="IM 774"/>
                  <wp:cNvGraphicFramePr/>
                  <a:graphic>
                    <a:graphicData uri="http://schemas.openxmlformats.org/drawingml/2006/picture">
                      <pic:pic>
                        <pic:nvPicPr>
                          <pic:cNvPr id="774" name="IM 774"/>
                          <pic:cNvPicPr/>
                        </pic:nvPicPr>
                        <pic:blipFill>
                          <a:blip r:embed="rId367"/>
                          <a:stretch>
                            <a:fillRect/>
                          </a:stretch>
                        </pic:blipFill>
                        <pic:spPr>
                          <a:xfrm rot="0">
                            <a:off x="0" y="0"/>
                            <a:ext cx="6350" cy="226466"/>
                          </a:xfrm>
                          <a:prstGeom prst="rect">
                            <a:avLst/>
                          </a:prstGeom>
                        </pic:spPr>
                      </pic:pic>
                    </a:graphicData>
                  </a:graphic>
                </wp:inline>
              </w:drawing>
            </w:r>
            <w:r>
              <w:rPr>
                <w:rFonts w:ascii="Arial" w:hAnsi="Arial" w:eastAsia="Arial" w:cs="Arial"/>
                <w:sz w:val="20"/>
                <w:szCs w:val="20"/>
                <w:spacing w:val="25"/>
              </w:rPr>
              <w:t xml:space="preserve"> </w:t>
            </w:r>
            <w:r>
              <w:rPr>
                <w:rFonts w:ascii="Arial" w:hAnsi="Arial" w:eastAsia="Arial" w:cs="Arial"/>
                <w:sz w:val="20"/>
                <w:szCs w:val="20"/>
                <w:spacing w:val="-2"/>
              </w:rPr>
              <w:t>Qtr3</w:t>
            </w:r>
            <w:r>
              <w:rPr>
                <w:rFonts w:ascii="Arial" w:hAnsi="Arial" w:eastAsia="Arial" w:cs="Arial"/>
                <w:sz w:val="20"/>
                <w:szCs w:val="20"/>
                <w:spacing w:val="14"/>
                <w:w w:val="101"/>
              </w:rPr>
              <w:t xml:space="preserve"> </w:t>
            </w:r>
            <w:r>
              <w:rPr>
                <w:sz w:val="20"/>
                <w:szCs w:val="20"/>
                <w:position w:val="-5"/>
              </w:rPr>
              <w:drawing>
                <wp:inline distT="0" distB="0" distL="0" distR="0">
                  <wp:extent cx="6350" cy="226466"/>
                  <wp:effectExtent l="0" t="0" r="0" b="0"/>
                  <wp:docPr id="776" name="IM 776"/>
                  <wp:cNvGraphicFramePr/>
                  <a:graphic>
                    <a:graphicData uri="http://schemas.openxmlformats.org/drawingml/2006/picture">
                      <pic:pic>
                        <pic:nvPicPr>
                          <pic:cNvPr id="776" name="IM 776"/>
                          <pic:cNvPicPr/>
                        </pic:nvPicPr>
                        <pic:blipFill>
                          <a:blip r:embed="rId368"/>
                          <a:stretch>
                            <a:fillRect/>
                          </a:stretch>
                        </pic:blipFill>
                        <pic:spPr>
                          <a:xfrm rot="0">
                            <a:off x="0" y="0"/>
                            <a:ext cx="6350" cy="226466"/>
                          </a:xfrm>
                          <a:prstGeom prst="rect">
                            <a:avLst/>
                          </a:prstGeom>
                        </pic:spPr>
                      </pic:pic>
                    </a:graphicData>
                  </a:graphic>
                </wp:inline>
              </w:drawing>
            </w:r>
            <w:r>
              <w:rPr>
                <w:rFonts w:ascii="Arial" w:hAnsi="Arial" w:eastAsia="Arial" w:cs="Arial"/>
                <w:sz w:val="20"/>
                <w:szCs w:val="20"/>
                <w:spacing w:val="24"/>
                <w:w w:val="101"/>
              </w:rPr>
              <w:t xml:space="preserve"> </w:t>
            </w:r>
            <w:r>
              <w:rPr>
                <w:rFonts w:ascii="Arial" w:hAnsi="Arial" w:eastAsia="Arial" w:cs="Arial"/>
                <w:sz w:val="20"/>
                <w:szCs w:val="20"/>
                <w:spacing w:val="-2"/>
              </w:rPr>
              <w:t>Qtr4</w:t>
            </w:r>
            <w:r>
              <w:rPr>
                <w:rFonts w:ascii="Arial" w:hAnsi="Arial" w:eastAsia="Arial" w:cs="Arial"/>
                <w:sz w:val="20"/>
                <w:szCs w:val="20"/>
              </w:rPr>
              <w:t xml:space="preserve"> </w:t>
            </w:r>
            <w:r>
              <w:rPr>
                <w:rFonts w:ascii="Arial" w:hAnsi="Arial" w:eastAsia="Arial" w:cs="Arial"/>
                <w:sz w:val="20"/>
                <w:szCs w:val="20"/>
                <w:spacing w:val="-1"/>
              </w:rPr>
              <w:t>2021</w:t>
            </w:r>
          </w:p>
        </w:tc>
        <w:tc>
          <w:tcPr>
            <w:tcW w:w="2230" w:type="dxa"/>
            <w:vAlign w:val="top"/>
            <w:tcBorders>
              <w:bottom w:val="nil"/>
            </w:tcBorders>
          </w:tcPr>
          <w:p>
            <w:pPr>
              <w:ind w:left="866" w:right="127" w:hanging="783"/>
              <w:spacing w:before="1" w:line="300" w:lineRule="auto"/>
              <w:rPr>
                <w:rFonts w:ascii="Arial" w:hAnsi="Arial" w:eastAsia="Arial" w:cs="Arial"/>
                <w:sz w:val="20"/>
                <w:szCs w:val="20"/>
              </w:rPr>
            </w:pPr>
            <w:r>
              <w:rPr>
                <w:rFonts w:ascii="Arial" w:hAnsi="Arial" w:eastAsia="Arial" w:cs="Arial"/>
                <w:sz w:val="20"/>
                <w:szCs w:val="20"/>
                <w:spacing w:val="-2"/>
              </w:rPr>
              <w:t>Qtr1</w:t>
            </w:r>
            <w:r>
              <w:rPr>
                <w:rFonts w:ascii="Arial" w:hAnsi="Arial" w:eastAsia="Arial" w:cs="Arial"/>
                <w:sz w:val="20"/>
                <w:szCs w:val="20"/>
                <w:spacing w:val="17"/>
              </w:rPr>
              <w:t xml:space="preserve"> </w:t>
            </w:r>
            <w:r>
              <w:rPr>
                <w:sz w:val="20"/>
                <w:szCs w:val="20"/>
                <w:position w:val="-5"/>
              </w:rPr>
              <w:drawing>
                <wp:inline distT="0" distB="0" distL="0" distR="0">
                  <wp:extent cx="6350" cy="226466"/>
                  <wp:effectExtent l="0" t="0" r="0" b="0"/>
                  <wp:docPr id="778" name="IM 778"/>
                  <wp:cNvGraphicFramePr/>
                  <a:graphic>
                    <a:graphicData uri="http://schemas.openxmlformats.org/drawingml/2006/picture">
                      <pic:pic>
                        <pic:nvPicPr>
                          <pic:cNvPr id="778" name="IM 778"/>
                          <pic:cNvPicPr/>
                        </pic:nvPicPr>
                        <pic:blipFill>
                          <a:blip r:embed="rId369"/>
                          <a:stretch>
                            <a:fillRect/>
                          </a:stretch>
                        </pic:blipFill>
                        <pic:spPr>
                          <a:xfrm rot="0">
                            <a:off x="0" y="0"/>
                            <a:ext cx="6350" cy="226466"/>
                          </a:xfrm>
                          <a:prstGeom prst="rect">
                            <a:avLst/>
                          </a:prstGeom>
                        </pic:spPr>
                      </pic:pic>
                    </a:graphicData>
                  </a:graphic>
                </wp:inline>
              </w:drawing>
            </w:r>
            <w:r>
              <w:rPr>
                <w:rFonts w:ascii="Arial" w:hAnsi="Arial" w:eastAsia="Arial" w:cs="Arial"/>
                <w:sz w:val="20"/>
                <w:szCs w:val="20"/>
                <w:spacing w:val="25"/>
              </w:rPr>
              <w:t xml:space="preserve"> </w:t>
            </w:r>
            <w:r>
              <w:rPr>
                <w:rFonts w:ascii="Arial" w:hAnsi="Arial" w:eastAsia="Arial" w:cs="Arial"/>
                <w:sz w:val="20"/>
                <w:szCs w:val="20"/>
                <w:spacing w:val="-2"/>
              </w:rPr>
              <w:t>Qtr2</w:t>
            </w:r>
            <w:r>
              <w:rPr>
                <w:rFonts w:ascii="Arial" w:hAnsi="Arial" w:eastAsia="Arial" w:cs="Arial"/>
                <w:sz w:val="20"/>
                <w:szCs w:val="20"/>
                <w:spacing w:val="14"/>
                <w:w w:val="101"/>
              </w:rPr>
              <w:t xml:space="preserve"> </w:t>
            </w:r>
            <w:r>
              <w:rPr>
                <w:sz w:val="20"/>
                <w:szCs w:val="20"/>
                <w:position w:val="-5"/>
              </w:rPr>
              <w:drawing>
                <wp:inline distT="0" distB="0" distL="0" distR="0">
                  <wp:extent cx="6350" cy="226466"/>
                  <wp:effectExtent l="0" t="0" r="0" b="0"/>
                  <wp:docPr id="780" name="IM 780"/>
                  <wp:cNvGraphicFramePr/>
                  <a:graphic>
                    <a:graphicData uri="http://schemas.openxmlformats.org/drawingml/2006/picture">
                      <pic:pic>
                        <pic:nvPicPr>
                          <pic:cNvPr id="780" name="IM 780"/>
                          <pic:cNvPicPr/>
                        </pic:nvPicPr>
                        <pic:blipFill>
                          <a:blip r:embed="rId370"/>
                          <a:stretch>
                            <a:fillRect/>
                          </a:stretch>
                        </pic:blipFill>
                        <pic:spPr>
                          <a:xfrm rot="0">
                            <a:off x="0" y="0"/>
                            <a:ext cx="6350" cy="226466"/>
                          </a:xfrm>
                          <a:prstGeom prst="rect">
                            <a:avLst/>
                          </a:prstGeom>
                        </pic:spPr>
                      </pic:pic>
                    </a:graphicData>
                  </a:graphic>
                </wp:inline>
              </w:drawing>
            </w:r>
            <w:r>
              <w:rPr>
                <w:rFonts w:ascii="Arial" w:hAnsi="Arial" w:eastAsia="Arial" w:cs="Arial"/>
                <w:sz w:val="20"/>
                <w:szCs w:val="20"/>
                <w:spacing w:val="25"/>
              </w:rPr>
              <w:t xml:space="preserve"> </w:t>
            </w:r>
            <w:r>
              <w:rPr>
                <w:rFonts w:ascii="Arial" w:hAnsi="Arial" w:eastAsia="Arial" w:cs="Arial"/>
                <w:sz w:val="20"/>
                <w:szCs w:val="20"/>
                <w:spacing w:val="-2"/>
              </w:rPr>
              <w:t>Qtr3</w:t>
            </w:r>
            <w:r>
              <w:rPr>
                <w:rFonts w:ascii="Arial" w:hAnsi="Arial" w:eastAsia="Arial" w:cs="Arial"/>
                <w:sz w:val="20"/>
                <w:szCs w:val="20"/>
                <w:spacing w:val="14"/>
              </w:rPr>
              <w:t xml:space="preserve"> </w:t>
            </w:r>
            <w:r>
              <w:rPr>
                <w:sz w:val="20"/>
                <w:szCs w:val="20"/>
                <w:position w:val="-5"/>
              </w:rPr>
              <w:drawing>
                <wp:inline distT="0" distB="0" distL="0" distR="0">
                  <wp:extent cx="6350" cy="226466"/>
                  <wp:effectExtent l="0" t="0" r="0" b="0"/>
                  <wp:docPr id="782" name="IM 782"/>
                  <wp:cNvGraphicFramePr/>
                  <a:graphic>
                    <a:graphicData uri="http://schemas.openxmlformats.org/drawingml/2006/picture">
                      <pic:pic>
                        <pic:nvPicPr>
                          <pic:cNvPr id="782" name="IM 782"/>
                          <pic:cNvPicPr/>
                        </pic:nvPicPr>
                        <pic:blipFill>
                          <a:blip r:embed="rId371"/>
                          <a:stretch>
                            <a:fillRect/>
                          </a:stretch>
                        </pic:blipFill>
                        <pic:spPr>
                          <a:xfrm rot="0">
                            <a:off x="0" y="0"/>
                            <a:ext cx="6350" cy="226466"/>
                          </a:xfrm>
                          <a:prstGeom prst="rect">
                            <a:avLst/>
                          </a:prstGeom>
                        </pic:spPr>
                      </pic:pic>
                    </a:graphicData>
                  </a:graphic>
                </wp:inline>
              </w:drawing>
            </w:r>
            <w:r>
              <w:rPr>
                <w:rFonts w:ascii="Arial" w:hAnsi="Arial" w:eastAsia="Arial" w:cs="Arial"/>
                <w:sz w:val="20"/>
                <w:szCs w:val="20"/>
                <w:spacing w:val="25"/>
              </w:rPr>
              <w:t xml:space="preserve"> </w:t>
            </w:r>
            <w:r>
              <w:rPr>
                <w:rFonts w:ascii="Arial" w:hAnsi="Arial" w:eastAsia="Arial" w:cs="Arial"/>
                <w:sz w:val="20"/>
                <w:szCs w:val="20"/>
                <w:spacing w:val="-2"/>
              </w:rPr>
              <w:t>Qtr4</w:t>
            </w:r>
            <w:r>
              <w:rPr>
                <w:rFonts w:ascii="Arial" w:hAnsi="Arial" w:eastAsia="Arial" w:cs="Arial"/>
                <w:sz w:val="20"/>
                <w:szCs w:val="20"/>
              </w:rPr>
              <w:t xml:space="preserve"> </w:t>
            </w:r>
            <w:r>
              <w:rPr>
                <w:rFonts w:ascii="Arial" w:hAnsi="Arial" w:eastAsia="Arial" w:cs="Arial"/>
                <w:sz w:val="20"/>
                <w:szCs w:val="20"/>
                <w:spacing w:val="-1"/>
              </w:rPr>
              <w:t>2022</w:t>
            </w:r>
          </w:p>
        </w:tc>
      </w:tr>
    </w:tbl>
    <w:p>
      <w:pPr>
        <w:pStyle w:val="BodyText"/>
        <w:ind w:left="1814"/>
        <w:spacing w:before="112" w:line="176" w:lineRule="exact"/>
        <w:rPr>
          <w:rFonts w:ascii="Microsoft YaHei" w:hAnsi="Microsoft YaHei" w:eastAsia="Microsoft YaHei" w:cs="Microsoft YaHei"/>
          <w:sz w:val="18"/>
          <w:szCs w:val="18"/>
        </w:rPr>
      </w:pPr>
      <w:r>
        <w:rPr>
          <w:sz w:val="22"/>
          <w:szCs w:val="22"/>
          <w:color w:val="00B8F5"/>
          <w:position w:val="1"/>
        </w:rPr>
        <w:t>mm</w:t>
      </w:r>
      <w:r>
        <w:rPr>
          <w:sz w:val="22"/>
          <w:szCs w:val="22"/>
          <w:color w:val="00B8F5"/>
          <w:spacing w:val="55"/>
          <w:w w:val="101"/>
          <w:position w:val="1"/>
        </w:rPr>
        <w:t xml:space="preserve"> </w:t>
      </w:r>
      <w:r>
        <w:rPr>
          <w:rFonts w:ascii="Microsoft YaHei" w:hAnsi="Microsoft YaHei" w:eastAsia="Microsoft YaHei" w:cs="Microsoft YaHei"/>
          <w:sz w:val="18"/>
          <w:szCs w:val="18"/>
          <w:spacing w:val="2"/>
          <w:position w:val="-1"/>
        </w:rPr>
        <w:t>交易金额，亿元                        </w:t>
      </w:r>
      <w:r>
        <w:rPr>
          <w:sz w:val="18"/>
          <w:szCs w:val="18"/>
          <w:position w:val="3"/>
        </w:rPr>
        <w:drawing>
          <wp:inline distT="0" distB="0" distL="0" distR="0">
            <wp:extent cx="262890" cy="19050"/>
            <wp:effectExtent l="0" t="0" r="0" b="0"/>
            <wp:docPr id="784" name="IM 784"/>
            <wp:cNvGraphicFramePr/>
            <a:graphic>
              <a:graphicData uri="http://schemas.openxmlformats.org/drawingml/2006/picture">
                <pic:pic>
                  <pic:nvPicPr>
                    <pic:cNvPr id="784" name="IM 784"/>
                    <pic:cNvPicPr/>
                  </pic:nvPicPr>
                  <pic:blipFill>
                    <a:blip r:embed="rId372"/>
                    <a:stretch>
                      <a:fillRect/>
                    </a:stretch>
                  </pic:blipFill>
                  <pic:spPr>
                    <a:xfrm rot="0">
                      <a:off x="0" y="0"/>
                      <a:ext cx="262890" cy="19050"/>
                    </a:xfrm>
                    <a:prstGeom prst="rect">
                      <a:avLst/>
                    </a:prstGeom>
                  </pic:spPr>
                </pic:pic>
              </a:graphicData>
            </a:graphic>
          </wp:inline>
        </w:drawing>
      </w:r>
      <w:r>
        <w:rPr>
          <w:rFonts w:ascii="Microsoft YaHei" w:hAnsi="Microsoft YaHei" w:eastAsia="Microsoft YaHei" w:cs="Microsoft YaHei"/>
          <w:sz w:val="18"/>
          <w:szCs w:val="18"/>
          <w:spacing w:val="3"/>
          <w:position w:val="-1"/>
        </w:rPr>
        <w:t xml:space="preserve">  </w:t>
      </w:r>
      <w:r>
        <w:rPr>
          <w:rFonts w:ascii="Microsoft YaHei" w:hAnsi="Microsoft YaHei" w:eastAsia="Microsoft YaHei" w:cs="Microsoft YaHei"/>
          <w:sz w:val="18"/>
          <w:szCs w:val="18"/>
          <w:spacing w:val="2"/>
          <w:position w:val="-1"/>
        </w:rPr>
        <w:t>交易金额，笔，</w:t>
      </w:r>
      <w:r>
        <w:rPr>
          <w:rFonts w:ascii="Microsoft YaHei" w:hAnsi="Microsoft YaHei" w:eastAsia="Microsoft YaHei" w:cs="Microsoft YaHei"/>
          <w:sz w:val="18"/>
          <w:szCs w:val="18"/>
          <w:spacing w:val="1"/>
          <w:position w:val="-1"/>
        </w:rPr>
        <w:t>右轴</w:t>
      </w:r>
    </w:p>
    <w:p>
      <w:pPr>
        <w:pStyle w:val="BodyText"/>
        <w:spacing w:line="14" w:lineRule="auto"/>
        <w:rPr>
          <w:sz w:val="2"/>
        </w:rPr>
      </w:pPr>
      <w:r>
        <w:rPr>
          <w:sz w:val="2"/>
          <w:szCs w:val="2"/>
        </w:rPr>
        <w:br w:type="column"/>
      </w:r>
    </w:p>
    <w:p>
      <w:pPr>
        <w:pStyle w:val="BodyText"/>
        <w:ind w:left="5"/>
        <w:spacing w:line="193" w:lineRule="auto"/>
        <w:rPr>
          <w:sz w:val="20"/>
          <w:szCs w:val="20"/>
        </w:rPr>
      </w:pPr>
      <w:r>
        <w:rPr>
          <w:sz w:val="20"/>
          <w:szCs w:val="20"/>
          <w:spacing w:val="-3"/>
        </w:rPr>
        <w:t>80</w:t>
      </w:r>
    </w:p>
    <w:p>
      <w:pPr>
        <w:pStyle w:val="BodyText"/>
        <w:ind w:left="6"/>
        <w:spacing w:before="218" w:line="195" w:lineRule="auto"/>
        <w:rPr>
          <w:sz w:val="20"/>
          <w:szCs w:val="20"/>
        </w:rPr>
      </w:pPr>
      <w:r>
        <w:rPr>
          <w:sz w:val="20"/>
          <w:szCs w:val="20"/>
          <w:spacing w:val="-3"/>
        </w:rPr>
        <w:t>70</w:t>
      </w:r>
    </w:p>
    <w:p>
      <w:pPr>
        <w:pStyle w:val="BodyText"/>
        <w:ind w:left="5"/>
        <w:spacing w:before="218" w:line="195" w:lineRule="auto"/>
        <w:rPr>
          <w:sz w:val="20"/>
          <w:szCs w:val="20"/>
        </w:rPr>
      </w:pPr>
      <w:r>
        <w:rPr>
          <w:sz w:val="20"/>
          <w:szCs w:val="20"/>
          <w:spacing w:val="-2"/>
        </w:rPr>
        <w:t>60</w:t>
      </w:r>
    </w:p>
    <w:p>
      <w:pPr>
        <w:pStyle w:val="BodyText"/>
        <w:ind w:left="5"/>
        <w:spacing w:before="219" w:line="195" w:lineRule="auto"/>
        <w:rPr>
          <w:sz w:val="20"/>
          <w:szCs w:val="20"/>
        </w:rPr>
      </w:pPr>
      <w:r>
        <w:rPr>
          <w:sz w:val="20"/>
          <w:szCs w:val="20"/>
          <w:spacing w:val="-3"/>
        </w:rPr>
        <w:t>50</w:t>
      </w:r>
    </w:p>
    <w:p>
      <w:pPr>
        <w:pStyle w:val="BodyText"/>
        <w:spacing w:before="218" w:line="195" w:lineRule="auto"/>
        <w:rPr>
          <w:sz w:val="20"/>
          <w:szCs w:val="20"/>
        </w:rPr>
      </w:pPr>
      <w:r>
        <w:rPr>
          <w:sz w:val="20"/>
          <w:szCs w:val="20"/>
          <w:spacing w:val="-1"/>
        </w:rPr>
        <w:t>40</w:t>
      </w:r>
    </w:p>
    <w:p>
      <w:pPr>
        <w:pStyle w:val="BodyText"/>
        <w:ind w:left="5"/>
        <w:spacing w:before="219" w:line="195" w:lineRule="auto"/>
        <w:rPr>
          <w:sz w:val="20"/>
          <w:szCs w:val="20"/>
        </w:rPr>
      </w:pPr>
      <w:r>
        <w:rPr>
          <w:sz w:val="20"/>
          <w:szCs w:val="20"/>
          <w:spacing w:val="-3"/>
        </w:rPr>
        <w:t>30</w:t>
      </w:r>
    </w:p>
    <w:p>
      <w:pPr>
        <w:pStyle w:val="BodyText"/>
        <w:ind w:left="3"/>
        <w:spacing w:before="218" w:line="195" w:lineRule="auto"/>
        <w:rPr>
          <w:sz w:val="20"/>
          <w:szCs w:val="20"/>
        </w:rPr>
      </w:pPr>
      <w:r>
        <w:rPr>
          <w:sz w:val="20"/>
          <w:szCs w:val="20"/>
          <w:spacing w:val="-2"/>
        </w:rPr>
        <w:t>20</w:t>
      </w:r>
    </w:p>
    <w:p>
      <w:pPr>
        <w:pStyle w:val="BodyText"/>
        <w:ind w:left="19"/>
        <w:spacing w:before="219" w:line="195" w:lineRule="auto"/>
        <w:rPr>
          <w:sz w:val="20"/>
          <w:szCs w:val="20"/>
        </w:rPr>
      </w:pPr>
      <w:r>
        <w:rPr>
          <w:sz w:val="20"/>
          <w:szCs w:val="20"/>
          <w:spacing w:val="-6"/>
        </w:rPr>
        <w:t>10</w:t>
      </w:r>
    </w:p>
    <w:p>
      <w:pPr>
        <w:pStyle w:val="BodyText"/>
        <w:ind w:left="5"/>
        <w:spacing w:before="219" w:line="195" w:lineRule="auto"/>
        <w:rPr>
          <w:sz w:val="20"/>
          <w:szCs w:val="20"/>
        </w:rPr>
      </w:pPr>
      <w:r>
        <w:rPr>
          <w:sz w:val="20"/>
          <w:szCs w:val="20"/>
        </w:rPr>
        <w:t>0</w:t>
      </w:r>
    </w:p>
    <w:p>
      <w:pPr>
        <w:spacing w:line="195" w:lineRule="auto"/>
        <w:sectPr>
          <w:type w:val="continuous"/>
          <w:pgSz w:w="12245" w:h="17180"/>
          <w:pgMar w:top="400" w:right="0" w:bottom="0" w:left="941" w:header="0" w:footer="0" w:gutter="0"/>
          <w:cols w:equalWidth="0" w:num="3">
            <w:col w:w="731" w:space="100"/>
            <w:col w:w="8816" w:space="100"/>
            <w:col w:w="1558" w:space="0"/>
          </w:cols>
        </w:sectPr>
        <w:rPr>
          <w:sz w:val="20"/>
          <w:szCs w:val="20"/>
        </w:rPr>
      </w:pPr>
    </w:p>
    <w:p>
      <w:pPr>
        <w:pStyle w:val="BodyText"/>
        <w:spacing w:line="242" w:lineRule="auto"/>
        <w:rPr/>
      </w:pPr>
      <w:r>
        <w:pict>
          <v:rect id="_x0000_s1656" style="position:absolute;margin-left:564.936pt;margin-top:-355.93pt;mso-position-vertical-relative:text;mso-position-horizontal-relative:text;width:0.25pt;height:859pt;z-index:253744128;" fillcolor="#000000" filled="true" stroked="false"/>
        </w:pict>
      </w:r>
      <w:r/>
    </w:p>
    <w:p>
      <w:pPr>
        <w:ind w:left="368"/>
        <w:spacing w:before="65" w:line="185"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7"/>
        </w:rPr>
        <w:t>数据来源：投中数据，毕马威分析</w:t>
      </w:r>
    </w:p>
    <w:p>
      <w:pPr>
        <w:pStyle w:val="BodyText"/>
        <w:rPr/>
      </w:pPr>
      <w:r/>
    </w:p>
    <w:p>
      <w:pPr>
        <w:pStyle w:val="BodyText"/>
        <w:rPr/>
      </w:pPr>
      <w:r/>
    </w:p>
    <w:p>
      <w:pPr>
        <w:ind w:left="356" w:right="3008" w:firstLine="8"/>
        <w:spacing w:before="90" w:line="217"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从融资轮次的分布看，目前种子轮、</w:t>
      </w:r>
      <w:r>
        <w:rPr>
          <w:rFonts w:ascii="Microsoft YaHei" w:hAnsi="Microsoft YaHei" w:eastAsia="Microsoft YaHei" w:cs="Microsoft YaHei"/>
          <w:sz w:val="21"/>
          <w:szCs w:val="21"/>
          <w:spacing w:val="-27"/>
        </w:rPr>
        <w:t xml:space="preserve"> </w:t>
      </w:r>
      <w:r>
        <w:rPr>
          <w:rFonts w:ascii="Microsoft YaHei" w:hAnsi="Microsoft YaHei" w:eastAsia="Microsoft YaHei" w:cs="Microsoft YaHei"/>
          <w:sz w:val="21"/>
          <w:szCs w:val="21"/>
          <w:spacing w:val="1"/>
        </w:rPr>
        <w:t>天使轮、A轮等早期融资占主导</w:t>
      </w:r>
      <w:r>
        <w:rPr>
          <w:rFonts w:ascii="Microsoft YaHei" w:hAnsi="Microsoft YaHei" w:eastAsia="Microsoft YaHei" w:cs="Microsoft YaHei"/>
          <w:sz w:val="13"/>
          <w:szCs w:val="13"/>
          <w:spacing w:val="1"/>
          <w:position w:val="6"/>
        </w:rPr>
        <w:t>69</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rPr>
        <w:t>由于储能行业 </w:t>
      </w:r>
      <w:r>
        <w:rPr>
          <w:rFonts w:ascii="Microsoft YaHei" w:hAnsi="Microsoft YaHei" w:eastAsia="Microsoft YaHei" w:cs="Microsoft YaHei"/>
          <w:sz w:val="21"/>
          <w:szCs w:val="21"/>
          <w:spacing w:val="1"/>
        </w:rPr>
        <w:t>处于起步阶段</w:t>
      </w:r>
      <w:r>
        <w:rPr>
          <w:rFonts w:ascii="Microsoft YaHei" w:hAnsi="Microsoft YaHei" w:eastAsia="Microsoft YaHei" w:cs="Microsoft YaHei"/>
          <w:sz w:val="21"/>
          <w:szCs w:val="21"/>
          <w:spacing w:val="-27"/>
        </w:rPr>
        <w:t xml:space="preserve"> </w:t>
      </w:r>
      <w:r>
        <w:rPr>
          <w:rFonts w:ascii="Microsoft YaHei" w:hAnsi="Microsoft YaHei" w:eastAsia="Microsoft YaHei" w:cs="Microsoft YaHei"/>
          <w:sz w:val="21"/>
          <w:szCs w:val="21"/>
          <w:spacing w:val="1"/>
        </w:rPr>
        <w:t>，新进入企业多，对储能的融资需求多处于早期阶段。</w:t>
      </w:r>
      <w:r>
        <w:rPr>
          <w:rFonts w:ascii="Microsoft YaHei" w:hAnsi="Microsoft YaHei" w:eastAsia="Microsoft YaHei" w:cs="Microsoft YaHei"/>
          <w:sz w:val="21"/>
          <w:szCs w:val="21"/>
          <w:spacing w:val="-42"/>
        </w:rPr>
        <w:t xml:space="preserve"> </w:t>
      </w:r>
      <w:r>
        <w:rPr>
          <w:rFonts w:ascii="Microsoft YaHei" w:hAnsi="Microsoft YaHei" w:eastAsia="Microsoft YaHei" w:cs="Microsoft YaHei"/>
          <w:sz w:val="21"/>
          <w:szCs w:val="21"/>
          <w:spacing w:val="1"/>
        </w:rPr>
        <w:t>2022年储能行业</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A轮和B轮融资金额达325亿元，占比66%（图  34）</w:t>
      </w:r>
      <w:r>
        <w:rPr>
          <w:rFonts w:ascii="Microsoft YaHei" w:hAnsi="Microsoft YaHei" w:eastAsia="Microsoft YaHei" w:cs="Microsoft YaHei"/>
          <w:sz w:val="21"/>
          <w:szCs w:val="21"/>
          <w:spacing w:val="-38"/>
        </w:rPr>
        <w:t xml:space="preserve"> </w:t>
      </w:r>
      <w:r>
        <w:rPr>
          <w:rFonts w:ascii="Microsoft YaHei" w:hAnsi="Microsoft YaHei" w:eastAsia="Microsoft YaHei" w:cs="Microsoft YaHei"/>
          <w:sz w:val="21"/>
          <w:szCs w:val="21"/>
          <w:spacing w:val="-1"/>
        </w:rPr>
        <w:t>。较</w:t>
      </w:r>
      <w:r>
        <w:rPr>
          <w:rFonts w:ascii="Microsoft YaHei" w:hAnsi="Microsoft YaHei" w:eastAsia="Microsoft YaHei" w:cs="Microsoft YaHei"/>
          <w:sz w:val="21"/>
          <w:szCs w:val="21"/>
          <w:spacing w:val="-2"/>
        </w:rPr>
        <w:t>早进入储能行业的企业经过数</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年的锤炼和沉淀，</w:t>
      </w:r>
      <w:r>
        <w:rPr>
          <w:rFonts w:ascii="Microsoft YaHei" w:hAnsi="Microsoft YaHei" w:eastAsia="Microsoft YaHei" w:cs="Microsoft YaHei"/>
          <w:sz w:val="21"/>
          <w:szCs w:val="21"/>
          <w:spacing w:val="-40"/>
        </w:rPr>
        <w:t xml:space="preserve"> </w:t>
      </w:r>
      <w:r>
        <w:rPr>
          <w:rFonts w:ascii="Microsoft YaHei" w:hAnsi="Microsoft YaHei" w:eastAsia="Microsoft YaHei" w:cs="Microsoft YaHei"/>
          <w:sz w:val="21"/>
          <w:szCs w:val="21"/>
          <w:spacing w:val="1"/>
        </w:rPr>
        <w:t>技术实力和市场认可度提升，在资本市场上</w:t>
      </w:r>
      <w:r>
        <w:rPr>
          <w:rFonts w:ascii="Microsoft YaHei" w:hAnsi="Microsoft YaHei" w:eastAsia="Microsoft YaHei" w:cs="Microsoft YaHei"/>
          <w:sz w:val="21"/>
          <w:szCs w:val="21"/>
        </w:rPr>
        <w:t>已经处于C轮、</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rPr>
        <w:t>D轮等中 </w:t>
      </w:r>
      <w:r>
        <w:rPr>
          <w:rFonts w:ascii="Microsoft YaHei" w:hAnsi="Microsoft YaHei" w:eastAsia="Microsoft YaHei" w:cs="Microsoft YaHei"/>
          <w:sz w:val="21"/>
          <w:szCs w:val="21"/>
          <w:spacing w:val="-1"/>
        </w:rPr>
        <w:t>晚期融资阶段。2022年D轮及以后融资高达112亿元，部分布局储能较早的企业获得了</w:t>
      </w:r>
      <w:r>
        <w:rPr>
          <w:rFonts w:ascii="Microsoft YaHei" w:hAnsi="Microsoft YaHei" w:eastAsia="Microsoft YaHei" w:cs="Microsoft YaHei"/>
          <w:sz w:val="21"/>
          <w:szCs w:val="21"/>
          <w:spacing w:val="3"/>
        </w:rPr>
        <w:t xml:space="preserve"> </w:t>
      </w:r>
      <w:r>
        <w:rPr>
          <w:rFonts w:ascii="Microsoft YaHei" w:hAnsi="Microsoft YaHei" w:eastAsia="Microsoft YaHei" w:cs="Microsoft YaHei"/>
          <w:sz w:val="21"/>
          <w:szCs w:val="21"/>
          <w:spacing w:val="-4"/>
        </w:rPr>
        <w:t>C轮、</w:t>
      </w:r>
      <w:r>
        <w:rPr>
          <w:rFonts w:ascii="Microsoft YaHei" w:hAnsi="Microsoft YaHei" w:eastAsia="Microsoft YaHei" w:cs="Microsoft YaHei"/>
          <w:sz w:val="21"/>
          <w:szCs w:val="21"/>
          <w:spacing w:val="-36"/>
        </w:rPr>
        <w:t xml:space="preserve"> </w:t>
      </w:r>
      <w:r>
        <w:rPr>
          <w:rFonts w:ascii="Microsoft YaHei" w:hAnsi="Microsoft YaHei" w:eastAsia="Microsoft YaHei" w:cs="Microsoft YaHei"/>
          <w:sz w:val="21"/>
          <w:szCs w:val="21"/>
          <w:spacing w:val="-4"/>
        </w:rPr>
        <w:t>D轮等多轮融资后成功上市。</w:t>
      </w:r>
    </w:p>
    <w:p>
      <w:pPr>
        <w:pStyle w:val="BodyText"/>
        <w:spacing w:line="397" w:lineRule="auto"/>
        <w:rPr/>
      </w:pPr>
      <w:r>
        <w:pict>
          <v:rect id="_x0000_s1658" style="position:absolute;margin-left:18.1061pt;margin-top:13.3372pt;mso-position-vertical-relative:text;mso-position-horizontal-relative:text;width:30.5pt;height:5pt;z-index:253746176;" fillcolor="#00338D" filled="true" stroked="false"/>
        </w:pict>
      </w:r>
      <w:r/>
    </w:p>
    <w:p>
      <w:pPr>
        <w:ind w:left="1280"/>
        <w:spacing w:before="91" w:line="187" w:lineRule="auto"/>
        <w:rPr>
          <w:rFonts w:ascii="Microsoft YaHei" w:hAnsi="Microsoft YaHei" w:eastAsia="Microsoft YaHei" w:cs="Microsoft YaHei"/>
          <w:sz w:val="21"/>
          <w:szCs w:val="21"/>
        </w:rPr>
      </w:pPr>
      <w:r>
        <mc:AlternateContent xmlns:mc="http://schemas.openxmlformats.org/markup-compatibility/2006">
          <mc:Choice Requires="wps">
            <w:drawing>
              <wp:anchor distT="0" distB="0" distL="0" distR="0" simplePos="0" relativeHeight="253739008" behindDoc="1" locked="0" layoutInCell="1" allowOverlap="1">
                <wp:simplePos x="0" y="0"/>
                <wp:positionH relativeFrom="column">
                  <wp:posOffset>228422</wp:posOffset>
                </wp:positionH>
                <wp:positionV relativeFrom="paragraph">
                  <wp:posOffset>-41849</wp:posOffset>
                </wp:positionV>
                <wp:extent cx="6123940" cy="329565"/>
                <wp:effectExtent l="0" t="0" r="0" b="0"/>
                <wp:wrapNone/>
                <wp:docPr id="786" name="Rect 786"/>
                <wp:cNvGraphicFramePr/>
                <a:graphic>
                  <a:graphicData uri="http://schemas.microsoft.com/office/word/2010/wordprocessingShape">
                    <wps:wsp>
                      <wps:cNvPr id="786" name="Rect 786"/>
                      <wps:cNvSpPr/>
                      <wps:spPr>
                        <a:xfrm>
                          <a:off x="228422" y="-41849"/>
                          <a:ext cx="6123940" cy="329565"/>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660" style="position:absolute;margin-left:17.9861pt;margin-top:-3.29521pt;mso-position-vertical-relative:text;mso-position-horizontal-relative:text;width:482.2pt;height:25.95pt;z-index:-249577472;" fillcolor="#F1F1F1" filled="true" stroked="false"/>
            </w:pict>
          </mc:Fallback>
        </mc:AlternateContent>
      </w:r>
      <w:r>
        <w:pict>
          <v:shape id="_x0000_s1662" style="position:absolute;margin-left:24.9951pt;margin-top:1.70479pt;mso-position-vertical-relative:text;mso-position-horizontal-relative:text;width:31.5pt;height:18.2pt;z-index:253742080;" filled="false" stroked="false" type="#_x0000_t202">
            <v:fill on="false"/>
            <v:stroke on="false"/>
            <v:path/>
            <v:imagedata o:title=""/>
            <o:lock v:ext="edit" aspectratio="false"/>
            <v:textbox inset="0mm,0mm,0mm,0mm">
              <w:txbxContent>
                <w:p>
                  <w:pPr>
                    <w:ind w:left="20"/>
                    <w:spacing w:before="20" w:line="215" w:lineRule="auto"/>
                    <w:rPr>
                      <w:sz w:val="21"/>
                      <w:szCs w:val="21"/>
                    </w:rPr>
                  </w:pPr>
                  <w:r>
                    <w:rPr>
                      <w:rFonts w:ascii="Microsoft YaHei" w:hAnsi="Microsoft YaHei" w:eastAsia="Microsoft YaHei" w:cs="Microsoft YaHei"/>
                      <w:sz w:val="21"/>
                      <w:szCs w:val="21"/>
                      <w:b/>
                      <w:bCs/>
                      <w:color w:val="00338D"/>
                      <w:spacing w:val="-10"/>
                    </w:rPr>
                    <w:t>图 34</w:t>
                  </w:r>
                  <w:r>
                    <w:rPr>
                      <w:rFonts w:ascii="Microsoft YaHei" w:hAnsi="Microsoft YaHei" w:eastAsia="Microsoft YaHei" w:cs="Microsoft YaHei"/>
                      <w:sz w:val="21"/>
                      <w:szCs w:val="21"/>
                      <w:b/>
                      <w:bCs/>
                      <w:color w:val="00338D"/>
                      <w:spacing w:val="13"/>
                    </w:rPr>
                    <w:t xml:space="preserve"> </w:t>
                  </w:r>
                  <w:r>
                    <w:rPr>
                      <w:sz w:val="21"/>
                      <w:szCs w:val="21"/>
                      <w:position w:val="-5"/>
                    </w:rPr>
                    <w:drawing>
                      <wp:inline distT="0" distB="0" distL="0" distR="0">
                        <wp:extent cx="12700" cy="175666"/>
                        <wp:effectExtent l="0" t="0" r="0" b="0"/>
                        <wp:docPr id="788" name="IM 788"/>
                        <wp:cNvGraphicFramePr/>
                        <a:graphic>
                          <a:graphicData uri="http://schemas.openxmlformats.org/drawingml/2006/picture">
                            <pic:pic>
                              <pic:nvPicPr>
                                <pic:cNvPr id="788" name="IM 788"/>
                                <pic:cNvPicPr/>
                              </pic:nvPicPr>
                              <pic:blipFill>
                                <a:blip r:embed="rId373"/>
                                <a:stretch>
                                  <a:fillRect/>
                                </a:stretch>
                              </pic:blipFill>
                              <pic:spPr>
                                <a:xfrm rot="0">
                                  <a:off x="0" y="0"/>
                                  <a:ext cx="12700" cy="175666"/>
                                </a:xfrm>
                                <a:prstGeom prst="rect">
                                  <a:avLst/>
                                </a:prstGeom>
                              </pic:spPr>
                            </pic:pic>
                          </a:graphicData>
                        </a:graphic>
                      </wp:inline>
                    </w:drawing>
                  </w:r>
                </w:p>
              </w:txbxContent>
            </v:textbox>
          </v:shape>
        </w:pict>
      </w:r>
      <w:r>
        <w:rPr>
          <w:rFonts w:ascii="Microsoft YaHei" w:hAnsi="Microsoft YaHei" w:eastAsia="Microsoft YaHei" w:cs="Microsoft YaHei"/>
          <w:sz w:val="21"/>
          <w:szCs w:val="21"/>
          <w:b/>
          <w:bCs/>
          <w:color w:val="00338D"/>
          <w:spacing w:val="-3"/>
        </w:rPr>
        <w:t>2019-2022年储能行业融资按轮次融资金额，亿元</w:t>
      </w:r>
    </w:p>
    <w:p>
      <w:pPr>
        <w:pStyle w:val="BodyText"/>
        <w:spacing w:line="313" w:lineRule="auto"/>
        <w:rPr/>
      </w:pPr>
      <w:r/>
    </w:p>
    <w:p>
      <w:pPr>
        <w:pStyle w:val="BodyText"/>
        <w:ind w:left="533"/>
        <w:spacing w:before="57" w:line="195" w:lineRule="auto"/>
        <w:rPr>
          <w:sz w:val="20"/>
          <w:szCs w:val="20"/>
        </w:rPr>
      </w:pPr>
      <w:r>
        <w:pict>
          <v:shape id="_x0000_s1664" style="position:absolute;margin-left:48.7161pt;margin-top:6.84636pt;mso-position-vertical-relative:text;mso-position-horizontal-relative:text;width:3.4pt;height:134.2pt;z-index:253740032;" filled="false" strokecolor="#000000" strokeweight="0.50pt" coordsize="68,2683" coordorigin="0,0" path="m62,2621l62,5m0,2621l62,2621m0,2184l62,2184m0,1747l62,1747m0,1315l62,1315m0,878l62,878m0,441l62,441m0,5l62,5m62,2621l62,2683e">
            <v:stroke miterlimit="10"/>
          </v:shape>
        </w:pict>
      </w:r>
      <w:r>
        <w:rPr>
          <w:sz w:val="20"/>
          <w:szCs w:val="20"/>
          <w:spacing w:val="-2"/>
        </w:rPr>
        <w:t>600</w:t>
      </w:r>
    </w:p>
    <w:p>
      <w:pPr>
        <w:pStyle w:val="BodyText"/>
        <w:ind w:left="534"/>
        <w:spacing w:before="249" w:line="195" w:lineRule="auto"/>
        <w:rPr>
          <w:sz w:val="20"/>
          <w:szCs w:val="20"/>
        </w:rPr>
      </w:pPr>
      <w:r>
        <w:drawing>
          <wp:anchor distT="0" distB="0" distL="0" distR="0" simplePos="0" relativeHeight="253741056" behindDoc="0" locked="0" layoutInCell="1" allowOverlap="1">
            <wp:simplePos x="0" y="0"/>
            <wp:positionH relativeFrom="column">
              <wp:posOffset>655142</wp:posOffset>
            </wp:positionH>
            <wp:positionV relativeFrom="paragraph">
              <wp:posOffset>254866</wp:posOffset>
            </wp:positionV>
            <wp:extent cx="5699886" cy="1377695"/>
            <wp:effectExtent l="0" t="0" r="0" b="0"/>
            <wp:wrapNone/>
            <wp:docPr id="790" name="IM 790"/>
            <wp:cNvGraphicFramePr/>
            <a:graphic>
              <a:graphicData uri="http://schemas.openxmlformats.org/drawingml/2006/picture">
                <pic:pic>
                  <pic:nvPicPr>
                    <pic:cNvPr id="790" name="IM 790"/>
                    <pic:cNvPicPr/>
                  </pic:nvPicPr>
                  <pic:blipFill>
                    <a:blip r:embed="rId374"/>
                    <a:stretch>
                      <a:fillRect/>
                    </a:stretch>
                  </pic:blipFill>
                  <pic:spPr>
                    <a:xfrm rot="0">
                      <a:off x="0" y="0"/>
                      <a:ext cx="5699886" cy="1377695"/>
                    </a:xfrm>
                    <a:prstGeom prst="rect">
                      <a:avLst/>
                    </a:prstGeom>
                  </pic:spPr>
                </pic:pic>
              </a:graphicData>
            </a:graphic>
          </wp:anchor>
        </w:drawing>
      </w:r>
      <w:r>
        <w:rPr>
          <w:sz w:val="20"/>
          <w:szCs w:val="20"/>
          <w:spacing w:val="-3"/>
        </w:rPr>
        <w:t>500</w:t>
      </w:r>
    </w:p>
    <w:p>
      <w:pPr>
        <w:pStyle w:val="BodyText"/>
        <w:ind w:left="528"/>
        <w:spacing w:before="249" w:line="195" w:lineRule="auto"/>
        <w:rPr>
          <w:sz w:val="20"/>
          <w:szCs w:val="20"/>
        </w:rPr>
      </w:pPr>
      <w:r>
        <w:rPr>
          <w:sz w:val="20"/>
          <w:szCs w:val="20"/>
          <w:spacing w:val="-1"/>
        </w:rPr>
        <w:t>400</w:t>
      </w:r>
    </w:p>
    <w:p>
      <w:pPr>
        <w:pStyle w:val="BodyText"/>
        <w:ind w:left="534"/>
        <w:spacing w:before="249" w:line="195" w:lineRule="auto"/>
        <w:rPr>
          <w:sz w:val="20"/>
          <w:szCs w:val="20"/>
        </w:rPr>
      </w:pPr>
      <w:r>
        <w:rPr>
          <w:sz w:val="20"/>
          <w:szCs w:val="20"/>
          <w:spacing w:val="-3"/>
        </w:rPr>
        <w:t>300</w:t>
      </w:r>
    </w:p>
    <w:p>
      <w:pPr>
        <w:pStyle w:val="BodyText"/>
        <w:ind w:left="532"/>
        <w:spacing w:before="249" w:line="195" w:lineRule="auto"/>
        <w:rPr>
          <w:sz w:val="20"/>
          <w:szCs w:val="20"/>
        </w:rPr>
      </w:pPr>
      <w:r>
        <w:rPr>
          <w:sz w:val="20"/>
          <w:szCs w:val="20"/>
          <w:spacing w:val="-2"/>
        </w:rPr>
        <w:t>200</w:t>
      </w:r>
    </w:p>
    <w:p>
      <w:pPr>
        <w:pStyle w:val="BodyText"/>
        <w:ind w:left="548"/>
        <w:spacing w:before="249" w:line="195" w:lineRule="auto"/>
        <w:rPr>
          <w:sz w:val="20"/>
          <w:szCs w:val="20"/>
        </w:rPr>
      </w:pPr>
      <w:r>
        <w:rPr>
          <w:sz w:val="20"/>
          <w:szCs w:val="20"/>
          <w:spacing w:val="-6"/>
        </w:rPr>
        <w:t>100</w:t>
      </w:r>
    </w:p>
    <w:p>
      <w:pPr>
        <w:pStyle w:val="BodyText"/>
        <w:ind w:left="757"/>
        <w:spacing w:before="249" w:line="195" w:lineRule="auto"/>
        <w:rPr>
          <w:sz w:val="20"/>
          <w:szCs w:val="20"/>
        </w:rPr>
      </w:pPr>
      <w:r>
        <w:rPr>
          <w:sz w:val="20"/>
          <w:szCs w:val="20"/>
        </w:rPr>
        <w:t>0</w:t>
      </w:r>
    </w:p>
    <w:p>
      <w:pPr>
        <w:pStyle w:val="BodyText"/>
        <w:ind w:left="1936"/>
        <w:spacing w:before="51" w:line="195" w:lineRule="auto"/>
        <w:rPr>
          <w:sz w:val="20"/>
          <w:szCs w:val="20"/>
        </w:rPr>
      </w:pPr>
      <w:r>
        <w:rPr>
          <w:sz w:val="20"/>
          <w:szCs w:val="20"/>
          <w:spacing w:val="-1"/>
        </w:rPr>
        <w:t>2019</w:t>
      </w:r>
      <w:r>
        <w:rPr>
          <w:sz w:val="20"/>
          <w:szCs w:val="20"/>
          <w:spacing w:val="1"/>
        </w:rPr>
        <w:t xml:space="preserve">                          </w:t>
      </w:r>
      <w:r>
        <w:rPr>
          <w:sz w:val="20"/>
          <w:szCs w:val="20"/>
        </w:rPr>
        <w:t xml:space="preserve">      </w:t>
      </w:r>
      <w:r>
        <w:rPr>
          <w:sz w:val="20"/>
          <w:szCs w:val="20"/>
          <w:spacing w:val="-1"/>
        </w:rPr>
        <w:t>2020</w:t>
      </w:r>
      <w:r>
        <w:rPr>
          <w:sz w:val="20"/>
          <w:szCs w:val="20"/>
          <w:spacing w:val="1"/>
        </w:rPr>
        <w:t xml:space="preserve">                      </w:t>
      </w:r>
      <w:r>
        <w:rPr>
          <w:sz w:val="20"/>
          <w:szCs w:val="20"/>
        </w:rPr>
        <w:t xml:space="preserve">          </w:t>
      </w:r>
      <w:r>
        <w:rPr>
          <w:sz w:val="20"/>
          <w:szCs w:val="20"/>
          <w:spacing w:val="-1"/>
        </w:rPr>
        <w:t>2021</w:t>
      </w:r>
      <w:r>
        <w:rPr>
          <w:sz w:val="20"/>
          <w:szCs w:val="20"/>
          <w:spacing w:val="1"/>
        </w:rPr>
        <w:t xml:space="preserve">                      </w:t>
      </w:r>
      <w:r>
        <w:rPr>
          <w:sz w:val="20"/>
          <w:szCs w:val="20"/>
        </w:rPr>
        <w:t xml:space="preserve">          </w:t>
      </w:r>
      <w:r>
        <w:rPr>
          <w:sz w:val="20"/>
          <w:szCs w:val="20"/>
          <w:spacing w:val="-1"/>
        </w:rPr>
        <w:t>2022</w:t>
      </w:r>
    </w:p>
    <w:p>
      <w:pPr>
        <w:pStyle w:val="BodyText"/>
        <w:ind w:left="1458"/>
        <w:spacing w:before="247" w:line="255" w:lineRule="exact"/>
        <w:rPr>
          <w:rFonts w:ascii="Microsoft YaHei" w:hAnsi="Microsoft YaHei" w:eastAsia="Microsoft YaHei" w:cs="Microsoft YaHei"/>
          <w:sz w:val="20"/>
          <w:szCs w:val="20"/>
        </w:rPr>
      </w:pPr>
      <w:r>
        <w:rPr>
          <w:rFonts w:ascii="Microsoft YaHei" w:hAnsi="Microsoft YaHei" w:eastAsia="Microsoft YaHei" w:cs="Microsoft YaHei"/>
          <w:sz w:val="18"/>
          <w:szCs w:val="18"/>
          <w:position w:val="-1"/>
        </w:rPr>
        <w:drawing>
          <wp:inline distT="0" distB="0" distL="0" distR="0">
            <wp:extent cx="85344" cy="85344"/>
            <wp:effectExtent l="0" t="0" r="0" b="0"/>
            <wp:docPr id="792" name="IM 792"/>
            <wp:cNvGraphicFramePr/>
            <a:graphic>
              <a:graphicData uri="http://schemas.openxmlformats.org/drawingml/2006/picture">
                <pic:pic>
                  <pic:nvPicPr>
                    <pic:cNvPr id="792" name="IM 792"/>
                    <pic:cNvPicPr/>
                  </pic:nvPicPr>
                  <pic:blipFill>
                    <a:blip r:embed="rId375"/>
                    <a:stretch>
                      <a:fillRect/>
                    </a:stretch>
                  </pic:blipFill>
                  <pic:spPr>
                    <a:xfrm rot="0">
                      <a:off x="0" y="0"/>
                      <a:ext cx="85344" cy="85344"/>
                    </a:xfrm>
                    <a:prstGeom prst="rect">
                      <a:avLst/>
                    </a:prstGeom>
                  </pic:spPr>
                </pic:pic>
              </a:graphicData>
            </a:graphic>
          </wp:inline>
        </w:drawing>
      </w:r>
      <w:r>
        <w:rPr>
          <w:rFonts w:ascii="Microsoft YaHei" w:hAnsi="Microsoft YaHei" w:eastAsia="Microsoft YaHei" w:cs="Microsoft YaHei"/>
          <w:sz w:val="18"/>
          <w:szCs w:val="18"/>
          <w:spacing w:val="45"/>
          <w:w w:val="101"/>
          <w:position w:val="-1"/>
        </w:rPr>
        <w:t xml:space="preserve"> </w:t>
      </w:r>
      <w:r>
        <w:rPr>
          <w:rFonts w:ascii="Microsoft YaHei" w:hAnsi="Microsoft YaHei" w:eastAsia="Microsoft YaHei" w:cs="Microsoft YaHei"/>
          <w:sz w:val="18"/>
          <w:szCs w:val="18"/>
          <w:position w:val="-1"/>
        </w:rPr>
        <w:t>种子和天使轮            </w:t>
      </w:r>
      <w:r>
        <w:rPr>
          <w:sz w:val="18"/>
          <w:szCs w:val="18"/>
          <w:position w:val="-1"/>
        </w:rPr>
        <w:drawing>
          <wp:inline distT="0" distB="0" distL="0" distR="0">
            <wp:extent cx="85344" cy="85344"/>
            <wp:effectExtent l="0" t="0" r="0" b="0"/>
            <wp:docPr id="794" name="IM 794"/>
            <wp:cNvGraphicFramePr/>
            <a:graphic>
              <a:graphicData uri="http://schemas.openxmlformats.org/drawingml/2006/picture">
                <pic:pic>
                  <pic:nvPicPr>
                    <pic:cNvPr id="794" name="IM 794"/>
                    <pic:cNvPicPr/>
                  </pic:nvPicPr>
                  <pic:blipFill>
                    <a:blip r:embed="rId376"/>
                    <a:stretch>
                      <a:fillRect/>
                    </a:stretch>
                  </pic:blipFill>
                  <pic:spPr>
                    <a:xfrm rot="0">
                      <a:off x="0" y="0"/>
                      <a:ext cx="85344" cy="85344"/>
                    </a:xfrm>
                    <a:prstGeom prst="rect">
                      <a:avLst/>
                    </a:prstGeom>
                  </pic:spPr>
                </pic:pic>
              </a:graphicData>
            </a:graphic>
          </wp:inline>
        </w:drawing>
      </w:r>
      <w:r>
        <w:rPr>
          <w:rFonts w:ascii="Microsoft YaHei" w:hAnsi="Microsoft YaHei" w:eastAsia="Microsoft YaHei" w:cs="Microsoft YaHei"/>
          <w:sz w:val="18"/>
          <w:szCs w:val="18"/>
          <w:spacing w:val="4"/>
          <w:position w:val="-1"/>
        </w:rPr>
        <w:t xml:space="preserve"> </w:t>
      </w:r>
      <w:r>
        <w:rPr>
          <w:rFonts w:ascii="Microsoft YaHei" w:hAnsi="Microsoft YaHei" w:eastAsia="Microsoft YaHei" w:cs="Microsoft YaHei"/>
          <w:sz w:val="20"/>
          <w:szCs w:val="20"/>
          <w:position w:val="-2"/>
        </w:rPr>
        <w:t>A轮          </w:t>
      </w:r>
      <w:r>
        <w:rPr>
          <w:sz w:val="20"/>
          <w:szCs w:val="20"/>
          <w:position w:val="-1"/>
        </w:rPr>
        <w:drawing>
          <wp:inline distT="0" distB="0" distL="0" distR="0">
            <wp:extent cx="85344" cy="85344"/>
            <wp:effectExtent l="0" t="0" r="0" b="0"/>
            <wp:docPr id="796" name="IM 796"/>
            <wp:cNvGraphicFramePr/>
            <a:graphic>
              <a:graphicData uri="http://schemas.openxmlformats.org/drawingml/2006/picture">
                <pic:pic>
                  <pic:nvPicPr>
                    <pic:cNvPr id="796" name="IM 796"/>
                    <pic:cNvPicPr/>
                  </pic:nvPicPr>
                  <pic:blipFill>
                    <a:blip r:embed="rId377"/>
                    <a:stretch>
                      <a:fillRect/>
                    </a:stretch>
                  </pic:blipFill>
                  <pic:spPr>
                    <a:xfrm rot="0">
                      <a:off x="0" y="0"/>
                      <a:ext cx="85344" cy="85344"/>
                    </a:xfrm>
                    <a:prstGeom prst="rect">
                      <a:avLst/>
                    </a:prstGeom>
                  </pic:spPr>
                </pic:pic>
              </a:graphicData>
            </a:graphic>
          </wp:inline>
        </w:drawing>
      </w:r>
      <w:r>
        <w:rPr>
          <w:rFonts w:ascii="Microsoft YaHei" w:hAnsi="Microsoft YaHei" w:eastAsia="Microsoft YaHei" w:cs="Microsoft YaHei"/>
          <w:sz w:val="20"/>
          <w:szCs w:val="20"/>
          <w:spacing w:val="20"/>
          <w:w w:val="101"/>
          <w:position w:val="-2"/>
        </w:rPr>
        <w:t xml:space="preserve"> </w:t>
      </w:r>
      <w:r>
        <w:rPr>
          <w:rFonts w:ascii="Microsoft YaHei" w:hAnsi="Microsoft YaHei" w:eastAsia="Microsoft YaHei" w:cs="Microsoft YaHei"/>
          <w:sz w:val="20"/>
          <w:szCs w:val="20"/>
          <w:position w:val="-2"/>
        </w:rPr>
        <w:t>B轮  </w:t>
      </w:r>
      <w:r>
        <w:rPr>
          <w:rFonts w:ascii="Microsoft YaHei" w:hAnsi="Microsoft YaHei" w:eastAsia="Microsoft YaHei" w:cs="Microsoft YaHei"/>
          <w:sz w:val="20"/>
          <w:szCs w:val="20"/>
          <w:spacing w:val="-1"/>
          <w:position w:val="-2"/>
        </w:rPr>
        <w:t xml:space="preserve">        </w:t>
      </w:r>
      <w:r>
        <w:rPr>
          <w:sz w:val="20"/>
          <w:szCs w:val="20"/>
          <w:position w:val="-1"/>
        </w:rPr>
        <w:drawing>
          <wp:inline distT="0" distB="0" distL="0" distR="0">
            <wp:extent cx="85344" cy="85344"/>
            <wp:effectExtent l="0" t="0" r="0" b="0"/>
            <wp:docPr id="798" name="IM 798"/>
            <wp:cNvGraphicFramePr/>
            <a:graphic>
              <a:graphicData uri="http://schemas.openxmlformats.org/drawingml/2006/picture">
                <pic:pic>
                  <pic:nvPicPr>
                    <pic:cNvPr id="798" name="IM 798"/>
                    <pic:cNvPicPr/>
                  </pic:nvPicPr>
                  <pic:blipFill>
                    <a:blip r:embed="rId378"/>
                    <a:stretch>
                      <a:fillRect/>
                    </a:stretch>
                  </pic:blipFill>
                  <pic:spPr>
                    <a:xfrm rot="0">
                      <a:off x="0" y="0"/>
                      <a:ext cx="85344" cy="85344"/>
                    </a:xfrm>
                    <a:prstGeom prst="rect">
                      <a:avLst/>
                    </a:prstGeom>
                  </pic:spPr>
                </pic:pic>
              </a:graphicData>
            </a:graphic>
          </wp:inline>
        </w:drawing>
      </w:r>
      <w:r>
        <w:rPr>
          <w:rFonts w:ascii="Microsoft YaHei" w:hAnsi="Microsoft YaHei" w:eastAsia="Microsoft YaHei" w:cs="Microsoft YaHei"/>
          <w:sz w:val="20"/>
          <w:szCs w:val="20"/>
          <w:spacing w:val="9"/>
          <w:position w:val="-2"/>
        </w:rPr>
        <w:t xml:space="preserve"> </w:t>
      </w:r>
      <w:r>
        <w:rPr>
          <w:rFonts w:ascii="Microsoft YaHei" w:hAnsi="Microsoft YaHei" w:eastAsia="Microsoft YaHei" w:cs="Microsoft YaHei"/>
          <w:sz w:val="20"/>
          <w:szCs w:val="20"/>
          <w:spacing w:val="-1"/>
          <w:position w:val="-2"/>
        </w:rPr>
        <w:t>C轮          </w:t>
      </w:r>
      <w:r>
        <w:rPr>
          <w:sz w:val="40"/>
          <w:szCs w:val="40"/>
          <w:color w:val="ACEAFF"/>
          <w:spacing w:val="-1"/>
          <w:position w:val="2"/>
        </w:rPr>
        <w:t>.</w:t>
      </w:r>
      <w:r>
        <w:rPr>
          <w:sz w:val="40"/>
          <w:szCs w:val="40"/>
          <w:color w:val="ACEAFF"/>
          <w:spacing w:val="-30"/>
          <w:position w:val="2"/>
        </w:rPr>
        <w:t xml:space="preserve"> </w:t>
      </w:r>
      <w:r>
        <w:rPr>
          <w:rFonts w:ascii="Microsoft YaHei" w:hAnsi="Microsoft YaHei" w:eastAsia="Microsoft YaHei" w:cs="Microsoft YaHei"/>
          <w:sz w:val="20"/>
          <w:szCs w:val="20"/>
          <w:spacing w:val="-1"/>
          <w:position w:val="-2"/>
        </w:rPr>
        <w:t>D轮及以后          </w:t>
      </w:r>
      <w:r>
        <w:rPr>
          <w:sz w:val="20"/>
          <w:szCs w:val="20"/>
          <w:position w:val="-1"/>
        </w:rPr>
        <w:drawing>
          <wp:inline distT="0" distB="0" distL="0" distR="0">
            <wp:extent cx="85344" cy="85344"/>
            <wp:effectExtent l="0" t="0" r="0" b="0"/>
            <wp:docPr id="800" name="IM 800"/>
            <wp:cNvGraphicFramePr/>
            <a:graphic>
              <a:graphicData uri="http://schemas.openxmlformats.org/drawingml/2006/picture">
                <pic:pic>
                  <pic:nvPicPr>
                    <pic:cNvPr id="800" name="IM 800"/>
                    <pic:cNvPicPr/>
                  </pic:nvPicPr>
                  <pic:blipFill>
                    <a:blip r:embed="rId379"/>
                    <a:stretch>
                      <a:fillRect/>
                    </a:stretch>
                  </pic:blipFill>
                  <pic:spPr>
                    <a:xfrm rot="0">
                      <a:off x="0" y="0"/>
                      <a:ext cx="85344" cy="85344"/>
                    </a:xfrm>
                    <a:prstGeom prst="rect">
                      <a:avLst/>
                    </a:prstGeom>
                  </pic:spPr>
                </pic:pic>
              </a:graphicData>
            </a:graphic>
          </wp:inline>
        </w:drawing>
      </w:r>
      <w:r>
        <w:rPr>
          <w:rFonts w:ascii="Microsoft YaHei" w:hAnsi="Microsoft YaHei" w:eastAsia="Microsoft YaHei" w:cs="Microsoft YaHei"/>
          <w:sz w:val="20"/>
          <w:szCs w:val="20"/>
          <w:spacing w:val="17"/>
          <w:position w:val="-2"/>
        </w:rPr>
        <w:t xml:space="preserve"> </w:t>
      </w:r>
      <w:r>
        <w:rPr>
          <w:rFonts w:ascii="Microsoft YaHei" w:hAnsi="Microsoft YaHei" w:eastAsia="Microsoft YaHei" w:cs="Microsoft YaHei"/>
          <w:sz w:val="20"/>
          <w:szCs w:val="20"/>
          <w:spacing w:val="-1"/>
          <w:position w:val="-2"/>
        </w:rPr>
        <w:t>战略融资</w:t>
      </w:r>
    </w:p>
    <w:p>
      <w:pPr>
        <w:ind w:left="368"/>
        <w:spacing w:before="261" w:line="185"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7"/>
        </w:rPr>
        <w:t>数据来源：投中数据，毕马威分析</w:t>
      </w: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ict>
          <v:shape id="_x0000_s1666" style="position:absolute;margin-left:18.2361pt;margin-top:4.16263pt;mso-position-vertical-relative:text;mso-position-horizontal-relative:text;width:81.3pt;height:0.5pt;z-index:253747200;" filled="false" strokecolor="#000000" strokeweight="0.50pt" coordsize="1626,10" coordorigin="0,0" path="m0,5l1625,5e">
            <v:stroke joinstyle="miter"/>
          </v:shape>
        </w:pict>
      </w:r>
      <w:r/>
    </w:p>
    <w:p>
      <w:pPr>
        <w:ind w:left="366"/>
        <w:spacing w:before="56" w:line="198"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3"/>
          <w:position w:val="4"/>
        </w:rPr>
        <w:t>69</w:t>
      </w:r>
      <w:r>
        <w:rPr>
          <w:rFonts w:ascii="Microsoft YaHei" w:hAnsi="Microsoft YaHei" w:eastAsia="Microsoft YaHei" w:cs="Microsoft YaHei"/>
          <w:sz w:val="9"/>
          <w:szCs w:val="9"/>
          <w:spacing w:val="16"/>
          <w:w w:val="101"/>
          <w:position w:val="4"/>
        </w:rPr>
        <w:t xml:space="preserve"> </w:t>
      </w:r>
      <w:r>
        <w:rPr>
          <w:rFonts w:ascii="Microsoft YaHei" w:hAnsi="Microsoft YaHei" w:eastAsia="Microsoft YaHei" w:cs="Microsoft YaHei"/>
          <w:sz w:val="13"/>
          <w:szCs w:val="13"/>
          <w:spacing w:val="3"/>
        </w:rPr>
        <w:t>早期融资包括A轮、</w:t>
      </w:r>
      <w:r>
        <w:rPr>
          <w:rFonts w:ascii="Microsoft YaHei" w:hAnsi="Microsoft YaHei" w:eastAsia="Microsoft YaHei" w:cs="Microsoft YaHei"/>
          <w:sz w:val="13"/>
          <w:szCs w:val="13"/>
          <w:spacing w:val="-18"/>
        </w:rPr>
        <w:t xml:space="preserve"> </w:t>
      </w:r>
      <w:r>
        <w:rPr>
          <w:rFonts w:ascii="Microsoft YaHei" w:hAnsi="Microsoft YaHei" w:eastAsia="Microsoft YaHei" w:cs="Microsoft YaHei"/>
          <w:sz w:val="13"/>
          <w:szCs w:val="13"/>
          <w:spacing w:val="3"/>
        </w:rPr>
        <w:t>A+轮、</w:t>
      </w:r>
      <w:r>
        <w:rPr>
          <w:rFonts w:ascii="Microsoft YaHei" w:hAnsi="Microsoft YaHei" w:eastAsia="Microsoft YaHei" w:cs="Microsoft YaHei"/>
          <w:sz w:val="13"/>
          <w:szCs w:val="13"/>
          <w:spacing w:val="-7"/>
        </w:rPr>
        <w:t xml:space="preserve"> </w:t>
      </w:r>
      <w:r>
        <w:rPr>
          <w:rFonts w:ascii="Microsoft YaHei" w:hAnsi="Microsoft YaHei" w:eastAsia="Microsoft YaHei" w:cs="Microsoft YaHei"/>
          <w:sz w:val="13"/>
          <w:szCs w:val="13"/>
          <w:spacing w:val="3"/>
        </w:rPr>
        <w:t>B轮、</w:t>
      </w:r>
      <w:r>
        <w:rPr>
          <w:rFonts w:ascii="Microsoft YaHei" w:hAnsi="Microsoft YaHei" w:eastAsia="Microsoft YaHei" w:cs="Microsoft YaHei"/>
          <w:sz w:val="13"/>
          <w:szCs w:val="13"/>
          <w:spacing w:val="-6"/>
        </w:rPr>
        <w:t xml:space="preserve"> </w:t>
      </w:r>
      <w:r>
        <w:rPr>
          <w:rFonts w:ascii="Microsoft YaHei" w:hAnsi="Microsoft YaHei" w:eastAsia="Microsoft YaHei" w:cs="Microsoft YaHei"/>
          <w:sz w:val="13"/>
          <w:szCs w:val="13"/>
          <w:spacing w:val="3"/>
        </w:rPr>
        <w:t>B+轮，中晚期融资包括C轮、 D轮及</w:t>
      </w:r>
      <w:r>
        <w:rPr>
          <w:rFonts w:ascii="Microsoft YaHei" w:hAnsi="Microsoft YaHei" w:eastAsia="Microsoft YaHei" w:cs="Microsoft YaHei"/>
          <w:sz w:val="13"/>
          <w:szCs w:val="13"/>
          <w:spacing w:val="2"/>
        </w:rPr>
        <w:t>上市前(</w:t>
      </w:r>
      <w:r>
        <w:rPr>
          <w:rFonts w:ascii="Microsoft YaHei" w:hAnsi="Microsoft YaHei" w:eastAsia="Microsoft YaHei" w:cs="Microsoft YaHei"/>
          <w:sz w:val="13"/>
          <w:szCs w:val="13"/>
        </w:rPr>
        <w:t>Pre</w:t>
      </w:r>
      <w:r>
        <w:rPr>
          <w:rFonts w:ascii="Microsoft YaHei" w:hAnsi="Microsoft YaHei" w:eastAsia="Microsoft YaHei" w:cs="Microsoft YaHei"/>
          <w:sz w:val="13"/>
          <w:szCs w:val="13"/>
          <w:spacing w:val="2"/>
        </w:rPr>
        <w:t>-</w:t>
      </w:r>
      <w:r>
        <w:rPr>
          <w:rFonts w:ascii="Microsoft YaHei" w:hAnsi="Microsoft YaHei" w:eastAsia="Microsoft YaHei" w:cs="Microsoft YaHei"/>
          <w:sz w:val="13"/>
          <w:szCs w:val="13"/>
        </w:rPr>
        <w:t>IPO</w:t>
      </w:r>
      <w:r>
        <w:rPr>
          <w:rFonts w:ascii="Microsoft YaHei" w:hAnsi="Microsoft YaHei" w:eastAsia="Microsoft YaHei" w:cs="Microsoft YaHei"/>
          <w:sz w:val="13"/>
          <w:szCs w:val="13"/>
          <w:spacing w:val="2"/>
        </w:rPr>
        <w:t>)的轮次。</w:t>
      </w:r>
    </w:p>
    <w:p>
      <w:pPr>
        <w:ind w:left="864" w:right="1241" w:hanging="411"/>
        <w:spacing w:before="164" w:line="150"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50" w:lineRule="auto"/>
        <w:sectPr>
          <w:type w:val="continuous"/>
          <w:pgSz w:w="12245" w:h="17180"/>
          <w:pgMar w:top="400" w:right="0" w:bottom="0" w:left="941" w:header="0" w:footer="0" w:gutter="0"/>
          <w:cols w:equalWidth="0" w:num="1">
            <w:col w:w="11304" w:space="0"/>
          </w:cols>
        </w:sectPr>
        <w:rPr>
          <w:rFonts w:ascii="Microsoft YaHei" w:hAnsi="Microsoft YaHei" w:eastAsia="Microsoft YaHei" w:cs="Microsoft YaHei"/>
          <w:sz w:val="11"/>
          <w:szCs w:val="11"/>
        </w:rPr>
      </w:pPr>
    </w:p>
    <w:p>
      <w:pPr>
        <w:ind w:left="20"/>
        <w:spacing w:before="314" w:line="193" w:lineRule="auto"/>
        <w:outlineLvl w:val="0"/>
        <w:rPr>
          <w:rFonts w:ascii="Microsoft YaHei" w:hAnsi="Microsoft YaHei" w:eastAsia="Microsoft YaHei" w:cs="Microsoft YaHei"/>
          <w:sz w:val="18"/>
          <w:szCs w:val="18"/>
        </w:rPr>
      </w:pPr>
      <w:r>
        <w:rPr>
          <w:rFonts w:ascii="Microsoft YaHei" w:hAnsi="Microsoft YaHei" w:eastAsia="Microsoft YaHei" w:cs="Microsoft YaHei"/>
          <w:sz w:val="18"/>
          <w:szCs w:val="18"/>
          <w:b/>
          <w:bCs/>
          <w:color w:val="A8A8A8"/>
          <w:spacing w:val="-2"/>
        </w:rPr>
        <w:t>71</w:t>
      </w:r>
      <w:r>
        <w:rPr>
          <w:rFonts w:ascii="Microsoft YaHei" w:hAnsi="Microsoft YaHei" w:eastAsia="Microsoft YaHei" w:cs="Microsoft YaHei"/>
          <w:sz w:val="18"/>
          <w:szCs w:val="18"/>
          <w:b/>
          <w:bCs/>
          <w:color w:val="A8A8A8"/>
          <w:spacing w:val="19"/>
        </w:rPr>
        <w:t xml:space="preserve">  </w:t>
      </w:r>
      <w:r>
        <w:rPr>
          <w:sz w:val="18"/>
          <w:szCs w:val="18"/>
          <w:position w:val="-4"/>
        </w:rPr>
        <w:drawing>
          <wp:inline distT="0" distB="0" distL="0" distR="0">
            <wp:extent cx="6350" cy="130175"/>
            <wp:effectExtent l="0" t="0" r="0" b="0"/>
            <wp:docPr id="802" name="IM 802"/>
            <wp:cNvGraphicFramePr/>
            <a:graphic>
              <a:graphicData uri="http://schemas.openxmlformats.org/drawingml/2006/picture">
                <pic:pic>
                  <pic:nvPicPr>
                    <pic:cNvPr id="802" name="IM 802"/>
                    <pic:cNvPicPr/>
                  </pic:nvPicPr>
                  <pic:blipFill>
                    <a:blip r:embed="rId380"/>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A8A8A8"/>
          <w:spacing w:val="26"/>
        </w:rPr>
        <w:t xml:space="preserve">  </w:t>
      </w:r>
      <w:r>
        <w:rPr>
          <w:rFonts w:ascii="Microsoft YaHei" w:hAnsi="Microsoft YaHei" w:eastAsia="Microsoft YaHei" w:cs="Microsoft YaHei"/>
          <w:sz w:val="18"/>
          <w:szCs w:val="18"/>
          <w:color w:val="A8A8A8"/>
          <w:spacing w:val="-2"/>
        </w:rPr>
        <w:t>新型储能助力能源转型</w:t>
      </w:r>
    </w:p>
    <w:p>
      <w:pPr>
        <w:pStyle w:val="BodyText"/>
        <w:spacing w:line="358" w:lineRule="auto"/>
        <w:rPr/>
      </w:pPr>
      <w:r/>
    </w:p>
    <w:p>
      <w:pPr>
        <w:ind w:left="363" w:right="2998" w:firstLine="1"/>
        <w:spacing w:before="91" w:line="217"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从融资分布区域看</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，广东省的储能融资遥遥领先</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，北京、江苏省</w:t>
      </w:r>
      <w:r>
        <w:rPr>
          <w:rFonts w:ascii="Microsoft YaHei" w:hAnsi="Microsoft YaHei" w:eastAsia="Microsoft YaHei" w:cs="Microsoft YaHei"/>
          <w:sz w:val="21"/>
          <w:szCs w:val="21"/>
          <w:spacing w:val="2"/>
        </w:rPr>
        <w:t>、上海市、浙江省和</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山东省等华东区域的储能融资也较多。储能行业分布较为集中，</w:t>
      </w:r>
      <w:r>
        <w:rPr>
          <w:rFonts w:ascii="Microsoft YaHei" w:hAnsi="Microsoft YaHei" w:eastAsia="Microsoft YaHei" w:cs="Microsoft YaHei"/>
          <w:sz w:val="21"/>
          <w:szCs w:val="21"/>
          <w:spacing w:val="-42"/>
        </w:rPr>
        <w:t xml:space="preserve"> </w:t>
      </w:r>
      <w:r>
        <w:rPr>
          <w:rFonts w:ascii="Microsoft YaHei" w:hAnsi="Microsoft YaHei" w:eastAsia="Microsoft YaHei" w:cs="Microsoft YaHei"/>
          <w:sz w:val="21"/>
          <w:szCs w:val="21"/>
          <w:spacing w:val="2"/>
        </w:rPr>
        <w:t>2</w:t>
      </w:r>
      <w:r>
        <w:rPr>
          <w:rFonts w:ascii="Microsoft YaHei" w:hAnsi="Microsoft YaHei" w:eastAsia="Microsoft YaHei" w:cs="Microsoft YaHei"/>
          <w:sz w:val="21"/>
          <w:szCs w:val="21"/>
          <w:spacing w:val="1"/>
        </w:rPr>
        <w:t>022年储能企业融资</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金额前十省份共融资453亿元，占储能行业整体融资的92%</w:t>
      </w:r>
      <w:r>
        <w:rPr>
          <w:rFonts w:ascii="Microsoft YaHei" w:hAnsi="Microsoft YaHei" w:eastAsia="Microsoft YaHei" w:cs="Microsoft YaHei"/>
          <w:sz w:val="21"/>
          <w:szCs w:val="21"/>
          <w:spacing w:val="-1"/>
        </w:rPr>
        <w:t>。其中，广东省储能行业融</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资数量67笔</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rPr>
        <w:t>，融资金额135亿元</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rPr>
        <w:t>，融资数量和金额上都超过其他省份</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rPr>
        <w:t>，这也和20</w:t>
      </w:r>
      <w:r>
        <w:rPr>
          <w:rFonts w:ascii="Microsoft YaHei" w:hAnsi="Microsoft YaHei" w:eastAsia="Microsoft YaHei" w:cs="Microsoft YaHei"/>
          <w:sz w:val="21"/>
          <w:szCs w:val="21"/>
          <w:spacing w:val="-1"/>
        </w:rPr>
        <w:t>22年</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新成立储能企业广东省最多一致（图</w:t>
      </w:r>
      <w:r>
        <w:rPr>
          <w:rFonts w:ascii="Microsoft YaHei" w:hAnsi="Microsoft YaHei" w:eastAsia="Microsoft YaHei" w:cs="Microsoft YaHei"/>
          <w:sz w:val="21"/>
          <w:szCs w:val="21"/>
          <w:spacing w:val="-13"/>
        </w:rPr>
        <w:t xml:space="preserve"> </w:t>
      </w:r>
      <w:r>
        <w:rPr>
          <w:rFonts w:ascii="Microsoft YaHei" w:hAnsi="Microsoft YaHei" w:eastAsia="Microsoft YaHei" w:cs="Microsoft YaHei"/>
          <w:sz w:val="21"/>
          <w:szCs w:val="21"/>
          <w:spacing w:val="-2"/>
        </w:rPr>
        <w:t>35）。</w:t>
      </w:r>
    </w:p>
    <w:p>
      <w:pPr>
        <w:ind w:left="363" w:right="2996" w:firstLine="1"/>
        <w:spacing w:before="274" w:line="218"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广东省储能的厚积薄发离不开对清洁能源的重视和政策的大力支持。广东省光伏发电</w:t>
      </w:r>
      <w:r>
        <w:rPr>
          <w:rFonts w:ascii="Microsoft YaHei" w:hAnsi="Microsoft YaHei" w:eastAsia="Microsoft YaHei" w:cs="Microsoft YaHei"/>
          <w:sz w:val="21"/>
          <w:szCs w:val="21"/>
          <w:spacing w:val="17"/>
          <w:w w:val="101"/>
        </w:rPr>
        <w:t xml:space="preserve"> </w:t>
      </w:r>
      <w:r>
        <w:rPr>
          <w:rFonts w:ascii="Microsoft YaHei" w:hAnsi="Microsoft YaHei" w:eastAsia="Microsoft YaHei" w:cs="Microsoft YaHei"/>
          <w:sz w:val="21"/>
          <w:szCs w:val="21"/>
        </w:rPr>
        <w:t>等清洁能源的装机量在各省中领先</w:t>
      </w:r>
      <w:r>
        <w:rPr>
          <w:rFonts w:ascii="Microsoft YaHei" w:hAnsi="Microsoft YaHei" w:eastAsia="Microsoft YaHei" w:cs="Microsoft YaHei"/>
          <w:sz w:val="21"/>
          <w:szCs w:val="21"/>
          <w:spacing w:val="-26"/>
        </w:rPr>
        <w:t xml:space="preserve"> </w:t>
      </w:r>
      <w:r>
        <w:rPr>
          <w:rFonts w:ascii="Microsoft YaHei" w:hAnsi="Microsoft YaHei" w:eastAsia="Microsoft YaHei" w:cs="Microsoft YaHei"/>
          <w:sz w:val="21"/>
          <w:szCs w:val="21"/>
        </w:rPr>
        <w:t>，截至2021年光伏装机10.2GW。</w:t>
      </w:r>
      <w:r>
        <w:rPr>
          <w:rFonts w:ascii="Microsoft YaHei" w:hAnsi="Microsoft YaHei" w:eastAsia="Microsoft YaHei" w:cs="Microsoft YaHei"/>
          <w:sz w:val="21"/>
          <w:szCs w:val="21"/>
          <w:spacing w:val="-41"/>
        </w:rPr>
        <w:t xml:space="preserve"> </w:t>
      </w:r>
      <w:r>
        <w:rPr>
          <w:rFonts w:ascii="Microsoft YaHei" w:hAnsi="Microsoft YaHei" w:eastAsia="Microsoft YaHei" w:cs="Microsoft YaHei"/>
          <w:sz w:val="21"/>
          <w:szCs w:val="21"/>
        </w:rPr>
        <w:t>广东省计划2025 </w:t>
      </w:r>
      <w:r>
        <w:rPr>
          <w:rFonts w:ascii="Microsoft YaHei" w:hAnsi="Microsoft YaHei" w:eastAsia="Microsoft YaHei" w:cs="Microsoft YaHei"/>
          <w:sz w:val="21"/>
          <w:szCs w:val="21"/>
          <w:spacing w:val="1"/>
        </w:rPr>
        <w:t>年电源装机规模约1.95亿千瓦</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，2035年省内电源装</w:t>
      </w:r>
      <w:r>
        <w:rPr>
          <w:rFonts w:ascii="Microsoft YaHei" w:hAnsi="Microsoft YaHei" w:eastAsia="Microsoft YaHei" w:cs="Microsoft YaHei"/>
          <w:sz w:val="21"/>
          <w:szCs w:val="21"/>
        </w:rPr>
        <w:t>机规模将达到2.46亿千瓦</w:t>
      </w:r>
      <w:r>
        <w:rPr>
          <w:rFonts w:ascii="Microsoft YaHei" w:hAnsi="Microsoft YaHei" w:eastAsia="Microsoft YaHei" w:cs="Microsoft YaHei"/>
          <w:sz w:val="21"/>
          <w:szCs w:val="21"/>
          <w:spacing w:val="-33"/>
        </w:rPr>
        <w:t xml:space="preserve"> </w:t>
      </w:r>
      <w:r>
        <w:rPr>
          <w:rFonts w:ascii="Microsoft YaHei" w:hAnsi="Microsoft YaHei" w:eastAsia="Microsoft YaHei" w:cs="Microsoft YaHei"/>
          <w:sz w:val="21"/>
          <w:szCs w:val="21"/>
        </w:rPr>
        <w:t>，清洁能 </w:t>
      </w:r>
      <w:r>
        <w:rPr>
          <w:rFonts w:ascii="Microsoft YaHei" w:hAnsi="Microsoft YaHei" w:eastAsia="Microsoft YaHei" w:cs="Microsoft YaHei"/>
          <w:sz w:val="21"/>
          <w:szCs w:val="21"/>
          <w:spacing w:val="3"/>
        </w:rPr>
        <w:t>源装机占比达到74%。在绿色转型过程中</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，广东省出台</w:t>
      </w:r>
      <w:r>
        <w:rPr>
          <w:rFonts w:ascii="Microsoft YaHei" w:hAnsi="Microsoft YaHei" w:eastAsia="Microsoft YaHei" w:cs="Microsoft YaHei"/>
          <w:sz w:val="21"/>
          <w:szCs w:val="21"/>
          <w:spacing w:val="2"/>
        </w:rPr>
        <w:t>多项支持储能发展的政策，在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电源侧、</w:t>
      </w:r>
      <w:r>
        <w:rPr>
          <w:rFonts w:ascii="Microsoft YaHei" w:hAnsi="Microsoft YaHei" w:eastAsia="Microsoft YaHei" w:cs="Microsoft YaHei"/>
          <w:sz w:val="21"/>
          <w:szCs w:val="21"/>
          <w:spacing w:val="-36"/>
        </w:rPr>
        <w:t xml:space="preserve"> </w:t>
      </w:r>
      <w:r>
        <w:rPr>
          <w:rFonts w:ascii="Microsoft YaHei" w:hAnsi="Microsoft YaHei" w:eastAsia="Microsoft YaHei" w:cs="Microsoft YaHei"/>
          <w:sz w:val="21"/>
          <w:szCs w:val="21"/>
          <w:spacing w:val="3"/>
        </w:rPr>
        <w:t>电网侧等先行先试</w:t>
      </w:r>
      <w:r>
        <w:rPr>
          <w:rFonts w:ascii="Microsoft YaHei" w:hAnsi="Microsoft YaHei" w:eastAsia="Microsoft YaHei" w:cs="Microsoft YaHei"/>
          <w:sz w:val="21"/>
          <w:szCs w:val="21"/>
          <w:spacing w:val="-33"/>
        </w:rPr>
        <w:t xml:space="preserve"> </w:t>
      </w:r>
      <w:r>
        <w:rPr>
          <w:rFonts w:ascii="Microsoft YaHei" w:hAnsi="Microsoft YaHei" w:eastAsia="Microsoft YaHei" w:cs="Microsoft YaHei"/>
          <w:sz w:val="21"/>
          <w:szCs w:val="21"/>
          <w:spacing w:val="3"/>
        </w:rPr>
        <w:t>，例如率先鼓励将储能电价纳入输配电价、鼓励新进入市</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场电力用户通过直接参与市场形成用电价格。清洁能源的使用对储能的需求将进一步</w:t>
      </w:r>
      <w:r>
        <w:rPr>
          <w:rFonts w:ascii="Microsoft YaHei" w:hAnsi="Microsoft YaHei" w:eastAsia="Microsoft YaHei" w:cs="Microsoft YaHei"/>
          <w:sz w:val="21"/>
          <w:szCs w:val="21"/>
          <w:spacing w:val="18"/>
          <w:w w:val="101"/>
        </w:rPr>
        <w:t xml:space="preserve"> </w:t>
      </w:r>
      <w:r>
        <w:rPr>
          <w:rFonts w:ascii="Microsoft YaHei" w:hAnsi="Microsoft YaHei" w:eastAsia="Microsoft YaHei" w:cs="Microsoft YaHei"/>
          <w:sz w:val="21"/>
          <w:szCs w:val="21"/>
        </w:rPr>
        <w:t>增加，预计广东省储能产业将在现有优势的基础上进一步发展。</w:t>
      </w:r>
    </w:p>
    <w:p>
      <w:pPr>
        <w:pStyle w:val="BodyText"/>
        <w:spacing w:line="371" w:lineRule="auto"/>
        <w:rPr/>
      </w:pPr>
      <w:r>
        <w:pict>
          <v:rect id="_x0000_s1668" style="position:absolute;margin-left:17.8156pt;margin-top:13.8598pt;mso-position-vertical-relative:text;mso-position-horizontal-relative:text;width:30.5pt;height:5pt;z-index:253780992;" fillcolor="#00338D" filled="true" stroked="false"/>
        </w:pict>
      </w:r>
      <w:r/>
    </w:p>
    <w:p>
      <w:pPr>
        <w:ind w:left="514"/>
        <w:spacing w:before="90" w:line="215" w:lineRule="auto"/>
        <w:rPr>
          <w:sz w:val="21"/>
          <w:szCs w:val="21"/>
        </w:rPr>
      </w:pPr>
      <w:r>
        <mc:AlternateContent xmlns:mc="http://schemas.openxmlformats.org/markup-compatibility/2006">
          <mc:Choice Requires="wps">
            <w:drawing>
              <wp:anchor distT="0" distB="0" distL="0" distR="0" simplePos="0" relativeHeight="253777920" behindDoc="1" locked="0" layoutInCell="1" allowOverlap="1">
                <wp:simplePos x="0" y="0"/>
                <wp:positionH relativeFrom="column">
                  <wp:posOffset>224733</wp:posOffset>
                </wp:positionH>
                <wp:positionV relativeFrom="paragraph">
                  <wp:posOffset>-18599</wp:posOffset>
                </wp:positionV>
                <wp:extent cx="6123940" cy="329565"/>
                <wp:effectExtent l="0" t="0" r="0" b="0"/>
                <wp:wrapNone/>
                <wp:docPr id="804" name="Rect 804"/>
                <wp:cNvGraphicFramePr/>
                <a:graphic>
                  <a:graphicData uri="http://schemas.microsoft.com/office/word/2010/wordprocessingShape">
                    <wps:wsp>
                      <wps:cNvPr id="804" name="Rect 804"/>
                      <wps:cNvSpPr/>
                      <wps:spPr>
                        <a:xfrm>
                          <a:off x="224733" y="-18599"/>
                          <a:ext cx="6123940" cy="329565"/>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670" style="position:absolute;margin-left:17.6956pt;margin-top:-1.46453pt;mso-position-vertical-relative:text;mso-position-horizontal-relative:text;width:482.2pt;height:25.95pt;z-index:-249538560;" fillcolor="#F1F1F1" filled="true" stroked="false"/>
            </w:pict>
          </mc:Fallback>
        </mc:AlternateContent>
      </w:r>
      <w:r>
        <w:pict>
          <v:shape id="_x0000_s1672" style="position:absolute;margin-left:62.732pt;margin-top:5.25733pt;mso-position-vertical-relative:text;mso-position-horizontal-relative:text;width:236.85pt;height:15.5pt;z-index:253778944;" filled="false" stroked="false" type="#_x0000_t202">
            <v:fill on="false"/>
            <v:stroke on="false"/>
            <v:path/>
            <v:imagedata o:title=""/>
            <o:lock v:ext="edit" aspectratio="false"/>
            <v:textbox inset="0mm,0mm,0mm,0mm">
              <w:txbxContent>
                <w:p>
                  <w:pPr>
                    <w:ind w:left="20"/>
                    <w:spacing w:before="19"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338D"/>
                      <w:spacing w:val="-1"/>
                    </w:rPr>
                    <w:t>2022年储能行业融资金额排名前十的省份及直辖市</w:t>
                  </w:r>
                </w:p>
              </w:txbxContent>
            </v:textbox>
          </v:shape>
        </w:pict>
      </w:r>
      <w:r>
        <w:rPr>
          <w:rFonts w:ascii="Microsoft YaHei" w:hAnsi="Microsoft YaHei" w:eastAsia="Microsoft YaHei" w:cs="Microsoft YaHei"/>
          <w:sz w:val="21"/>
          <w:szCs w:val="21"/>
          <w:b/>
          <w:bCs/>
          <w:color w:val="00338D"/>
          <w:spacing w:val="-10"/>
        </w:rPr>
        <w:t>图 35</w:t>
      </w:r>
      <w:r>
        <w:rPr>
          <w:rFonts w:ascii="Microsoft YaHei" w:hAnsi="Microsoft YaHei" w:eastAsia="Microsoft YaHei" w:cs="Microsoft YaHei"/>
          <w:sz w:val="21"/>
          <w:szCs w:val="21"/>
          <w:b/>
          <w:bCs/>
          <w:color w:val="00338D"/>
          <w:spacing w:val="13"/>
        </w:rPr>
        <w:t xml:space="preserve"> </w:t>
      </w:r>
      <w:r>
        <w:rPr>
          <w:sz w:val="21"/>
          <w:szCs w:val="21"/>
          <w:position w:val="-5"/>
        </w:rPr>
        <w:drawing>
          <wp:inline distT="0" distB="0" distL="0" distR="0">
            <wp:extent cx="12700" cy="175666"/>
            <wp:effectExtent l="0" t="0" r="0" b="0"/>
            <wp:docPr id="806" name="IM 806"/>
            <wp:cNvGraphicFramePr/>
            <a:graphic>
              <a:graphicData uri="http://schemas.openxmlformats.org/drawingml/2006/picture">
                <pic:pic>
                  <pic:nvPicPr>
                    <pic:cNvPr id="806" name="IM 806"/>
                    <pic:cNvPicPr/>
                  </pic:nvPicPr>
                  <pic:blipFill>
                    <a:blip r:embed="rId381"/>
                    <a:stretch>
                      <a:fillRect/>
                    </a:stretch>
                  </pic:blipFill>
                  <pic:spPr>
                    <a:xfrm rot="0">
                      <a:off x="0" y="0"/>
                      <a:ext cx="12700" cy="175666"/>
                    </a:xfrm>
                    <a:prstGeom prst="rect">
                      <a:avLst/>
                    </a:prstGeom>
                  </pic:spPr>
                </pic:pic>
              </a:graphicData>
            </a:graphic>
          </wp:inline>
        </w:drawing>
      </w:r>
    </w:p>
    <w:p>
      <w:pPr>
        <w:spacing w:before="129"/>
        <w:rPr/>
      </w:pPr>
      <w:r/>
    </w:p>
    <w:p>
      <w:pPr>
        <w:sectPr>
          <w:pgSz w:w="12245" w:h="17180"/>
          <w:pgMar w:top="400" w:right="0" w:bottom="0" w:left="946" w:header="0" w:footer="0" w:gutter="0"/>
          <w:cols w:equalWidth="0" w:num="1">
            <w:col w:w="11298" w:space="0"/>
          </w:cols>
        </w:sectPr>
        <w:rPr/>
      </w:pPr>
    </w:p>
    <w:p>
      <w:pPr>
        <w:pStyle w:val="BodyText"/>
        <w:ind w:right="2"/>
        <w:spacing w:line="195" w:lineRule="auto"/>
        <w:jc w:val="right"/>
        <w:rPr>
          <w:sz w:val="20"/>
          <w:szCs w:val="20"/>
        </w:rPr>
      </w:pPr>
      <w:r>
        <w:rPr>
          <w:sz w:val="20"/>
          <w:szCs w:val="20"/>
          <w:spacing w:val="-6"/>
        </w:rPr>
        <w:t>160</w:t>
      </w:r>
    </w:p>
    <w:p>
      <w:pPr>
        <w:pStyle w:val="BodyText"/>
        <w:ind w:right="2"/>
        <w:spacing w:before="252" w:line="195" w:lineRule="auto"/>
        <w:jc w:val="right"/>
        <w:rPr>
          <w:sz w:val="20"/>
          <w:szCs w:val="20"/>
        </w:rPr>
      </w:pPr>
      <w:r>
        <w:rPr>
          <w:sz w:val="20"/>
          <w:szCs w:val="20"/>
          <w:spacing w:val="-6"/>
        </w:rPr>
        <w:t>140</w:t>
      </w:r>
    </w:p>
    <w:p>
      <w:pPr>
        <w:pStyle w:val="BodyText"/>
        <w:ind w:right="2"/>
        <w:spacing w:before="252" w:line="195" w:lineRule="auto"/>
        <w:jc w:val="right"/>
        <w:rPr>
          <w:sz w:val="20"/>
          <w:szCs w:val="20"/>
        </w:rPr>
      </w:pPr>
      <w:r>
        <w:rPr>
          <w:sz w:val="20"/>
          <w:szCs w:val="20"/>
          <w:spacing w:val="-6"/>
        </w:rPr>
        <w:t>120</w:t>
      </w:r>
    </w:p>
    <w:p>
      <w:pPr>
        <w:pStyle w:val="BodyText"/>
        <w:ind w:right="2"/>
        <w:spacing w:before="252" w:line="195" w:lineRule="auto"/>
        <w:jc w:val="right"/>
        <w:rPr>
          <w:sz w:val="20"/>
          <w:szCs w:val="20"/>
        </w:rPr>
      </w:pPr>
      <w:r>
        <w:rPr>
          <w:sz w:val="20"/>
          <w:szCs w:val="20"/>
          <w:spacing w:val="-6"/>
        </w:rPr>
        <w:t>100</w:t>
      </w:r>
    </w:p>
    <w:p>
      <w:pPr>
        <w:pStyle w:val="BodyText"/>
        <w:ind w:right="5"/>
        <w:spacing w:before="252" w:line="195" w:lineRule="auto"/>
        <w:jc w:val="right"/>
        <w:rPr>
          <w:sz w:val="20"/>
          <w:szCs w:val="20"/>
        </w:rPr>
      </w:pPr>
      <w:r>
        <w:rPr>
          <w:sz w:val="20"/>
          <w:szCs w:val="20"/>
          <w:spacing w:val="-3"/>
        </w:rPr>
        <w:t>80</w:t>
      </w:r>
    </w:p>
    <w:p>
      <w:pPr>
        <w:pStyle w:val="BodyText"/>
        <w:ind w:right="5"/>
        <w:spacing w:before="251" w:line="195" w:lineRule="auto"/>
        <w:jc w:val="right"/>
        <w:rPr>
          <w:sz w:val="20"/>
          <w:szCs w:val="20"/>
        </w:rPr>
      </w:pPr>
      <w:r>
        <w:rPr>
          <w:sz w:val="20"/>
          <w:szCs w:val="20"/>
          <w:spacing w:val="-2"/>
        </w:rPr>
        <w:t>60</w:t>
      </w:r>
    </w:p>
    <w:p>
      <w:pPr>
        <w:pStyle w:val="BodyText"/>
        <w:ind w:right="8"/>
        <w:spacing w:before="252" w:line="195" w:lineRule="auto"/>
        <w:jc w:val="right"/>
        <w:rPr>
          <w:sz w:val="20"/>
          <w:szCs w:val="20"/>
        </w:rPr>
      </w:pPr>
      <w:r>
        <w:rPr>
          <w:sz w:val="20"/>
          <w:szCs w:val="20"/>
          <w:spacing w:val="-1"/>
        </w:rPr>
        <w:t>40</w:t>
      </w:r>
    </w:p>
    <w:p>
      <w:pPr>
        <w:pStyle w:val="BodyText"/>
        <w:ind w:right="6"/>
        <w:spacing w:before="252" w:line="195" w:lineRule="auto"/>
        <w:jc w:val="right"/>
        <w:rPr>
          <w:sz w:val="20"/>
          <w:szCs w:val="20"/>
        </w:rPr>
      </w:pPr>
      <w:r>
        <w:rPr>
          <w:sz w:val="20"/>
          <w:szCs w:val="20"/>
          <w:spacing w:val="-2"/>
        </w:rPr>
        <w:t>20</w:t>
      </w:r>
    </w:p>
    <w:p>
      <w:pPr>
        <w:pStyle w:val="BodyText"/>
        <w:ind w:right="1"/>
        <w:spacing w:before="252" w:line="195" w:lineRule="auto"/>
        <w:jc w:val="right"/>
        <w:rPr>
          <w:sz w:val="20"/>
          <w:szCs w:val="20"/>
        </w:rPr>
      </w:pPr>
      <w:r>
        <w:rPr>
          <w:sz w:val="20"/>
          <w:szCs w:val="20"/>
        </w:rPr>
        <w:t>0</w:t>
      </w:r>
    </w:p>
    <w:p>
      <w:pPr>
        <w:pStyle w:val="BodyText"/>
        <w:spacing w:line="14" w:lineRule="auto"/>
        <w:rPr>
          <w:sz w:val="2"/>
        </w:rPr>
      </w:pPr>
      <w:r>
        <w:rPr>
          <w:sz w:val="2"/>
          <w:szCs w:val="2"/>
        </w:rPr>
        <w:br w:type="column"/>
      </w:r>
    </w:p>
    <w:p>
      <w:pPr>
        <w:spacing w:before="72" w:line="3576" w:lineRule="exact"/>
        <w:rPr/>
      </w:pPr>
      <w:r>
        <w:rPr>
          <w:position w:val="-71"/>
        </w:rPr>
        <w:drawing>
          <wp:inline distT="0" distB="0" distL="0" distR="0">
            <wp:extent cx="5590031" cy="2270886"/>
            <wp:effectExtent l="0" t="0" r="0" b="0"/>
            <wp:docPr id="808" name="IM 808"/>
            <wp:cNvGraphicFramePr/>
            <a:graphic>
              <a:graphicData uri="http://schemas.openxmlformats.org/drawingml/2006/picture">
                <pic:pic>
                  <pic:nvPicPr>
                    <pic:cNvPr id="808" name="IM 808"/>
                    <pic:cNvPicPr/>
                  </pic:nvPicPr>
                  <pic:blipFill>
                    <a:blip r:embed="rId382"/>
                    <a:stretch>
                      <a:fillRect/>
                    </a:stretch>
                  </pic:blipFill>
                  <pic:spPr>
                    <a:xfrm rot="0">
                      <a:off x="0" y="0"/>
                      <a:ext cx="5590031" cy="2270886"/>
                    </a:xfrm>
                    <a:prstGeom prst="rect">
                      <a:avLst/>
                    </a:prstGeom>
                  </pic:spPr>
                </pic:pic>
              </a:graphicData>
            </a:graphic>
          </wp:inline>
        </w:drawing>
      </w:r>
    </w:p>
    <w:p>
      <w:pPr>
        <w:ind w:left="197"/>
        <w:spacing w:before="92" w:line="220" w:lineRule="auto"/>
        <w:rPr>
          <w:rFonts w:ascii="PMingLiU" w:hAnsi="PMingLiU" w:eastAsia="PMingLiU" w:cs="PMingLiU"/>
          <w:sz w:val="20"/>
          <w:szCs w:val="20"/>
        </w:rPr>
      </w:pPr>
      <w:r>
        <w:rPr>
          <w:rFonts w:ascii="PMingLiU" w:hAnsi="PMingLiU" w:eastAsia="PMingLiU" w:cs="PMingLiU"/>
          <w:sz w:val="20"/>
          <w:szCs w:val="20"/>
        </w:rPr>
        <w:t>广东省     北京市     江苏省     湖北省     上海市      浙江省     福建省     山东省     河北省     安徽省</w:t>
      </w:r>
    </w:p>
    <w:p>
      <w:pPr>
        <w:ind w:left="1838"/>
        <w:spacing w:before="270" w:line="194"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rPr>
        <w:drawing>
          <wp:inline distT="0" distB="0" distL="0" distR="0">
            <wp:extent cx="243839" cy="64008"/>
            <wp:effectExtent l="0" t="0" r="0" b="0"/>
            <wp:docPr id="810" name="IM 810"/>
            <wp:cNvGraphicFramePr/>
            <a:graphic>
              <a:graphicData uri="http://schemas.openxmlformats.org/drawingml/2006/picture">
                <pic:pic>
                  <pic:nvPicPr>
                    <pic:cNvPr id="810" name="IM 810"/>
                    <pic:cNvPicPr/>
                  </pic:nvPicPr>
                  <pic:blipFill>
                    <a:blip r:embed="rId383"/>
                    <a:stretch>
                      <a:fillRect/>
                    </a:stretch>
                  </pic:blipFill>
                  <pic:spPr>
                    <a:xfrm rot="0">
                      <a:off x="0" y="0"/>
                      <a:ext cx="243839" cy="64008"/>
                    </a:xfrm>
                    <a:prstGeom prst="rect">
                      <a:avLst/>
                    </a:prstGeom>
                  </pic:spPr>
                </pic:pic>
              </a:graphicData>
            </a:graphic>
          </wp:inline>
        </w:drawing>
      </w:r>
      <w:r>
        <w:rPr>
          <w:rFonts w:ascii="Microsoft YaHei" w:hAnsi="Microsoft YaHei" w:eastAsia="Microsoft YaHei" w:cs="Microsoft YaHei"/>
          <w:sz w:val="20"/>
          <w:szCs w:val="20"/>
          <w:spacing w:val="45"/>
          <w:w w:val="101"/>
          <w:position w:val="-1"/>
        </w:rPr>
        <w:t xml:space="preserve"> </w:t>
      </w:r>
      <w:r>
        <w:rPr>
          <w:rFonts w:ascii="Microsoft YaHei" w:hAnsi="Microsoft YaHei" w:eastAsia="Microsoft YaHei" w:cs="Microsoft YaHei"/>
          <w:sz w:val="20"/>
          <w:szCs w:val="20"/>
          <w:spacing w:val="1"/>
          <w:position w:val="-1"/>
        </w:rPr>
        <w:t>融资金额，亿元             </w:t>
      </w:r>
      <w:r>
        <w:rPr>
          <w:rFonts w:ascii="Microsoft YaHei" w:hAnsi="Microsoft YaHei" w:eastAsia="Microsoft YaHei" w:cs="Microsoft YaHei"/>
          <w:sz w:val="20"/>
          <w:szCs w:val="20"/>
          <w:position w:val="-1"/>
        </w:rPr>
        <w:t xml:space="preserve">       </w:t>
      </w:r>
      <w:r>
        <w:rPr>
          <w:sz w:val="20"/>
          <w:szCs w:val="20"/>
          <w:position w:val="4"/>
        </w:rPr>
        <w:drawing>
          <wp:inline distT="0" distB="0" distL="0" distR="0">
            <wp:extent cx="262890" cy="19050"/>
            <wp:effectExtent l="0" t="0" r="0" b="0"/>
            <wp:docPr id="812" name="IM 812"/>
            <wp:cNvGraphicFramePr/>
            <a:graphic>
              <a:graphicData uri="http://schemas.openxmlformats.org/drawingml/2006/picture">
                <pic:pic>
                  <pic:nvPicPr>
                    <pic:cNvPr id="812" name="IM 812"/>
                    <pic:cNvPicPr/>
                  </pic:nvPicPr>
                  <pic:blipFill>
                    <a:blip r:embed="rId384"/>
                    <a:stretch>
                      <a:fillRect/>
                    </a:stretch>
                  </pic:blipFill>
                  <pic:spPr>
                    <a:xfrm rot="0">
                      <a:off x="0" y="0"/>
                      <a:ext cx="262890" cy="19050"/>
                    </a:xfrm>
                    <a:prstGeom prst="rect">
                      <a:avLst/>
                    </a:prstGeom>
                  </pic:spPr>
                </pic:pic>
              </a:graphicData>
            </a:graphic>
          </wp:inline>
        </w:drawing>
      </w:r>
      <w:r>
        <w:rPr>
          <w:rFonts w:ascii="Microsoft YaHei" w:hAnsi="Microsoft YaHei" w:eastAsia="Microsoft YaHei" w:cs="Microsoft YaHei"/>
          <w:sz w:val="20"/>
          <w:szCs w:val="20"/>
          <w:spacing w:val="16"/>
          <w:w w:val="101"/>
          <w:position w:val="-1"/>
        </w:rPr>
        <w:t xml:space="preserve"> </w:t>
      </w:r>
      <w:r>
        <w:rPr>
          <w:rFonts w:ascii="Microsoft YaHei" w:hAnsi="Microsoft YaHei" w:eastAsia="Microsoft YaHei" w:cs="Microsoft YaHei"/>
          <w:sz w:val="20"/>
          <w:szCs w:val="20"/>
          <w:position w:val="-1"/>
        </w:rPr>
        <w:t>融资数量，笔，右轴</w:t>
      </w:r>
    </w:p>
    <w:p>
      <w:pPr>
        <w:pStyle w:val="BodyText"/>
        <w:spacing w:line="14" w:lineRule="auto"/>
        <w:rPr>
          <w:sz w:val="2"/>
        </w:rPr>
      </w:pPr>
      <w:r>
        <w:rPr>
          <w:sz w:val="2"/>
          <w:szCs w:val="2"/>
        </w:rPr>
        <w:br w:type="column"/>
      </w:r>
    </w:p>
    <w:p>
      <w:pPr>
        <w:pStyle w:val="BodyText"/>
        <w:ind w:left="5"/>
        <w:spacing w:line="193" w:lineRule="auto"/>
        <w:rPr>
          <w:sz w:val="20"/>
          <w:szCs w:val="20"/>
        </w:rPr>
      </w:pPr>
      <w:r>
        <w:rPr>
          <w:sz w:val="20"/>
          <w:szCs w:val="20"/>
          <w:spacing w:val="-3"/>
        </w:rPr>
        <w:t>80</w:t>
      </w:r>
    </w:p>
    <w:p>
      <w:pPr>
        <w:pStyle w:val="BodyText"/>
        <w:ind w:left="6"/>
        <w:spacing w:before="252" w:line="195" w:lineRule="auto"/>
        <w:rPr>
          <w:sz w:val="20"/>
          <w:szCs w:val="20"/>
        </w:rPr>
      </w:pPr>
      <w:r>
        <w:rPr>
          <w:sz w:val="20"/>
          <w:szCs w:val="20"/>
          <w:spacing w:val="-3"/>
        </w:rPr>
        <w:t>70</w:t>
      </w:r>
    </w:p>
    <w:p>
      <w:pPr>
        <w:pStyle w:val="BodyText"/>
        <w:ind w:left="5"/>
        <w:spacing w:before="252" w:line="195" w:lineRule="auto"/>
        <w:rPr>
          <w:sz w:val="20"/>
          <w:szCs w:val="20"/>
        </w:rPr>
      </w:pPr>
      <w:r>
        <w:rPr>
          <w:sz w:val="20"/>
          <w:szCs w:val="20"/>
          <w:spacing w:val="-2"/>
        </w:rPr>
        <w:t>60</w:t>
      </w:r>
    </w:p>
    <w:p>
      <w:pPr>
        <w:pStyle w:val="BodyText"/>
        <w:ind w:left="5"/>
        <w:spacing w:before="252" w:line="195" w:lineRule="auto"/>
        <w:rPr>
          <w:sz w:val="20"/>
          <w:szCs w:val="20"/>
        </w:rPr>
      </w:pPr>
      <w:r>
        <w:rPr>
          <w:sz w:val="20"/>
          <w:szCs w:val="20"/>
          <w:spacing w:val="-3"/>
        </w:rPr>
        <w:t>50</w:t>
      </w:r>
    </w:p>
    <w:p>
      <w:pPr>
        <w:pStyle w:val="BodyText"/>
        <w:spacing w:before="252" w:line="195" w:lineRule="auto"/>
        <w:rPr>
          <w:sz w:val="20"/>
          <w:szCs w:val="20"/>
        </w:rPr>
      </w:pPr>
      <w:r>
        <w:rPr>
          <w:sz w:val="20"/>
          <w:szCs w:val="20"/>
          <w:spacing w:val="-1"/>
        </w:rPr>
        <w:t>40</w:t>
      </w:r>
    </w:p>
    <w:p>
      <w:pPr>
        <w:pStyle w:val="BodyText"/>
        <w:ind w:left="5"/>
        <w:spacing w:before="251" w:line="195" w:lineRule="auto"/>
        <w:rPr>
          <w:sz w:val="20"/>
          <w:szCs w:val="20"/>
        </w:rPr>
      </w:pPr>
      <w:r>
        <w:rPr>
          <w:sz w:val="20"/>
          <w:szCs w:val="20"/>
          <w:spacing w:val="-3"/>
        </w:rPr>
        <w:t>30</w:t>
      </w:r>
    </w:p>
    <w:p>
      <w:pPr>
        <w:pStyle w:val="BodyText"/>
        <w:ind w:left="3"/>
        <w:spacing w:before="252" w:line="195" w:lineRule="auto"/>
        <w:rPr>
          <w:sz w:val="20"/>
          <w:szCs w:val="20"/>
        </w:rPr>
      </w:pPr>
      <w:r>
        <w:rPr>
          <w:sz w:val="20"/>
          <w:szCs w:val="20"/>
          <w:spacing w:val="-2"/>
        </w:rPr>
        <w:t>20</w:t>
      </w:r>
    </w:p>
    <w:p>
      <w:pPr>
        <w:pStyle w:val="BodyText"/>
        <w:ind w:left="19"/>
        <w:spacing w:before="252" w:line="195" w:lineRule="auto"/>
        <w:rPr>
          <w:sz w:val="20"/>
          <w:szCs w:val="20"/>
        </w:rPr>
      </w:pPr>
      <w:r>
        <w:rPr>
          <w:sz w:val="20"/>
          <w:szCs w:val="20"/>
          <w:spacing w:val="-6"/>
        </w:rPr>
        <w:t>10</w:t>
      </w:r>
    </w:p>
    <w:p>
      <w:pPr>
        <w:pStyle w:val="BodyText"/>
        <w:ind w:left="5"/>
        <w:spacing w:before="252" w:line="195" w:lineRule="auto"/>
        <w:rPr>
          <w:sz w:val="20"/>
          <w:szCs w:val="20"/>
        </w:rPr>
      </w:pPr>
      <w:r>
        <w:rPr>
          <w:sz w:val="20"/>
          <w:szCs w:val="20"/>
        </w:rPr>
        <w:t>0</w:t>
      </w:r>
    </w:p>
    <w:p>
      <w:pPr>
        <w:spacing w:line="195" w:lineRule="auto"/>
        <w:sectPr>
          <w:type w:val="continuous"/>
          <w:pgSz w:w="12245" w:h="17180"/>
          <w:pgMar w:top="400" w:right="0" w:bottom="0" w:left="946" w:header="0" w:footer="0" w:gutter="0"/>
          <w:cols w:equalWidth="0" w:num="3">
            <w:col w:w="730" w:space="100"/>
            <w:col w:w="8817" w:space="100"/>
            <w:col w:w="1553" w:space="0"/>
          </w:cols>
        </w:sectPr>
        <w:rPr>
          <w:sz w:val="20"/>
          <w:szCs w:val="20"/>
        </w:rPr>
      </w:pPr>
    </w:p>
    <w:p>
      <w:pPr>
        <w:ind w:left="362"/>
        <w:spacing w:before="206" w:line="185" w:lineRule="auto"/>
        <w:rPr>
          <w:rFonts w:ascii="Microsoft YaHei" w:hAnsi="Microsoft YaHei" w:eastAsia="Microsoft YaHei" w:cs="Microsoft YaHei"/>
          <w:sz w:val="15"/>
          <w:szCs w:val="15"/>
        </w:rPr>
      </w:pPr>
      <w:r>
        <w:pict>
          <v:rect id="_x0000_s1674" style="position:absolute;margin-left:564.646pt;margin-top:-560.522pt;mso-position-vertical-relative:text;mso-position-horizontal-relative:text;width:0.25pt;height:859pt;z-index:253779968;" fillcolor="#000000" filled="true" stroked="false"/>
        </w:pict>
      </w:r>
      <w:r>
        <w:rPr>
          <w:rFonts w:ascii="Microsoft YaHei" w:hAnsi="Microsoft YaHei" w:eastAsia="Microsoft YaHei" w:cs="Microsoft YaHei"/>
          <w:sz w:val="15"/>
          <w:szCs w:val="15"/>
          <w:spacing w:val="7"/>
        </w:rPr>
        <w:t>数据来源：投中数据，毕马威分析</w:t>
      </w:r>
    </w:p>
    <w:p>
      <w:pPr>
        <w:pStyle w:val="BodyText"/>
        <w:spacing w:line="278" w:lineRule="auto"/>
        <w:rPr/>
      </w:pPr>
      <w:r/>
    </w:p>
    <w:p>
      <w:pPr>
        <w:pStyle w:val="BodyText"/>
        <w:spacing w:line="279" w:lineRule="auto"/>
        <w:rPr/>
      </w:pPr>
      <w:r/>
    </w:p>
    <w:p>
      <w:pPr>
        <w:pStyle w:val="BodyText"/>
        <w:spacing w:line="279" w:lineRule="auto"/>
        <w:rPr/>
      </w:pPr>
      <w:r/>
    </w:p>
    <w:p>
      <w:pPr>
        <w:ind w:left="384"/>
        <w:spacing w:before="154" w:line="182" w:lineRule="auto"/>
        <w:rPr>
          <w:rFonts w:ascii="Microsoft YaHei" w:hAnsi="Microsoft YaHei" w:eastAsia="Microsoft YaHei" w:cs="Microsoft YaHei"/>
          <w:sz w:val="36"/>
          <w:szCs w:val="36"/>
        </w:rPr>
      </w:pPr>
      <w:r>
        <w:rPr>
          <w:rFonts w:ascii="Microsoft YaHei" w:hAnsi="Microsoft YaHei" w:eastAsia="Microsoft YaHei" w:cs="Microsoft YaHei"/>
          <w:sz w:val="36"/>
          <w:szCs w:val="36"/>
          <w:b/>
          <w:bCs/>
          <w:color w:val="00338D"/>
          <w:spacing w:val="-2"/>
        </w:rPr>
        <w:t>储能赛道：</w:t>
      </w:r>
      <w:r>
        <w:rPr>
          <w:rFonts w:ascii="Microsoft YaHei" w:hAnsi="Microsoft YaHei" w:eastAsia="Microsoft YaHei" w:cs="Microsoft YaHei"/>
          <w:sz w:val="36"/>
          <w:szCs w:val="36"/>
          <w:b/>
          <w:bCs/>
          <w:color w:val="00338D"/>
          <w:spacing w:val="-63"/>
        </w:rPr>
        <w:t xml:space="preserve"> </w:t>
      </w:r>
      <w:r>
        <w:rPr>
          <w:rFonts w:ascii="Microsoft YaHei" w:hAnsi="Microsoft YaHei" w:eastAsia="Microsoft YaHei" w:cs="Microsoft YaHei"/>
          <w:sz w:val="36"/>
          <w:szCs w:val="36"/>
          <w:color w:val="00338D"/>
          <w:spacing w:val="-2"/>
        </w:rPr>
        <w:t>电池是最热赛道，上游材料亦受</w:t>
      </w:r>
      <w:r>
        <w:rPr>
          <w:rFonts w:ascii="Microsoft YaHei" w:hAnsi="Microsoft YaHei" w:eastAsia="Microsoft YaHei" w:cs="Microsoft YaHei"/>
          <w:sz w:val="36"/>
          <w:szCs w:val="36"/>
          <w:color w:val="00338D"/>
          <w:spacing w:val="-3"/>
        </w:rPr>
        <w:t>资本青睐</w:t>
      </w:r>
    </w:p>
    <w:p>
      <w:pPr>
        <w:ind w:left="361" w:right="2997" w:firstLine="21"/>
        <w:spacing w:before="251" w:line="217"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rPr>
        <w:t>电池仍然是储能行业最火热的赛道，上游材料企业也备受资本市场青睐。2022年</w:t>
      </w:r>
      <w:r>
        <w:rPr>
          <w:rFonts w:ascii="Microsoft YaHei" w:hAnsi="Microsoft YaHei" w:eastAsia="Microsoft YaHei" w:cs="Microsoft YaHei"/>
          <w:sz w:val="21"/>
          <w:szCs w:val="21"/>
          <w:spacing w:val="-21"/>
        </w:rPr>
        <w:t xml:space="preserve"> </w:t>
      </w:r>
      <w:r>
        <w:rPr>
          <w:rFonts w:ascii="Microsoft YaHei" w:hAnsi="Microsoft YaHei" w:eastAsia="Microsoft YaHei" w:cs="Microsoft YaHei"/>
          <w:sz w:val="21"/>
          <w:szCs w:val="21"/>
        </w:rPr>
        <w:t>，</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rPr>
        <w:t>电 </w:t>
      </w:r>
      <w:r>
        <w:rPr>
          <w:rFonts w:ascii="Microsoft YaHei" w:hAnsi="Microsoft YaHei" w:eastAsia="Microsoft YaHei" w:cs="Microsoft YaHei"/>
          <w:sz w:val="21"/>
          <w:szCs w:val="21"/>
          <w:spacing w:val="-1"/>
        </w:rPr>
        <w:t>池企业融资64笔</w:t>
      </w:r>
      <w:r>
        <w:rPr>
          <w:rFonts w:ascii="Microsoft YaHei" w:hAnsi="Microsoft YaHei" w:eastAsia="Microsoft YaHei" w:cs="Microsoft YaHei"/>
          <w:sz w:val="13"/>
          <w:szCs w:val="13"/>
          <w:spacing w:val="-1"/>
          <w:position w:val="6"/>
        </w:rPr>
        <w:t>70</w:t>
      </w:r>
      <w:r>
        <w:rPr>
          <w:rFonts w:ascii="Microsoft YaHei" w:hAnsi="Microsoft YaHei" w:eastAsia="Microsoft YaHei" w:cs="Microsoft YaHei"/>
          <w:sz w:val="13"/>
          <w:szCs w:val="13"/>
          <w:spacing w:val="4"/>
          <w:position w:val="6"/>
        </w:rPr>
        <w:t xml:space="preserve"> </w:t>
      </w:r>
      <w:r>
        <w:rPr>
          <w:rFonts w:ascii="Microsoft YaHei" w:hAnsi="Microsoft YaHei" w:eastAsia="Microsoft YaHei" w:cs="Microsoft YaHei"/>
          <w:sz w:val="21"/>
          <w:szCs w:val="21"/>
          <w:spacing w:val="-1"/>
        </w:rPr>
        <w:t>，占储能行业整体融资交易数量的52%，融资金额317亿元，占储能</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行业整体融资交易金额的64%（图  36）。正极材料、负极</w:t>
      </w:r>
      <w:r>
        <w:rPr>
          <w:rFonts w:ascii="Microsoft YaHei" w:hAnsi="Microsoft YaHei" w:eastAsia="Microsoft YaHei" w:cs="Microsoft YaHei"/>
          <w:sz w:val="21"/>
          <w:szCs w:val="21"/>
          <w:spacing w:val="-1"/>
        </w:rPr>
        <w:t>材料等在内的储能行业上游</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融资29笔</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1"/>
        </w:rPr>
        <w:t>，融资金额108亿元。</w:t>
      </w:r>
      <w:r>
        <w:rPr>
          <w:rFonts w:ascii="Microsoft YaHei" w:hAnsi="Microsoft YaHei" w:eastAsia="Microsoft YaHei" w:cs="Microsoft YaHei"/>
          <w:sz w:val="21"/>
          <w:szCs w:val="21"/>
          <w:spacing w:val="-42"/>
        </w:rPr>
        <w:t xml:space="preserve"> </w:t>
      </w:r>
      <w:r>
        <w:rPr>
          <w:rFonts w:ascii="Microsoft YaHei" w:hAnsi="Microsoft YaHei" w:eastAsia="Microsoft YaHei" w:cs="Microsoft YaHei"/>
          <w:sz w:val="21"/>
          <w:szCs w:val="21"/>
          <w:spacing w:val="1"/>
        </w:rPr>
        <w:t>不过</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spacing w:val="-36"/>
        </w:rPr>
        <w:t xml:space="preserve"> </w:t>
      </w:r>
      <w:r>
        <w:rPr>
          <w:rFonts w:ascii="Microsoft YaHei" w:hAnsi="Microsoft YaHei" w:eastAsia="Microsoft YaHei" w:cs="Microsoft YaHei"/>
          <w:sz w:val="21"/>
          <w:szCs w:val="21"/>
          <w:spacing w:val="1"/>
        </w:rPr>
        <w:t>电池的融资分布更加</w:t>
      </w:r>
      <w:r>
        <w:rPr>
          <w:rFonts w:ascii="Microsoft YaHei" w:hAnsi="Microsoft YaHei" w:eastAsia="Microsoft YaHei" w:cs="Microsoft YaHei"/>
          <w:sz w:val="21"/>
          <w:szCs w:val="21"/>
        </w:rPr>
        <w:t>多元化</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rPr>
        <w:t>，除了传统的锂离 </w:t>
      </w:r>
      <w:r>
        <w:rPr>
          <w:rFonts w:ascii="Microsoft YaHei" w:hAnsi="Microsoft YaHei" w:eastAsia="Microsoft YaHei" w:cs="Microsoft YaHei"/>
          <w:sz w:val="21"/>
          <w:szCs w:val="21"/>
          <w:spacing w:val="4"/>
        </w:rPr>
        <w:t>子电池外</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4"/>
        </w:rPr>
        <w:t>，钠离子电池、太阳能电池、异质结电池、</w:t>
      </w:r>
      <w:r>
        <w:rPr>
          <w:rFonts w:ascii="Microsoft YaHei" w:hAnsi="Microsoft YaHei" w:eastAsia="Microsoft YaHei" w:cs="Microsoft YaHei"/>
          <w:sz w:val="21"/>
          <w:szCs w:val="21"/>
          <w:spacing w:val="3"/>
        </w:rPr>
        <w:t>氢燃料电池、水系锌基电池等新</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型电池也得到融资。</w:t>
      </w:r>
    </w:p>
    <w:p>
      <w:pPr>
        <w:pStyle w:val="BodyText"/>
        <w:spacing w:line="277" w:lineRule="auto"/>
        <w:rPr/>
      </w:pPr>
      <w:r/>
    </w:p>
    <w:p>
      <w:pPr>
        <w:pStyle w:val="BodyText"/>
        <w:spacing w:line="278" w:lineRule="auto"/>
        <w:rPr/>
      </w:pPr>
      <w:r/>
    </w:p>
    <w:p>
      <w:pPr>
        <w:pStyle w:val="BodyText"/>
        <w:spacing w:line="278" w:lineRule="auto"/>
        <w:rPr/>
      </w:pPr>
      <w:r>
        <w:pict>
          <v:shape id="_x0000_s1676" style="position:absolute;margin-left:17.9456pt;margin-top:5.84345pt;mso-position-vertical-relative:text;mso-position-horizontal-relative:text;width:81.3pt;height:0.5pt;z-index:253782016;" filled="false" strokecolor="#000000" strokeweight="0.50pt" coordsize="1626,10" coordorigin="0,0" path="m0,5l1625,5e">
            <v:stroke joinstyle="miter"/>
          </v:shape>
        </w:pict>
      </w:r>
      <w:r/>
    </w:p>
    <w:p>
      <w:pPr>
        <w:ind w:left="360"/>
        <w:spacing w:before="56" w:line="189"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7"/>
          <w:position w:val="4"/>
        </w:rPr>
        <w:t>70  </w:t>
      </w:r>
      <w:r>
        <w:rPr>
          <w:rFonts w:ascii="Microsoft YaHei" w:hAnsi="Microsoft YaHei" w:eastAsia="Microsoft YaHei" w:cs="Microsoft YaHei"/>
          <w:sz w:val="13"/>
          <w:szCs w:val="13"/>
          <w:spacing w:val="7"/>
        </w:rPr>
        <w:t>2022年，储能行业共发生融资249笔，其中123笔披露交易金额， 1</w:t>
      </w:r>
      <w:r>
        <w:rPr>
          <w:rFonts w:ascii="Microsoft YaHei" w:hAnsi="Microsoft YaHei" w:eastAsia="Microsoft YaHei" w:cs="Microsoft YaHei"/>
          <w:sz w:val="13"/>
          <w:szCs w:val="13"/>
          <w:spacing w:val="6"/>
        </w:rPr>
        <w:t>26笔没有披露交易金额，本部分赛道分析披露金额的融资交易。</w:t>
      </w:r>
    </w:p>
    <w:p>
      <w:pPr>
        <w:pStyle w:val="BodyText"/>
        <w:spacing w:line="288" w:lineRule="auto"/>
        <w:rPr/>
      </w:pPr>
      <w:r/>
    </w:p>
    <w:p>
      <w:pPr>
        <w:ind w:left="858" w:right="1241" w:hanging="411"/>
        <w:spacing w:before="47" w:line="150"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50" w:lineRule="auto"/>
        <w:sectPr>
          <w:type w:val="continuous"/>
          <w:pgSz w:w="12245" w:h="17180"/>
          <w:pgMar w:top="400" w:right="0" w:bottom="0" w:left="946" w:header="0" w:footer="0" w:gutter="0"/>
          <w:cols w:equalWidth="0" w:num="1">
            <w:col w:w="11298" w:space="0"/>
          </w:cols>
        </w:sectPr>
        <w:rPr>
          <w:rFonts w:ascii="Microsoft YaHei" w:hAnsi="Microsoft YaHei" w:eastAsia="Microsoft YaHei" w:cs="Microsoft YaHei"/>
          <w:sz w:val="11"/>
          <w:szCs w:val="11"/>
        </w:rPr>
      </w:pPr>
    </w:p>
    <w:p>
      <w:pPr>
        <w:ind w:left="7704"/>
        <w:spacing w:before="314" w:line="193" w:lineRule="auto"/>
        <w:rPr>
          <w:rFonts w:ascii="Microsoft YaHei" w:hAnsi="Microsoft YaHei" w:eastAsia="Microsoft YaHei" w:cs="Microsoft YaHei"/>
          <w:sz w:val="18"/>
          <w:szCs w:val="18"/>
        </w:rPr>
      </w:pPr>
      <w:r>
        <w:pict>
          <v:rect id="_x0000_s1678" style="position:absolute;margin-left:611.99pt;margin-top:0pt;mso-position-vertical-relative:page;mso-position-horizontal-relative:page;width:0.25pt;height:859pt;z-index:253818880;" o:allowincell="f" fillcolor="#000000" filled="true" stroked="false"/>
        </w:pict>
      </w:r>
      <w:r>
        <w:rPr>
          <w:rFonts w:ascii="Microsoft YaHei" w:hAnsi="Microsoft YaHei" w:eastAsia="Microsoft YaHei" w:cs="Microsoft YaHei"/>
          <w:sz w:val="18"/>
          <w:szCs w:val="18"/>
          <w:color w:val="A8A8A8"/>
          <w:spacing w:val="-1"/>
        </w:rPr>
        <w:t>新型储能助力能源转型</w:t>
      </w:r>
      <w:r>
        <w:rPr>
          <w:rFonts w:ascii="Microsoft YaHei" w:hAnsi="Microsoft YaHei" w:eastAsia="Microsoft YaHei" w:cs="Microsoft YaHei"/>
          <w:sz w:val="18"/>
          <w:szCs w:val="18"/>
          <w:color w:val="A8A8A8"/>
          <w:spacing w:val="25"/>
        </w:rPr>
        <w:t xml:space="preserve">  </w:t>
      </w:r>
      <w:r>
        <w:rPr>
          <w:sz w:val="18"/>
          <w:szCs w:val="18"/>
          <w:position w:val="-4"/>
        </w:rPr>
        <w:drawing>
          <wp:inline distT="0" distB="0" distL="0" distR="0">
            <wp:extent cx="6350" cy="130175"/>
            <wp:effectExtent l="0" t="0" r="0" b="0"/>
            <wp:docPr id="814" name="IM 814"/>
            <wp:cNvGraphicFramePr/>
            <a:graphic>
              <a:graphicData uri="http://schemas.openxmlformats.org/drawingml/2006/picture">
                <pic:pic>
                  <pic:nvPicPr>
                    <pic:cNvPr id="814" name="IM 814"/>
                    <pic:cNvPicPr/>
                  </pic:nvPicPr>
                  <pic:blipFill>
                    <a:blip r:embed="rId385"/>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spacing w:val="17"/>
          <w:w w:val="101"/>
        </w:rPr>
        <w:t xml:space="preserve">  </w:t>
      </w:r>
      <w:r>
        <w:rPr>
          <w:rFonts w:ascii="Microsoft YaHei" w:hAnsi="Microsoft YaHei" w:eastAsia="Microsoft YaHei" w:cs="Microsoft YaHei"/>
          <w:sz w:val="18"/>
          <w:szCs w:val="18"/>
          <w:b/>
          <w:bCs/>
          <w:color w:val="A8A8A8"/>
          <w:spacing w:val="-1"/>
        </w:rPr>
        <w:t>72</w:t>
      </w:r>
    </w:p>
    <w:p>
      <w:pPr>
        <w:pStyle w:val="BodyText"/>
        <w:spacing w:line="447" w:lineRule="auto"/>
        <w:rPr/>
      </w:pPr>
      <w:r>
        <w:pict>
          <v:rect id="_x0000_s1680" style="position:absolute;margin-left:1.60663pt;margin-top:15.9366pt;mso-position-vertical-relative:text;mso-position-horizontal-relative:text;width:30.5pt;height:5pt;z-index:253819904;" fillcolor="#00338D" filled="true" stroked="false"/>
        </w:pict>
      </w:r>
      <w:r/>
    </w:p>
    <w:p>
      <w:pPr>
        <w:ind w:left="950"/>
        <w:spacing w:before="90" w:line="187" w:lineRule="auto"/>
        <w:rPr>
          <w:rFonts w:ascii="Microsoft YaHei" w:hAnsi="Microsoft YaHei" w:eastAsia="Microsoft YaHei" w:cs="Microsoft YaHei"/>
          <w:sz w:val="21"/>
          <w:szCs w:val="21"/>
        </w:rPr>
      </w:pPr>
      <w:r>
        <mc:AlternateContent xmlns:mc="http://schemas.openxmlformats.org/markup-compatibility/2006">
          <mc:Choice Requires="wps">
            <w:drawing>
              <wp:anchor distT="0" distB="0" distL="0" distR="0" simplePos="0" relativeHeight="253816832" behindDoc="1" locked="0" layoutInCell="1" allowOverlap="1">
                <wp:simplePos x="0" y="0"/>
                <wp:positionH relativeFrom="column">
                  <wp:posOffset>18880</wp:posOffset>
                </wp:positionH>
                <wp:positionV relativeFrom="paragraph">
                  <wp:posOffset>-40782</wp:posOffset>
                </wp:positionV>
                <wp:extent cx="6123940" cy="329565"/>
                <wp:effectExtent l="0" t="0" r="0" b="0"/>
                <wp:wrapNone/>
                <wp:docPr id="816" name="Rect 816"/>
                <wp:cNvGraphicFramePr/>
                <a:graphic>
                  <a:graphicData uri="http://schemas.microsoft.com/office/word/2010/wordprocessingShape">
                    <wps:wsp>
                      <wps:cNvPr id="816" name="Rect 816"/>
                      <wps:cNvSpPr/>
                      <wps:spPr>
                        <a:xfrm>
                          <a:off x="18880" y="-40782"/>
                          <a:ext cx="6123940" cy="329565"/>
                        </a:xfrm>
                        <a:prstGeom prst="rect">
                          <a:avLst/>
                        </a:prstGeom>
                        <a:solidFill>
                          <a:srgbClr val="F1F1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682" style="position:absolute;margin-left:1.48663pt;margin-top:-3.21122pt;mso-position-vertical-relative:text;mso-position-horizontal-relative:text;width:482.2pt;height:25.95pt;z-index:-249499648;" fillcolor="#F1F1F1" filled="true" stroked="false"/>
            </w:pict>
          </mc:Fallback>
        </mc:AlternateContent>
      </w:r>
      <w:r>
        <w:pict>
          <v:shape id="_x0000_s1684" style="position:absolute;margin-left:8.49567pt;margin-top:1.78878pt;mso-position-vertical-relative:text;mso-position-horizontal-relative:text;width:31.5pt;height:18.2pt;z-index:253817856;" filled="false" stroked="false" type="#_x0000_t202">
            <v:fill on="false"/>
            <v:stroke on="false"/>
            <v:path/>
            <v:imagedata o:title=""/>
            <o:lock v:ext="edit" aspectratio="false"/>
            <v:textbox inset="0mm,0mm,0mm,0mm">
              <w:txbxContent>
                <w:p>
                  <w:pPr>
                    <w:ind w:left="20"/>
                    <w:spacing w:before="20" w:line="215" w:lineRule="auto"/>
                    <w:outlineLvl w:val="0"/>
                    <w:rPr>
                      <w:sz w:val="21"/>
                      <w:szCs w:val="21"/>
                    </w:rPr>
                  </w:pPr>
                  <w:r>
                    <w:rPr>
                      <w:rFonts w:ascii="Microsoft YaHei" w:hAnsi="Microsoft YaHei" w:eastAsia="Microsoft YaHei" w:cs="Microsoft YaHei"/>
                      <w:sz w:val="21"/>
                      <w:szCs w:val="21"/>
                      <w:b/>
                      <w:bCs/>
                      <w:color w:val="00338D"/>
                      <w:spacing w:val="-10"/>
                    </w:rPr>
                    <w:t>图 36</w:t>
                  </w:r>
                  <w:r>
                    <w:rPr>
                      <w:rFonts w:ascii="Microsoft YaHei" w:hAnsi="Microsoft YaHei" w:eastAsia="Microsoft YaHei" w:cs="Microsoft YaHei"/>
                      <w:sz w:val="21"/>
                      <w:szCs w:val="21"/>
                      <w:b/>
                      <w:bCs/>
                      <w:color w:val="00338D"/>
                      <w:spacing w:val="13"/>
                    </w:rPr>
                    <w:t xml:space="preserve"> </w:t>
                  </w:r>
                  <w:r>
                    <w:rPr>
                      <w:sz w:val="21"/>
                      <w:szCs w:val="21"/>
                      <w:position w:val="-5"/>
                    </w:rPr>
                    <w:drawing>
                      <wp:inline distT="0" distB="0" distL="0" distR="0">
                        <wp:extent cx="12700" cy="175666"/>
                        <wp:effectExtent l="0" t="0" r="0" b="0"/>
                        <wp:docPr id="818" name="IM 818"/>
                        <wp:cNvGraphicFramePr/>
                        <a:graphic>
                          <a:graphicData uri="http://schemas.openxmlformats.org/drawingml/2006/picture">
                            <pic:pic>
                              <pic:nvPicPr>
                                <pic:cNvPr id="818" name="IM 818"/>
                                <pic:cNvPicPr/>
                              </pic:nvPicPr>
                              <pic:blipFill>
                                <a:blip r:embed="rId386"/>
                                <a:stretch>
                                  <a:fillRect/>
                                </a:stretch>
                              </pic:blipFill>
                              <pic:spPr>
                                <a:xfrm rot="0">
                                  <a:off x="0" y="0"/>
                                  <a:ext cx="12700" cy="175666"/>
                                </a:xfrm>
                                <a:prstGeom prst="rect">
                                  <a:avLst/>
                                </a:prstGeom>
                              </pic:spPr>
                            </pic:pic>
                          </a:graphicData>
                        </a:graphic>
                      </wp:inline>
                    </w:drawing>
                  </w:r>
                </w:p>
              </w:txbxContent>
            </v:textbox>
          </v:shape>
        </w:pict>
      </w:r>
      <w:r>
        <w:rPr>
          <w:rFonts w:ascii="Microsoft YaHei" w:hAnsi="Microsoft YaHei" w:eastAsia="Microsoft YaHei" w:cs="Microsoft YaHei"/>
          <w:sz w:val="21"/>
          <w:szCs w:val="21"/>
          <w:b/>
          <w:bCs/>
          <w:color w:val="00338D"/>
          <w:spacing w:val="-2"/>
        </w:rPr>
        <w:t>2022年储能融资企业赛道分布，亿元</w:t>
      </w:r>
    </w:p>
    <w:p>
      <w:pPr>
        <w:spacing w:before="125" w:line="3559" w:lineRule="exact"/>
        <w:rPr/>
      </w:pPr>
      <w:r>
        <w:rPr>
          <w:position w:val="-71"/>
        </w:rPr>
        <w:drawing>
          <wp:inline distT="0" distB="0" distL="0" distR="0">
            <wp:extent cx="5618635" cy="2259913"/>
            <wp:effectExtent l="0" t="0" r="0" b="0"/>
            <wp:docPr id="820" name="IM 820"/>
            <wp:cNvGraphicFramePr/>
            <a:graphic>
              <a:graphicData uri="http://schemas.openxmlformats.org/drawingml/2006/picture">
                <pic:pic>
                  <pic:nvPicPr>
                    <pic:cNvPr id="820" name="IM 820"/>
                    <pic:cNvPicPr/>
                  </pic:nvPicPr>
                  <pic:blipFill>
                    <a:blip r:embed="rId387"/>
                    <a:stretch>
                      <a:fillRect/>
                    </a:stretch>
                  </pic:blipFill>
                  <pic:spPr>
                    <a:xfrm rot="0">
                      <a:off x="0" y="0"/>
                      <a:ext cx="5618635" cy="2259913"/>
                    </a:xfrm>
                    <a:prstGeom prst="rect">
                      <a:avLst/>
                    </a:prstGeom>
                  </pic:spPr>
                </pic:pic>
              </a:graphicData>
            </a:graphic>
          </wp:inline>
        </w:drawing>
      </w:r>
    </w:p>
    <w:p>
      <w:pPr>
        <w:ind w:left="38"/>
        <w:spacing w:before="158" w:line="185"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7"/>
        </w:rPr>
        <w:t>数据来源：投中数据，毕马威分析</w:t>
      </w:r>
    </w:p>
    <w:p>
      <w:pPr>
        <w:pStyle w:val="BodyText"/>
        <w:spacing w:line="252" w:lineRule="auto"/>
        <w:rPr/>
      </w:pPr>
      <w:r/>
    </w:p>
    <w:p>
      <w:pPr>
        <w:ind w:left="39" w:right="2997" w:hanging="2"/>
        <w:spacing w:before="90" w:line="218"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储能属于资本和技术密集型的行业</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3"/>
        </w:rPr>
        <w:t>，行业的发展要投入大量资金。</w:t>
      </w:r>
      <w:r>
        <w:rPr>
          <w:rFonts w:ascii="Microsoft YaHei" w:hAnsi="Microsoft YaHei" w:eastAsia="Microsoft YaHei" w:cs="Microsoft YaHei"/>
          <w:sz w:val="21"/>
          <w:szCs w:val="21"/>
          <w:spacing w:val="-33"/>
        </w:rPr>
        <w:t xml:space="preserve"> </w:t>
      </w:r>
      <w:r>
        <w:rPr>
          <w:rFonts w:ascii="Microsoft YaHei" w:hAnsi="Microsoft YaHei" w:eastAsia="Microsoft YaHei" w:cs="Microsoft YaHei"/>
          <w:sz w:val="21"/>
          <w:szCs w:val="21"/>
          <w:spacing w:val="3"/>
        </w:rPr>
        <w:t>国际环境的变化叠</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加政策的支持</w:t>
      </w:r>
      <w:r>
        <w:rPr>
          <w:rFonts w:ascii="Microsoft YaHei" w:hAnsi="Microsoft YaHei" w:eastAsia="Microsoft YaHei" w:cs="Microsoft YaHei"/>
          <w:sz w:val="21"/>
          <w:szCs w:val="21"/>
          <w:spacing w:val="-18"/>
        </w:rPr>
        <w:t xml:space="preserve"> </w:t>
      </w:r>
      <w:r>
        <w:rPr>
          <w:rFonts w:ascii="Microsoft YaHei" w:hAnsi="Microsoft YaHei" w:eastAsia="Microsoft YaHei" w:cs="Microsoft YaHei"/>
          <w:sz w:val="21"/>
          <w:szCs w:val="21"/>
          <w:spacing w:val="2"/>
        </w:rPr>
        <w:t>，储能行业成为新的增长极</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，吸引不同资本的进入。</w:t>
      </w:r>
      <w:r>
        <w:rPr>
          <w:rFonts w:ascii="Microsoft YaHei" w:hAnsi="Microsoft YaHei" w:eastAsia="Microsoft YaHei" w:cs="Microsoft YaHei"/>
          <w:sz w:val="21"/>
          <w:szCs w:val="21"/>
          <w:spacing w:val="-36"/>
        </w:rPr>
        <w:t xml:space="preserve"> </w:t>
      </w:r>
      <w:r>
        <w:rPr>
          <w:rFonts w:ascii="Microsoft YaHei" w:hAnsi="Microsoft YaHei" w:eastAsia="Microsoft YaHei" w:cs="Microsoft YaHei"/>
          <w:sz w:val="21"/>
          <w:szCs w:val="21"/>
          <w:spacing w:val="2"/>
        </w:rPr>
        <w:t>既有</w:t>
      </w:r>
      <w:r>
        <w:rPr>
          <w:rFonts w:ascii="Microsoft YaHei" w:hAnsi="Microsoft YaHei" w:eastAsia="Microsoft YaHei" w:cs="Microsoft YaHei"/>
          <w:sz w:val="21"/>
          <w:szCs w:val="21"/>
        </w:rPr>
        <w:t>PE</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rPr>
        <w:t>VC</w:t>
      </w:r>
      <w:r>
        <w:rPr>
          <w:rFonts w:ascii="Microsoft YaHei" w:hAnsi="Microsoft YaHei" w:eastAsia="Microsoft YaHei" w:cs="Microsoft YaHei"/>
          <w:sz w:val="21"/>
          <w:szCs w:val="21"/>
          <w:spacing w:val="2"/>
        </w:rPr>
        <w:t>等投资</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机构支持</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，也有宁德时代、比亚迪等企业深入布局储能</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，还有格力集团、小米等跨界</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入局。各类市场主体对储能行业的支持</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，促进了储能行业的快速发展</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2"/>
        </w:rPr>
        <w:t>，行业大额融资</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频现。其中</w:t>
      </w:r>
      <w:r>
        <w:rPr>
          <w:rFonts w:ascii="Microsoft YaHei" w:hAnsi="Microsoft YaHei" w:eastAsia="Microsoft YaHei" w:cs="Microsoft YaHei"/>
          <w:sz w:val="21"/>
          <w:szCs w:val="21"/>
          <w:spacing w:val="-17"/>
        </w:rPr>
        <w:t xml:space="preserve"> </w:t>
      </w:r>
      <w:r>
        <w:rPr>
          <w:rFonts w:ascii="Microsoft YaHei" w:hAnsi="Microsoft YaHei" w:eastAsia="Microsoft YaHei" w:cs="Microsoft YaHei"/>
          <w:sz w:val="21"/>
          <w:szCs w:val="21"/>
          <w:spacing w:val="-1"/>
        </w:rPr>
        <w:t>，蜂巢能源从2021年2月至2022年9月</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1"/>
        </w:rPr>
        <w:t>，共获得6轮融资</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1"/>
        </w:rPr>
        <w:t>，融资金额合计约</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210亿元；中创新航（中航锂电）在上市前共进行5轮融资，融资金额200亿元。</w:t>
      </w:r>
    </w:p>
    <w:p>
      <w:pPr>
        <w:ind w:left="39" w:right="2997"/>
        <w:spacing w:before="255" w:line="218"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2022年，储能行业融资金额最大的是欣旺达电池，</w:t>
      </w:r>
      <w:r>
        <w:rPr>
          <w:rFonts w:ascii="Microsoft YaHei" w:hAnsi="Microsoft YaHei" w:eastAsia="Microsoft YaHei" w:cs="Microsoft YaHei"/>
          <w:sz w:val="21"/>
          <w:szCs w:val="21"/>
          <w:spacing w:val="-26"/>
        </w:rPr>
        <w:t xml:space="preserve"> </w:t>
      </w:r>
      <w:r>
        <w:rPr>
          <w:rFonts w:ascii="Microsoft YaHei" w:hAnsi="Microsoft YaHei" w:eastAsia="Microsoft YaHei" w:cs="Microsoft YaHei"/>
          <w:sz w:val="21"/>
          <w:szCs w:val="21"/>
          <w:spacing w:val="-1"/>
        </w:rPr>
        <w:t>融资金额80亿元（表20）。随着储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能赛道的火热</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，欣旺达电池加速布局储能</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，2022年2月</w:t>
      </w:r>
      <w:r>
        <w:rPr>
          <w:rFonts w:ascii="Microsoft YaHei" w:hAnsi="Microsoft YaHei" w:eastAsia="Microsoft YaHei" w:cs="Microsoft YaHei"/>
          <w:sz w:val="21"/>
          <w:szCs w:val="21"/>
          <w:spacing w:val="2"/>
        </w:rPr>
        <w:t>与四川省什邡市政府签署项目</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投资协议书，计划总投入80亿元</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1"/>
        </w:rPr>
        <w:t>，建设20</w:t>
      </w:r>
      <w:r>
        <w:rPr>
          <w:rFonts w:ascii="Microsoft YaHei" w:hAnsi="Microsoft YaHei" w:eastAsia="Microsoft YaHei" w:cs="Microsoft YaHei"/>
          <w:sz w:val="21"/>
          <w:szCs w:val="21"/>
        </w:rPr>
        <w:t>GWh</w:t>
      </w:r>
      <w:r>
        <w:rPr>
          <w:rFonts w:ascii="Microsoft YaHei" w:hAnsi="Microsoft YaHei" w:eastAsia="Microsoft YaHei" w:cs="Microsoft YaHei"/>
          <w:sz w:val="21"/>
          <w:szCs w:val="21"/>
          <w:spacing w:val="1"/>
        </w:rPr>
        <w:t>动力电池及储能电池生产基</w:t>
      </w:r>
      <w:r>
        <w:rPr>
          <w:rFonts w:ascii="Microsoft YaHei" w:hAnsi="Microsoft YaHei" w:eastAsia="Microsoft YaHei" w:cs="Microsoft YaHei"/>
          <w:sz w:val="21"/>
          <w:szCs w:val="21"/>
        </w:rPr>
        <w:t>地</w:t>
      </w:r>
      <w:r>
        <w:rPr>
          <w:rFonts w:ascii="Microsoft YaHei" w:hAnsi="Microsoft YaHei" w:eastAsia="Microsoft YaHei" w:cs="Microsoft YaHei"/>
          <w:sz w:val="13"/>
          <w:szCs w:val="13"/>
          <w:position w:val="6"/>
        </w:rPr>
        <w:t>71</w:t>
      </w:r>
      <w:r>
        <w:rPr>
          <w:rFonts w:ascii="Microsoft YaHei" w:hAnsi="Microsoft YaHei" w:eastAsia="Microsoft YaHei" w:cs="Microsoft YaHei"/>
          <w:sz w:val="21"/>
          <w:szCs w:val="21"/>
        </w:rPr>
        <w:t>。储能 </w:t>
      </w:r>
      <w:r>
        <w:rPr>
          <w:rFonts w:ascii="Microsoft YaHei" w:hAnsi="Microsoft YaHei" w:eastAsia="Microsoft YaHei" w:cs="Microsoft YaHei"/>
          <w:sz w:val="21"/>
          <w:szCs w:val="21"/>
          <w:spacing w:val="3"/>
        </w:rPr>
        <w:t>上游材料价格的上涨给电池企业带来了较大的压力</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，在此背景下</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，上</w:t>
      </w:r>
      <w:r>
        <w:rPr>
          <w:rFonts w:ascii="Microsoft YaHei" w:hAnsi="Microsoft YaHei" w:eastAsia="Microsoft YaHei" w:cs="Microsoft YaHei"/>
          <w:sz w:val="21"/>
          <w:szCs w:val="21"/>
          <w:spacing w:val="2"/>
        </w:rPr>
        <w:t>游材料企业得到</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资本市场的关注</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，2022年储能上游材料企业获得了多笔大额融资。</w:t>
      </w:r>
      <w:r>
        <w:rPr>
          <w:rFonts w:ascii="Microsoft YaHei" w:hAnsi="Microsoft YaHei" w:eastAsia="Microsoft YaHei" w:cs="Microsoft YaHei"/>
          <w:sz w:val="21"/>
          <w:szCs w:val="21"/>
          <w:spacing w:val="-42"/>
        </w:rPr>
        <w:t xml:space="preserve"> </w:t>
      </w:r>
      <w:r>
        <w:rPr>
          <w:rFonts w:ascii="Microsoft YaHei" w:hAnsi="Microsoft YaHei" w:eastAsia="Microsoft YaHei" w:cs="Microsoft YaHei"/>
          <w:sz w:val="21"/>
          <w:szCs w:val="21"/>
          <w:spacing w:val="1"/>
        </w:rPr>
        <w:t>锂电池</w:t>
      </w:r>
      <w:r>
        <w:rPr>
          <w:rFonts w:ascii="Microsoft YaHei" w:hAnsi="Microsoft YaHei" w:eastAsia="Microsoft YaHei" w:cs="Microsoft YaHei"/>
          <w:sz w:val="21"/>
          <w:szCs w:val="21"/>
        </w:rPr>
        <w:t>正极材料研 </w:t>
      </w:r>
      <w:r>
        <w:rPr>
          <w:rFonts w:ascii="Microsoft YaHei" w:hAnsi="Microsoft YaHei" w:eastAsia="Microsoft YaHei" w:cs="Microsoft YaHei"/>
          <w:sz w:val="21"/>
          <w:szCs w:val="21"/>
          <w:spacing w:val="-2"/>
        </w:rPr>
        <w:t>发生产商融通高科先进材料于2022年7月获得了50亿</w:t>
      </w:r>
      <w:r>
        <w:rPr>
          <w:rFonts w:ascii="Microsoft YaHei" w:hAnsi="Microsoft YaHei" w:eastAsia="Microsoft YaHei" w:cs="Microsoft YaHei"/>
          <w:sz w:val="21"/>
          <w:szCs w:val="21"/>
          <w:spacing w:val="-3"/>
        </w:rPr>
        <w:t>元融资。</w:t>
      </w:r>
    </w:p>
    <w:p>
      <w:pPr>
        <w:ind w:left="36"/>
        <w:spacing w:before="268" w:line="19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338D"/>
          <w:spacing w:val="-4"/>
        </w:rPr>
        <w:t>表 20 | 2022年储能行业大额融资交易</w:t>
      </w:r>
    </w:p>
    <w:p>
      <w:pPr>
        <w:spacing w:line="98" w:lineRule="exact"/>
        <w:rPr/>
      </w:pPr>
      <w:r/>
    </w:p>
    <w:tbl>
      <w:tblPr>
        <w:tblStyle w:val="TableNormal"/>
        <w:tblW w:w="9640" w:type="dxa"/>
        <w:tblInd w:w="31"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709"/>
        <w:gridCol w:w="2450"/>
        <w:gridCol w:w="1709"/>
        <w:gridCol w:w="1079"/>
        <w:gridCol w:w="1538"/>
        <w:gridCol w:w="1155"/>
      </w:tblGrid>
      <w:tr>
        <w:trPr>
          <w:trHeight w:val="450" w:hRule="atLeast"/>
        </w:trPr>
        <w:tc>
          <w:tcPr>
            <w:shd w:val="clear" w:fill="00338D"/>
            <w:tcW w:w="1709" w:type="dxa"/>
            <w:vAlign w:val="top"/>
            <w:tcBorders>
              <w:right w:val="single" w:color="FFFFFF" w:sz="8" w:space="0"/>
            </w:tcBorders>
          </w:tcPr>
          <w:p>
            <w:pPr>
              <w:pStyle w:val="TableText"/>
              <w:ind w:left="484"/>
              <w:spacing w:before="132" w:line="179" w:lineRule="auto"/>
              <w:rPr>
                <w:sz w:val="18"/>
                <w:szCs w:val="18"/>
              </w:rPr>
            </w:pPr>
            <w:r>
              <w:rPr>
                <w:sz w:val="18"/>
                <w:szCs w:val="18"/>
                <w:b/>
                <w:bCs/>
                <w:color w:val="FFFFFF"/>
                <w:spacing w:val="4"/>
              </w:rPr>
              <w:t>企业简称</w:t>
            </w:r>
          </w:p>
        </w:tc>
        <w:tc>
          <w:tcPr>
            <w:shd w:val="clear" w:fill="00338D"/>
            <w:tcW w:w="2450" w:type="dxa"/>
            <w:vAlign w:val="top"/>
            <w:tcBorders>
              <w:left w:val="single" w:color="FFFFFF" w:sz="8" w:space="0"/>
              <w:right w:val="single" w:color="FFFFFF" w:sz="8" w:space="0"/>
            </w:tcBorders>
          </w:tcPr>
          <w:p>
            <w:pPr>
              <w:pStyle w:val="TableText"/>
              <w:ind w:left="849"/>
              <w:spacing w:before="133" w:line="177" w:lineRule="auto"/>
              <w:rPr>
                <w:sz w:val="18"/>
                <w:szCs w:val="18"/>
              </w:rPr>
            </w:pPr>
            <w:r>
              <w:rPr>
                <w:sz w:val="18"/>
                <w:szCs w:val="18"/>
                <w:b/>
                <w:bCs/>
                <w:color w:val="FFFFFF"/>
                <w:spacing w:val="3"/>
              </w:rPr>
              <w:t>业务描述</w:t>
            </w:r>
          </w:p>
        </w:tc>
        <w:tc>
          <w:tcPr>
            <w:shd w:val="clear" w:fill="00338D"/>
            <w:tcW w:w="1709" w:type="dxa"/>
            <w:vAlign w:val="top"/>
            <w:tcBorders>
              <w:left w:val="single" w:color="FFFFFF" w:sz="8" w:space="0"/>
              <w:right w:val="single" w:color="FFFFFF" w:sz="8" w:space="0"/>
            </w:tcBorders>
          </w:tcPr>
          <w:p>
            <w:pPr>
              <w:pStyle w:val="TableText"/>
              <w:ind w:left="107"/>
              <w:spacing w:before="131" w:line="177" w:lineRule="auto"/>
              <w:rPr>
                <w:sz w:val="18"/>
                <w:szCs w:val="18"/>
              </w:rPr>
            </w:pPr>
            <w:r>
              <w:rPr>
                <w:sz w:val="18"/>
                <w:szCs w:val="18"/>
                <w:b/>
                <w:bCs/>
                <w:color w:val="FFFFFF"/>
              </w:rPr>
              <w:t>交易金额（亿元）</w:t>
            </w:r>
          </w:p>
        </w:tc>
        <w:tc>
          <w:tcPr>
            <w:shd w:val="clear" w:fill="00338D"/>
            <w:tcW w:w="1079" w:type="dxa"/>
            <w:vAlign w:val="top"/>
            <w:tcBorders>
              <w:left w:val="single" w:color="FFFFFF" w:sz="8" w:space="0"/>
              <w:right w:val="single" w:color="FFFFFF" w:sz="8" w:space="0"/>
            </w:tcBorders>
          </w:tcPr>
          <w:p>
            <w:pPr>
              <w:pStyle w:val="TableText"/>
              <w:ind w:left="165"/>
              <w:spacing w:before="133" w:line="178" w:lineRule="auto"/>
              <w:rPr>
                <w:sz w:val="18"/>
                <w:szCs w:val="18"/>
              </w:rPr>
            </w:pPr>
            <w:r>
              <w:rPr>
                <w:sz w:val="18"/>
                <w:szCs w:val="18"/>
                <w:b/>
                <w:bCs/>
                <w:color w:val="FFFFFF"/>
                <w:spacing w:val="3"/>
              </w:rPr>
              <w:t>交易轮次</w:t>
            </w:r>
          </w:p>
        </w:tc>
        <w:tc>
          <w:tcPr>
            <w:shd w:val="clear" w:fill="00338D"/>
            <w:tcW w:w="1538" w:type="dxa"/>
            <w:vAlign w:val="top"/>
            <w:tcBorders>
              <w:left w:val="single" w:color="FFFFFF" w:sz="8" w:space="0"/>
              <w:right w:val="single" w:color="FFFFFF" w:sz="8" w:space="0"/>
            </w:tcBorders>
          </w:tcPr>
          <w:p>
            <w:pPr>
              <w:pStyle w:val="TableText"/>
              <w:ind w:left="297"/>
              <w:spacing w:before="132" w:line="178" w:lineRule="auto"/>
              <w:rPr>
                <w:sz w:val="18"/>
                <w:szCs w:val="18"/>
              </w:rPr>
            </w:pPr>
            <w:r>
              <w:rPr>
                <w:sz w:val="18"/>
                <w:szCs w:val="18"/>
                <w:b/>
                <w:bCs/>
                <w:color w:val="FFFFFF"/>
                <w:spacing w:val="4"/>
              </w:rPr>
              <w:t>企业所在地</w:t>
            </w:r>
          </w:p>
        </w:tc>
        <w:tc>
          <w:tcPr>
            <w:shd w:val="clear" w:fill="00338D"/>
            <w:tcW w:w="1155" w:type="dxa"/>
            <w:vAlign w:val="top"/>
            <w:tcBorders>
              <w:left w:val="single" w:color="FFFFFF" w:sz="8" w:space="0"/>
            </w:tcBorders>
          </w:tcPr>
          <w:p>
            <w:pPr>
              <w:pStyle w:val="TableText"/>
              <w:ind w:left="199"/>
              <w:spacing w:before="133" w:line="178" w:lineRule="auto"/>
              <w:rPr>
                <w:sz w:val="18"/>
                <w:szCs w:val="18"/>
              </w:rPr>
            </w:pPr>
            <w:r>
              <w:rPr>
                <w:sz w:val="18"/>
                <w:szCs w:val="18"/>
                <w:b/>
                <w:bCs/>
                <w:color w:val="FFFFFF"/>
                <w:spacing w:val="3"/>
              </w:rPr>
              <w:t>交易时间</w:t>
            </w:r>
          </w:p>
        </w:tc>
      </w:tr>
      <w:tr>
        <w:trPr>
          <w:trHeight w:val="388" w:hRule="atLeast"/>
        </w:trPr>
        <w:tc>
          <w:tcPr>
            <w:tcW w:w="1709" w:type="dxa"/>
            <w:vAlign w:val="top"/>
            <w:tcBorders>
              <w:right w:val="single" w:color="BFBFBF" w:sz="2" w:space="0"/>
            </w:tcBorders>
          </w:tcPr>
          <w:p>
            <w:pPr>
              <w:pStyle w:val="TableText"/>
              <w:ind w:left="394"/>
              <w:spacing w:before="105" w:line="176" w:lineRule="auto"/>
              <w:rPr>
                <w:sz w:val="18"/>
                <w:szCs w:val="18"/>
              </w:rPr>
            </w:pPr>
            <w:r>
              <w:rPr>
                <w:sz w:val="18"/>
                <w:szCs w:val="18"/>
                <w:b/>
                <w:bCs/>
                <w:color w:val="00338D"/>
                <w:spacing w:val="4"/>
              </w:rPr>
              <w:t>欣旺达电池</w:t>
            </w:r>
          </w:p>
        </w:tc>
        <w:tc>
          <w:tcPr>
            <w:tcW w:w="2450" w:type="dxa"/>
            <w:vAlign w:val="top"/>
            <w:tcBorders>
              <w:left w:val="single" w:color="BFBFBF" w:sz="2" w:space="0"/>
              <w:right w:val="single" w:color="BFBFBF" w:sz="2" w:space="0"/>
            </w:tcBorders>
          </w:tcPr>
          <w:p>
            <w:pPr>
              <w:pStyle w:val="TableText"/>
              <w:ind w:left="427"/>
              <w:spacing w:before="104" w:line="178" w:lineRule="auto"/>
              <w:rPr>
                <w:sz w:val="18"/>
                <w:szCs w:val="18"/>
              </w:rPr>
            </w:pPr>
            <w:r>
              <w:rPr>
                <w:sz w:val="18"/>
                <w:szCs w:val="18"/>
                <w:spacing w:val="-1"/>
              </w:rPr>
              <w:t>电动汽车电池研发商</w:t>
            </w:r>
          </w:p>
        </w:tc>
        <w:tc>
          <w:tcPr>
            <w:tcW w:w="1709" w:type="dxa"/>
            <w:vAlign w:val="top"/>
            <w:tcBorders>
              <w:left w:val="single" w:color="BFBFBF" w:sz="2" w:space="0"/>
              <w:right w:val="single" w:color="BFBFBF" w:sz="2" w:space="0"/>
            </w:tcBorders>
          </w:tcPr>
          <w:p>
            <w:pPr>
              <w:pStyle w:val="TableText"/>
              <w:ind w:left="757"/>
              <w:spacing w:before="122" w:line="172" w:lineRule="auto"/>
              <w:rPr>
                <w:sz w:val="18"/>
                <w:szCs w:val="18"/>
              </w:rPr>
            </w:pPr>
            <w:r>
              <w:rPr>
                <w:sz w:val="18"/>
                <w:szCs w:val="18"/>
                <w:spacing w:val="-5"/>
              </w:rPr>
              <w:t>80</w:t>
            </w:r>
          </w:p>
        </w:tc>
        <w:tc>
          <w:tcPr>
            <w:tcW w:w="1079" w:type="dxa"/>
            <w:vAlign w:val="top"/>
            <w:tcBorders>
              <w:left w:val="single" w:color="BFBFBF" w:sz="2" w:space="0"/>
              <w:right w:val="single" w:color="BFBFBF" w:sz="2" w:space="0"/>
            </w:tcBorders>
          </w:tcPr>
          <w:p>
            <w:pPr>
              <w:pStyle w:val="TableText"/>
              <w:ind w:left="480"/>
              <w:spacing w:before="125" w:line="170" w:lineRule="auto"/>
              <w:rPr>
                <w:sz w:val="18"/>
                <w:szCs w:val="18"/>
              </w:rPr>
            </w:pPr>
            <w:r>
              <w:rPr>
                <w:sz w:val="18"/>
                <w:szCs w:val="18"/>
              </w:rPr>
              <w:t>A</w:t>
            </w:r>
          </w:p>
        </w:tc>
        <w:tc>
          <w:tcPr>
            <w:tcW w:w="1538" w:type="dxa"/>
            <w:vAlign w:val="top"/>
            <w:tcBorders>
              <w:left w:val="single" w:color="BFBFBF" w:sz="2" w:space="0"/>
              <w:right w:val="single" w:color="BFBFBF" w:sz="2" w:space="0"/>
            </w:tcBorders>
          </w:tcPr>
          <w:p>
            <w:pPr>
              <w:pStyle w:val="TableText"/>
              <w:ind w:left="498"/>
              <w:spacing w:before="105" w:line="180" w:lineRule="auto"/>
              <w:rPr>
                <w:sz w:val="18"/>
                <w:szCs w:val="18"/>
              </w:rPr>
            </w:pPr>
            <w:r>
              <w:rPr>
                <w:sz w:val="18"/>
                <w:szCs w:val="18"/>
                <w:spacing w:val="-1"/>
              </w:rPr>
              <w:t>广东省</w:t>
            </w:r>
          </w:p>
        </w:tc>
        <w:tc>
          <w:tcPr>
            <w:tcW w:w="1155" w:type="dxa"/>
            <w:vAlign w:val="top"/>
            <w:tcBorders>
              <w:left w:val="single" w:color="BFBFBF" w:sz="2" w:space="0"/>
            </w:tcBorders>
          </w:tcPr>
          <w:p>
            <w:pPr>
              <w:pStyle w:val="TableText"/>
              <w:ind w:left="248"/>
              <w:spacing w:before="122" w:line="172" w:lineRule="auto"/>
              <w:rPr>
                <w:sz w:val="18"/>
                <w:szCs w:val="18"/>
              </w:rPr>
            </w:pPr>
            <w:r>
              <w:rPr>
                <w:sz w:val="18"/>
                <w:szCs w:val="18"/>
                <w:spacing w:val="-7"/>
              </w:rPr>
              <w:t>2022-08</w:t>
            </w:r>
          </w:p>
        </w:tc>
      </w:tr>
      <w:tr>
        <w:trPr>
          <w:trHeight w:val="388" w:hRule="atLeast"/>
        </w:trPr>
        <w:tc>
          <w:tcPr>
            <w:shd w:val="clear" w:fill="F1F1F1"/>
            <w:tcW w:w="1709" w:type="dxa"/>
            <w:vAlign w:val="top"/>
            <w:tcBorders>
              <w:right w:val="single" w:color="BFBFBF" w:sz="2" w:space="0"/>
            </w:tcBorders>
          </w:tcPr>
          <w:p>
            <w:pPr>
              <w:pStyle w:val="TableText"/>
              <w:ind w:left="118"/>
              <w:spacing w:before="108" w:line="177" w:lineRule="auto"/>
              <w:rPr>
                <w:sz w:val="18"/>
                <w:szCs w:val="18"/>
              </w:rPr>
            </w:pPr>
            <w:r>
              <w:rPr>
                <w:sz w:val="18"/>
                <w:szCs w:val="18"/>
                <w:b/>
                <w:bCs/>
                <w:color w:val="00338D"/>
                <w:spacing w:val="5"/>
              </w:rPr>
              <w:t>融通高科先进材料</w:t>
            </w:r>
          </w:p>
        </w:tc>
        <w:tc>
          <w:tcPr>
            <w:shd w:val="clear" w:fill="F1F1F1"/>
            <w:tcW w:w="2450" w:type="dxa"/>
            <w:vAlign w:val="top"/>
            <w:tcBorders>
              <w:left w:val="single" w:color="BFBFBF" w:sz="2" w:space="0"/>
              <w:right w:val="single" w:color="BFBFBF" w:sz="2" w:space="0"/>
            </w:tcBorders>
          </w:tcPr>
          <w:p>
            <w:pPr>
              <w:pStyle w:val="TableText"/>
              <w:ind w:left="142"/>
              <w:spacing w:before="107" w:line="178" w:lineRule="auto"/>
              <w:rPr>
                <w:sz w:val="18"/>
                <w:szCs w:val="18"/>
              </w:rPr>
            </w:pPr>
            <w:r>
              <w:rPr>
                <w:sz w:val="18"/>
                <w:szCs w:val="18"/>
                <w:spacing w:val="1"/>
              </w:rPr>
              <w:t>锂电池正极材料研发生产商</w:t>
            </w:r>
          </w:p>
        </w:tc>
        <w:tc>
          <w:tcPr>
            <w:shd w:val="clear" w:fill="F1F1F1"/>
            <w:tcW w:w="1709" w:type="dxa"/>
            <w:vAlign w:val="top"/>
            <w:tcBorders>
              <w:left w:val="single" w:color="BFBFBF" w:sz="2" w:space="0"/>
              <w:right w:val="single" w:color="BFBFBF" w:sz="2" w:space="0"/>
            </w:tcBorders>
          </w:tcPr>
          <w:p>
            <w:pPr>
              <w:pStyle w:val="TableText"/>
              <w:ind w:left="753"/>
              <w:spacing w:before="124" w:line="172" w:lineRule="auto"/>
              <w:rPr>
                <w:sz w:val="18"/>
                <w:szCs w:val="18"/>
              </w:rPr>
            </w:pPr>
            <w:r>
              <w:rPr>
                <w:sz w:val="18"/>
                <w:szCs w:val="18"/>
                <w:spacing w:val="-4"/>
              </w:rPr>
              <w:t>50</w:t>
            </w:r>
          </w:p>
        </w:tc>
        <w:tc>
          <w:tcPr>
            <w:shd w:val="clear" w:fill="F1F1F1"/>
            <w:tcW w:w="1079" w:type="dxa"/>
            <w:vAlign w:val="top"/>
            <w:tcBorders>
              <w:left w:val="single" w:color="BFBFBF" w:sz="2" w:space="0"/>
              <w:right w:val="single" w:color="BFBFBF" w:sz="2" w:space="0"/>
            </w:tcBorders>
          </w:tcPr>
          <w:p>
            <w:pPr>
              <w:pStyle w:val="TableText"/>
              <w:ind w:left="493"/>
              <w:spacing w:before="127" w:line="170" w:lineRule="auto"/>
              <w:rPr>
                <w:sz w:val="18"/>
                <w:szCs w:val="18"/>
              </w:rPr>
            </w:pPr>
            <w:r>
              <w:rPr>
                <w:sz w:val="18"/>
                <w:szCs w:val="18"/>
              </w:rPr>
              <w:t>D</w:t>
            </w:r>
          </w:p>
        </w:tc>
        <w:tc>
          <w:tcPr>
            <w:shd w:val="clear" w:fill="F1F1F1"/>
            <w:tcW w:w="1538" w:type="dxa"/>
            <w:vAlign w:val="top"/>
            <w:tcBorders>
              <w:left w:val="single" w:color="BFBFBF" w:sz="2" w:space="0"/>
              <w:right w:val="single" w:color="BFBFBF" w:sz="2" w:space="0"/>
            </w:tcBorders>
          </w:tcPr>
          <w:p>
            <w:pPr>
              <w:pStyle w:val="TableText"/>
              <w:ind w:left="498"/>
              <w:spacing w:before="109" w:line="177" w:lineRule="auto"/>
              <w:rPr>
                <w:sz w:val="18"/>
                <w:szCs w:val="18"/>
              </w:rPr>
            </w:pPr>
            <w:r>
              <w:rPr>
                <w:sz w:val="18"/>
                <w:szCs w:val="18"/>
                <w:spacing w:val="-1"/>
              </w:rPr>
              <w:t>湖北省</w:t>
            </w:r>
          </w:p>
        </w:tc>
        <w:tc>
          <w:tcPr>
            <w:shd w:val="clear" w:fill="F1F1F1"/>
            <w:tcW w:w="1155" w:type="dxa"/>
            <w:vAlign w:val="top"/>
            <w:tcBorders>
              <w:left w:val="single" w:color="BFBFBF" w:sz="2" w:space="0"/>
            </w:tcBorders>
          </w:tcPr>
          <w:p>
            <w:pPr>
              <w:pStyle w:val="TableText"/>
              <w:ind w:left="248"/>
              <w:spacing w:before="124" w:line="172" w:lineRule="auto"/>
              <w:rPr>
                <w:sz w:val="18"/>
                <w:szCs w:val="18"/>
              </w:rPr>
            </w:pPr>
            <w:r>
              <w:rPr>
                <w:sz w:val="18"/>
                <w:szCs w:val="18"/>
                <w:spacing w:val="-7"/>
              </w:rPr>
              <w:t>2022-07</w:t>
            </w:r>
          </w:p>
        </w:tc>
      </w:tr>
      <w:tr>
        <w:trPr>
          <w:trHeight w:val="388" w:hRule="atLeast"/>
        </w:trPr>
        <w:tc>
          <w:tcPr>
            <w:tcW w:w="1709" w:type="dxa"/>
            <w:vAlign w:val="top"/>
            <w:tcBorders>
              <w:right w:val="single" w:color="BFBFBF" w:sz="2" w:space="0"/>
            </w:tcBorders>
          </w:tcPr>
          <w:p>
            <w:pPr>
              <w:pStyle w:val="TableText"/>
              <w:ind w:left="494"/>
              <w:spacing w:before="110" w:line="177" w:lineRule="auto"/>
              <w:rPr>
                <w:sz w:val="18"/>
                <w:szCs w:val="18"/>
              </w:rPr>
            </w:pPr>
            <w:r>
              <w:rPr>
                <w:sz w:val="18"/>
                <w:szCs w:val="18"/>
                <w:b/>
                <w:bCs/>
                <w:color w:val="00338D"/>
                <w:spacing w:val="1"/>
              </w:rPr>
              <w:t>国氢科技</w:t>
            </w:r>
          </w:p>
        </w:tc>
        <w:tc>
          <w:tcPr>
            <w:tcW w:w="2450" w:type="dxa"/>
            <w:vAlign w:val="top"/>
            <w:tcBorders>
              <w:left w:val="single" w:color="BFBFBF" w:sz="2" w:space="0"/>
              <w:right w:val="single" w:color="BFBFBF" w:sz="2" w:space="0"/>
            </w:tcBorders>
          </w:tcPr>
          <w:p>
            <w:pPr>
              <w:pStyle w:val="TableText"/>
              <w:ind w:left="684"/>
              <w:spacing w:before="109" w:line="179" w:lineRule="auto"/>
              <w:rPr>
                <w:sz w:val="18"/>
                <w:szCs w:val="18"/>
              </w:rPr>
            </w:pPr>
            <w:r>
              <w:rPr>
                <w:sz w:val="18"/>
                <w:szCs w:val="18"/>
              </w:rPr>
              <w:t>氢能源供应商</w:t>
            </w:r>
          </w:p>
        </w:tc>
        <w:tc>
          <w:tcPr>
            <w:tcW w:w="1709" w:type="dxa"/>
            <w:vAlign w:val="top"/>
            <w:tcBorders>
              <w:left w:val="single" w:color="BFBFBF" w:sz="2" w:space="0"/>
              <w:right w:val="single" w:color="BFBFBF" w:sz="2" w:space="0"/>
            </w:tcBorders>
          </w:tcPr>
          <w:p>
            <w:pPr>
              <w:pStyle w:val="TableText"/>
              <w:ind w:left="752"/>
              <w:spacing w:before="129" w:line="170" w:lineRule="auto"/>
              <w:rPr>
                <w:sz w:val="18"/>
                <w:szCs w:val="18"/>
              </w:rPr>
            </w:pPr>
            <w:r>
              <w:rPr>
                <w:sz w:val="18"/>
                <w:szCs w:val="18"/>
                <w:spacing w:val="-4"/>
              </w:rPr>
              <w:t>45</w:t>
            </w:r>
          </w:p>
        </w:tc>
        <w:tc>
          <w:tcPr>
            <w:tcW w:w="1079" w:type="dxa"/>
            <w:vAlign w:val="top"/>
            <w:tcBorders>
              <w:left w:val="single" w:color="BFBFBF" w:sz="2" w:space="0"/>
              <w:right w:val="single" w:color="BFBFBF" w:sz="2" w:space="0"/>
            </w:tcBorders>
          </w:tcPr>
          <w:p>
            <w:pPr>
              <w:pStyle w:val="TableText"/>
              <w:ind w:left="493"/>
              <w:spacing w:before="130" w:line="170" w:lineRule="auto"/>
              <w:rPr>
                <w:sz w:val="18"/>
                <w:szCs w:val="18"/>
              </w:rPr>
            </w:pPr>
            <w:r>
              <w:rPr>
                <w:sz w:val="18"/>
                <w:szCs w:val="18"/>
              </w:rPr>
              <w:t>B</w:t>
            </w:r>
          </w:p>
        </w:tc>
        <w:tc>
          <w:tcPr>
            <w:tcW w:w="1538" w:type="dxa"/>
            <w:vAlign w:val="top"/>
            <w:tcBorders>
              <w:left w:val="single" w:color="BFBFBF" w:sz="2" w:space="0"/>
              <w:right w:val="single" w:color="BFBFBF" w:sz="2" w:space="0"/>
            </w:tcBorders>
          </w:tcPr>
          <w:p>
            <w:pPr>
              <w:pStyle w:val="TableText"/>
              <w:ind w:left="497"/>
              <w:spacing w:before="110" w:line="178" w:lineRule="auto"/>
              <w:rPr>
                <w:sz w:val="18"/>
                <w:szCs w:val="18"/>
              </w:rPr>
            </w:pPr>
            <w:r>
              <w:rPr>
                <w:sz w:val="18"/>
                <w:szCs w:val="18"/>
              </w:rPr>
              <w:t>北京市</w:t>
            </w:r>
          </w:p>
        </w:tc>
        <w:tc>
          <w:tcPr>
            <w:tcW w:w="1155" w:type="dxa"/>
            <w:vAlign w:val="top"/>
            <w:tcBorders>
              <w:left w:val="single" w:color="BFBFBF" w:sz="2" w:space="0"/>
            </w:tcBorders>
          </w:tcPr>
          <w:p>
            <w:pPr>
              <w:pStyle w:val="TableText"/>
              <w:ind w:left="248"/>
              <w:spacing w:before="127" w:line="172" w:lineRule="auto"/>
              <w:rPr>
                <w:sz w:val="18"/>
                <w:szCs w:val="18"/>
              </w:rPr>
            </w:pPr>
            <w:r>
              <w:rPr>
                <w:sz w:val="18"/>
                <w:szCs w:val="18"/>
                <w:spacing w:val="-7"/>
              </w:rPr>
              <w:t>2022-12</w:t>
            </w:r>
          </w:p>
        </w:tc>
      </w:tr>
      <w:tr>
        <w:trPr>
          <w:trHeight w:val="388" w:hRule="atLeast"/>
        </w:trPr>
        <w:tc>
          <w:tcPr>
            <w:shd w:val="clear" w:fill="F1F1F1"/>
            <w:tcW w:w="1709" w:type="dxa"/>
            <w:vAlign w:val="top"/>
            <w:tcBorders>
              <w:right w:val="single" w:color="BFBFBF" w:sz="2" w:space="0"/>
            </w:tcBorders>
          </w:tcPr>
          <w:p>
            <w:pPr>
              <w:pStyle w:val="TableText"/>
              <w:ind w:left="485"/>
              <w:spacing w:before="113" w:line="177" w:lineRule="auto"/>
              <w:rPr>
                <w:sz w:val="18"/>
                <w:szCs w:val="18"/>
              </w:rPr>
            </w:pPr>
            <w:r>
              <w:rPr>
                <w:sz w:val="18"/>
                <w:szCs w:val="18"/>
                <w:b/>
                <w:bCs/>
                <w:color w:val="00338D"/>
                <w:spacing w:val="4"/>
              </w:rPr>
              <w:t>扬州晶澳</w:t>
            </w:r>
          </w:p>
        </w:tc>
        <w:tc>
          <w:tcPr>
            <w:shd w:val="clear" w:fill="F1F1F1"/>
            <w:tcW w:w="2450" w:type="dxa"/>
            <w:vAlign w:val="top"/>
            <w:tcBorders>
              <w:left w:val="single" w:color="BFBFBF" w:sz="2" w:space="0"/>
              <w:right w:val="single" w:color="BFBFBF" w:sz="2" w:space="0"/>
            </w:tcBorders>
          </w:tcPr>
          <w:p>
            <w:pPr>
              <w:pStyle w:val="TableText"/>
              <w:ind w:left="502"/>
              <w:spacing w:before="113" w:line="178" w:lineRule="auto"/>
              <w:rPr>
                <w:sz w:val="18"/>
                <w:szCs w:val="18"/>
              </w:rPr>
            </w:pPr>
            <w:r>
              <w:rPr>
                <w:sz w:val="18"/>
                <w:szCs w:val="18"/>
                <w:spacing w:val="1"/>
              </w:rPr>
              <w:t>太阳能电池生产商</w:t>
            </w:r>
          </w:p>
        </w:tc>
        <w:tc>
          <w:tcPr>
            <w:shd w:val="clear" w:fill="F1F1F1"/>
            <w:tcW w:w="1709" w:type="dxa"/>
            <w:vAlign w:val="top"/>
            <w:tcBorders>
              <w:left w:val="single" w:color="BFBFBF" w:sz="2" w:space="0"/>
              <w:right w:val="single" w:color="BFBFBF" w:sz="2" w:space="0"/>
            </w:tcBorders>
          </w:tcPr>
          <w:p>
            <w:pPr>
              <w:pStyle w:val="TableText"/>
              <w:ind w:left="754"/>
              <w:spacing w:before="129" w:line="172" w:lineRule="auto"/>
              <w:rPr>
                <w:sz w:val="18"/>
                <w:szCs w:val="18"/>
              </w:rPr>
            </w:pPr>
            <w:r>
              <w:rPr>
                <w:sz w:val="18"/>
                <w:szCs w:val="18"/>
                <w:spacing w:val="-4"/>
              </w:rPr>
              <w:t>32</w:t>
            </w:r>
          </w:p>
        </w:tc>
        <w:tc>
          <w:tcPr>
            <w:shd w:val="clear" w:fill="F1F1F1"/>
            <w:tcW w:w="1079" w:type="dxa"/>
            <w:vAlign w:val="top"/>
            <w:tcBorders>
              <w:left w:val="single" w:color="BFBFBF" w:sz="2" w:space="0"/>
              <w:right w:val="single" w:color="BFBFBF" w:sz="2" w:space="0"/>
            </w:tcBorders>
          </w:tcPr>
          <w:p>
            <w:pPr>
              <w:pStyle w:val="TableText"/>
              <w:ind w:left="480"/>
              <w:spacing w:before="132" w:line="170" w:lineRule="auto"/>
              <w:rPr>
                <w:sz w:val="18"/>
                <w:szCs w:val="18"/>
              </w:rPr>
            </w:pPr>
            <w:r>
              <w:rPr>
                <w:sz w:val="18"/>
                <w:szCs w:val="18"/>
              </w:rPr>
              <w:t>A</w:t>
            </w:r>
          </w:p>
        </w:tc>
        <w:tc>
          <w:tcPr>
            <w:shd w:val="clear" w:fill="F1F1F1"/>
            <w:tcW w:w="1538" w:type="dxa"/>
            <w:vAlign w:val="top"/>
            <w:tcBorders>
              <w:left w:val="single" w:color="BFBFBF" w:sz="2" w:space="0"/>
              <w:right w:val="single" w:color="BFBFBF" w:sz="2" w:space="0"/>
            </w:tcBorders>
          </w:tcPr>
          <w:p>
            <w:pPr>
              <w:pStyle w:val="TableText"/>
              <w:ind w:left="499"/>
              <w:spacing w:before="113" w:line="177" w:lineRule="auto"/>
              <w:rPr>
                <w:sz w:val="18"/>
                <w:szCs w:val="18"/>
              </w:rPr>
            </w:pPr>
            <w:r>
              <w:rPr>
                <w:sz w:val="18"/>
                <w:szCs w:val="18"/>
                <w:spacing w:val="-1"/>
              </w:rPr>
              <w:t>江苏省</w:t>
            </w:r>
          </w:p>
        </w:tc>
        <w:tc>
          <w:tcPr>
            <w:shd w:val="clear" w:fill="F1F1F1"/>
            <w:tcW w:w="1155" w:type="dxa"/>
            <w:vAlign w:val="top"/>
            <w:tcBorders>
              <w:left w:val="single" w:color="BFBFBF" w:sz="2" w:space="0"/>
            </w:tcBorders>
          </w:tcPr>
          <w:p>
            <w:pPr>
              <w:pStyle w:val="TableText"/>
              <w:ind w:left="248"/>
              <w:spacing w:before="129" w:line="172" w:lineRule="auto"/>
              <w:rPr>
                <w:sz w:val="18"/>
                <w:szCs w:val="18"/>
              </w:rPr>
            </w:pPr>
            <w:r>
              <w:rPr>
                <w:sz w:val="18"/>
                <w:szCs w:val="18"/>
                <w:spacing w:val="-7"/>
              </w:rPr>
              <w:t>2022-04</w:t>
            </w:r>
          </w:p>
        </w:tc>
      </w:tr>
      <w:tr>
        <w:trPr>
          <w:trHeight w:val="441" w:hRule="atLeast"/>
        </w:trPr>
        <w:tc>
          <w:tcPr>
            <w:tcW w:w="1709" w:type="dxa"/>
            <w:vAlign w:val="top"/>
            <w:tcBorders>
              <w:right w:val="single" w:color="BFBFBF" w:sz="2" w:space="0"/>
            </w:tcBorders>
          </w:tcPr>
          <w:p>
            <w:pPr>
              <w:pStyle w:val="TableText"/>
              <w:ind w:left="486"/>
              <w:spacing w:before="142" w:line="177" w:lineRule="auto"/>
              <w:rPr>
                <w:sz w:val="18"/>
                <w:szCs w:val="18"/>
              </w:rPr>
            </w:pPr>
            <w:r>
              <w:rPr>
                <w:sz w:val="18"/>
                <w:szCs w:val="18"/>
                <w:b/>
                <w:bCs/>
                <w:color w:val="00338D"/>
                <w:spacing w:val="3"/>
              </w:rPr>
              <w:t>海辰储能</w:t>
            </w:r>
          </w:p>
        </w:tc>
        <w:tc>
          <w:tcPr>
            <w:tcW w:w="2450" w:type="dxa"/>
            <w:vAlign w:val="top"/>
            <w:tcBorders>
              <w:left w:val="single" w:color="BFBFBF" w:sz="2" w:space="0"/>
              <w:right w:val="single" w:color="BFBFBF" w:sz="2" w:space="0"/>
            </w:tcBorders>
          </w:tcPr>
          <w:p>
            <w:pPr>
              <w:pStyle w:val="TableText"/>
              <w:ind w:left="408"/>
              <w:spacing w:before="141" w:line="178" w:lineRule="auto"/>
              <w:rPr>
                <w:sz w:val="18"/>
                <w:szCs w:val="18"/>
              </w:rPr>
            </w:pPr>
            <w:r>
              <w:rPr>
                <w:sz w:val="18"/>
                <w:szCs w:val="18"/>
                <w:spacing w:val="1"/>
              </w:rPr>
              <w:t>储能解决方案提供商</w:t>
            </w:r>
          </w:p>
        </w:tc>
        <w:tc>
          <w:tcPr>
            <w:tcW w:w="1709" w:type="dxa"/>
            <w:vAlign w:val="top"/>
            <w:tcBorders>
              <w:left w:val="single" w:color="BFBFBF" w:sz="2" w:space="0"/>
              <w:right w:val="single" w:color="BFBFBF" w:sz="2" w:space="0"/>
            </w:tcBorders>
          </w:tcPr>
          <w:p>
            <w:pPr>
              <w:pStyle w:val="TableText"/>
              <w:ind w:left="756"/>
              <w:spacing w:before="159" w:line="172" w:lineRule="auto"/>
              <w:rPr>
                <w:sz w:val="18"/>
                <w:szCs w:val="18"/>
              </w:rPr>
            </w:pPr>
            <w:r>
              <w:rPr>
                <w:sz w:val="18"/>
                <w:szCs w:val="18"/>
                <w:spacing w:val="-5"/>
              </w:rPr>
              <w:t>20</w:t>
            </w:r>
          </w:p>
        </w:tc>
        <w:tc>
          <w:tcPr>
            <w:tcW w:w="1079" w:type="dxa"/>
            <w:vAlign w:val="top"/>
            <w:tcBorders>
              <w:left w:val="single" w:color="BFBFBF" w:sz="2" w:space="0"/>
              <w:right w:val="single" w:color="BFBFBF" w:sz="2" w:space="0"/>
            </w:tcBorders>
          </w:tcPr>
          <w:p>
            <w:pPr>
              <w:pStyle w:val="TableText"/>
              <w:ind w:left="493"/>
              <w:spacing w:before="161" w:line="170" w:lineRule="auto"/>
              <w:rPr>
                <w:sz w:val="18"/>
                <w:szCs w:val="18"/>
              </w:rPr>
            </w:pPr>
            <w:r>
              <w:rPr>
                <w:sz w:val="18"/>
                <w:szCs w:val="18"/>
              </w:rPr>
              <w:t>B</w:t>
            </w:r>
          </w:p>
        </w:tc>
        <w:tc>
          <w:tcPr>
            <w:tcW w:w="1538" w:type="dxa"/>
            <w:vAlign w:val="top"/>
            <w:tcBorders>
              <w:left w:val="single" w:color="BFBFBF" w:sz="2" w:space="0"/>
              <w:right w:val="single" w:color="BFBFBF" w:sz="2" w:space="0"/>
            </w:tcBorders>
          </w:tcPr>
          <w:p>
            <w:pPr>
              <w:pStyle w:val="TableText"/>
              <w:ind w:left="495"/>
              <w:spacing w:before="142" w:line="177" w:lineRule="auto"/>
              <w:rPr>
                <w:sz w:val="18"/>
                <w:szCs w:val="18"/>
              </w:rPr>
            </w:pPr>
            <w:r>
              <w:rPr>
                <w:sz w:val="18"/>
                <w:szCs w:val="18"/>
                <w:spacing w:val="1"/>
              </w:rPr>
              <w:t>福建省</w:t>
            </w:r>
          </w:p>
        </w:tc>
        <w:tc>
          <w:tcPr>
            <w:tcW w:w="1155" w:type="dxa"/>
            <w:vAlign w:val="top"/>
            <w:tcBorders>
              <w:left w:val="single" w:color="BFBFBF" w:sz="2" w:space="0"/>
            </w:tcBorders>
          </w:tcPr>
          <w:p>
            <w:pPr>
              <w:pStyle w:val="TableText"/>
              <w:ind w:left="248"/>
              <w:spacing w:before="159" w:line="172" w:lineRule="auto"/>
              <w:rPr>
                <w:sz w:val="18"/>
                <w:szCs w:val="18"/>
              </w:rPr>
            </w:pPr>
            <w:r>
              <w:rPr>
                <w:sz w:val="18"/>
                <w:szCs w:val="18"/>
                <w:spacing w:val="-7"/>
              </w:rPr>
              <w:t>2022-10</w:t>
            </w:r>
          </w:p>
        </w:tc>
      </w:tr>
      <w:tr>
        <w:trPr>
          <w:trHeight w:val="388" w:hRule="atLeast"/>
        </w:trPr>
        <w:tc>
          <w:tcPr>
            <w:shd w:val="clear" w:fill="F1F1F1"/>
            <w:tcW w:w="1709" w:type="dxa"/>
            <w:vAlign w:val="top"/>
            <w:tcBorders>
              <w:right w:val="single" w:color="BFBFBF" w:sz="2" w:space="0"/>
            </w:tcBorders>
          </w:tcPr>
          <w:p>
            <w:pPr>
              <w:pStyle w:val="TableText"/>
              <w:ind w:left="487"/>
              <w:spacing w:before="119" w:line="176" w:lineRule="auto"/>
              <w:rPr>
                <w:sz w:val="18"/>
                <w:szCs w:val="18"/>
              </w:rPr>
            </w:pPr>
            <w:r>
              <w:rPr>
                <w:sz w:val="18"/>
                <w:szCs w:val="18"/>
                <w:b/>
                <w:bCs/>
                <w:color w:val="00338D"/>
                <w:spacing w:val="3"/>
              </w:rPr>
              <w:t>星恒电源</w:t>
            </w:r>
          </w:p>
        </w:tc>
        <w:tc>
          <w:tcPr>
            <w:shd w:val="clear" w:fill="F1F1F1"/>
            <w:tcW w:w="2450" w:type="dxa"/>
            <w:vAlign w:val="top"/>
            <w:tcBorders>
              <w:left w:val="single" w:color="BFBFBF" w:sz="2" w:space="0"/>
              <w:right w:val="single" w:color="BFBFBF" w:sz="2" w:space="0"/>
            </w:tcBorders>
          </w:tcPr>
          <w:p>
            <w:pPr>
              <w:pStyle w:val="TableText"/>
              <w:ind w:left="679"/>
              <w:spacing w:before="118" w:line="177" w:lineRule="auto"/>
              <w:rPr>
                <w:sz w:val="18"/>
                <w:szCs w:val="18"/>
              </w:rPr>
            </w:pPr>
            <w:r>
              <w:rPr>
                <w:sz w:val="18"/>
                <w:szCs w:val="18"/>
                <w:spacing w:val="1"/>
              </w:rPr>
              <w:t>锂电池制造商</w:t>
            </w:r>
          </w:p>
        </w:tc>
        <w:tc>
          <w:tcPr>
            <w:shd w:val="clear" w:fill="F1F1F1"/>
            <w:tcW w:w="1709" w:type="dxa"/>
            <w:vAlign w:val="top"/>
            <w:tcBorders>
              <w:left w:val="single" w:color="BFBFBF" w:sz="2" w:space="0"/>
              <w:right w:val="single" w:color="BFBFBF" w:sz="2" w:space="0"/>
            </w:tcBorders>
          </w:tcPr>
          <w:p>
            <w:pPr>
              <w:pStyle w:val="TableText"/>
              <w:ind w:left="764"/>
              <w:spacing w:before="137" w:line="170" w:lineRule="auto"/>
              <w:rPr>
                <w:sz w:val="18"/>
                <w:szCs w:val="18"/>
              </w:rPr>
            </w:pPr>
            <w:r>
              <w:rPr>
                <w:sz w:val="18"/>
                <w:szCs w:val="18"/>
                <w:spacing w:val="-7"/>
              </w:rPr>
              <w:t>15</w:t>
            </w:r>
          </w:p>
        </w:tc>
        <w:tc>
          <w:tcPr>
            <w:shd w:val="clear" w:fill="F1F1F1"/>
            <w:tcW w:w="1079" w:type="dxa"/>
            <w:vAlign w:val="top"/>
            <w:tcBorders>
              <w:left w:val="single" w:color="BFBFBF" w:sz="2" w:space="0"/>
              <w:right w:val="single" w:color="BFBFBF" w:sz="2" w:space="0"/>
            </w:tcBorders>
          </w:tcPr>
          <w:p>
            <w:pPr>
              <w:pStyle w:val="TableText"/>
              <w:ind w:left="188"/>
              <w:spacing w:before="118" w:line="177" w:lineRule="auto"/>
              <w:rPr>
                <w:sz w:val="18"/>
                <w:szCs w:val="18"/>
              </w:rPr>
            </w:pPr>
            <w:r>
              <w:rPr>
                <w:sz w:val="18"/>
                <w:szCs w:val="18"/>
                <w:spacing w:val="-2"/>
              </w:rPr>
              <w:t>战略融资</w:t>
            </w:r>
          </w:p>
        </w:tc>
        <w:tc>
          <w:tcPr>
            <w:shd w:val="clear" w:fill="F1F1F1"/>
            <w:tcW w:w="1538" w:type="dxa"/>
            <w:vAlign w:val="top"/>
            <w:tcBorders>
              <w:left w:val="single" w:color="BFBFBF" w:sz="2" w:space="0"/>
              <w:right w:val="single" w:color="BFBFBF" w:sz="2" w:space="0"/>
            </w:tcBorders>
          </w:tcPr>
          <w:p>
            <w:pPr>
              <w:pStyle w:val="TableText"/>
              <w:ind w:left="498"/>
              <w:spacing w:before="118" w:line="177" w:lineRule="auto"/>
              <w:rPr>
                <w:sz w:val="18"/>
                <w:szCs w:val="18"/>
              </w:rPr>
            </w:pPr>
            <w:r>
              <w:rPr>
                <w:sz w:val="18"/>
                <w:szCs w:val="18"/>
                <w:spacing w:val="-1"/>
              </w:rPr>
              <w:t>江苏省</w:t>
            </w:r>
          </w:p>
        </w:tc>
        <w:tc>
          <w:tcPr>
            <w:shd w:val="clear" w:fill="F1F1F1"/>
            <w:tcW w:w="1155" w:type="dxa"/>
            <w:vAlign w:val="top"/>
            <w:tcBorders>
              <w:left w:val="single" w:color="BFBFBF" w:sz="2" w:space="0"/>
            </w:tcBorders>
          </w:tcPr>
          <w:p>
            <w:pPr>
              <w:pStyle w:val="TableText"/>
              <w:ind w:left="248"/>
              <w:spacing w:before="135" w:line="172" w:lineRule="auto"/>
              <w:rPr>
                <w:sz w:val="18"/>
                <w:szCs w:val="18"/>
              </w:rPr>
            </w:pPr>
            <w:r>
              <w:rPr>
                <w:sz w:val="18"/>
                <w:szCs w:val="18"/>
                <w:spacing w:val="-7"/>
              </w:rPr>
              <w:t>2022-03</w:t>
            </w:r>
          </w:p>
        </w:tc>
      </w:tr>
      <w:tr>
        <w:trPr>
          <w:trHeight w:val="388" w:hRule="atLeast"/>
        </w:trPr>
        <w:tc>
          <w:tcPr>
            <w:tcW w:w="1709" w:type="dxa"/>
            <w:vAlign w:val="top"/>
            <w:tcBorders>
              <w:right w:val="single" w:color="BFBFBF" w:sz="2" w:space="0"/>
            </w:tcBorders>
          </w:tcPr>
          <w:p>
            <w:pPr>
              <w:pStyle w:val="TableText"/>
              <w:ind w:left="396"/>
              <w:spacing w:before="120" w:line="177" w:lineRule="auto"/>
              <w:rPr>
                <w:sz w:val="18"/>
                <w:szCs w:val="18"/>
              </w:rPr>
            </w:pPr>
            <w:r>
              <w:rPr>
                <w:sz w:val="18"/>
                <w:szCs w:val="18"/>
                <w:b/>
                <w:bCs/>
                <w:color w:val="00338D"/>
                <w:spacing w:val="4"/>
              </w:rPr>
              <w:t>卫蓝新能源</w:t>
            </w:r>
          </w:p>
        </w:tc>
        <w:tc>
          <w:tcPr>
            <w:tcW w:w="2450" w:type="dxa"/>
            <w:vAlign w:val="top"/>
            <w:tcBorders>
              <w:left w:val="single" w:color="BFBFBF" w:sz="2" w:space="0"/>
              <w:right w:val="single" w:color="BFBFBF" w:sz="2" w:space="0"/>
            </w:tcBorders>
          </w:tcPr>
          <w:p>
            <w:pPr>
              <w:pStyle w:val="TableText"/>
              <w:ind w:left="512"/>
              <w:spacing w:before="120" w:line="178" w:lineRule="auto"/>
              <w:rPr>
                <w:sz w:val="18"/>
                <w:szCs w:val="18"/>
              </w:rPr>
            </w:pPr>
            <w:r>
              <w:rPr>
                <w:sz w:val="18"/>
                <w:szCs w:val="18"/>
              </w:rPr>
              <w:t>固态锂电池研发商</w:t>
            </w:r>
          </w:p>
        </w:tc>
        <w:tc>
          <w:tcPr>
            <w:tcW w:w="1709" w:type="dxa"/>
            <w:vAlign w:val="top"/>
            <w:tcBorders>
              <w:left w:val="single" w:color="BFBFBF" w:sz="2" w:space="0"/>
              <w:right w:val="single" w:color="BFBFBF" w:sz="2" w:space="0"/>
            </w:tcBorders>
          </w:tcPr>
          <w:p>
            <w:pPr>
              <w:pStyle w:val="TableText"/>
              <w:ind w:left="765"/>
              <w:spacing w:before="140" w:line="170" w:lineRule="auto"/>
              <w:rPr>
                <w:sz w:val="18"/>
                <w:szCs w:val="18"/>
              </w:rPr>
            </w:pPr>
            <w:r>
              <w:rPr>
                <w:sz w:val="18"/>
                <w:szCs w:val="18"/>
                <w:spacing w:val="-7"/>
              </w:rPr>
              <w:t>15</w:t>
            </w:r>
          </w:p>
        </w:tc>
        <w:tc>
          <w:tcPr>
            <w:tcW w:w="1079" w:type="dxa"/>
            <w:vAlign w:val="top"/>
            <w:tcBorders>
              <w:left w:val="single" w:color="BFBFBF" w:sz="2" w:space="0"/>
              <w:right w:val="single" w:color="BFBFBF" w:sz="2" w:space="0"/>
            </w:tcBorders>
          </w:tcPr>
          <w:p>
            <w:pPr>
              <w:pStyle w:val="TableText"/>
              <w:ind w:left="493"/>
              <w:spacing w:before="140" w:line="170" w:lineRule="auto"/>
              <w:rPr>
                <w:sz w:val="18"/>
                <w:szCs w:val="18"/>
              </w:rPr>
            </w:pPr>
            <w:r>
              <w:rPr>
                <w:sz w:val="18"/>
                <w:szCs w:val="18"/>
              </w:rPr>
              <w:t>D</w:t>
            </w:r>
          </w:p>
        </w:tc>
        <w:tc>
          <w:tcPr>
            <w:tcW w:w="1538" w:type="dxa"/>
            <w:vAlign w:val="top"/>
            <w:tcBorders>
              <w:left w:val="single" w:color="BFBFBF" w:sz="2" w:space="0"/>
              <w:right w:val="single" w:color="BFBFBF" w:sz="2" w:space="0"/>
            </w:tcBorders>
          </w:tcPr>
          <w:p>
            <w:pPr>
              <w:pStyle w:val="TableText"/>
              <w:ind w:left="499"/>
              <w:spacing w:before="120" w:line="177" w:lineRule="auto"/>
              <w:rPr>
                <w:sz w:val="18"/>
                <w:szCs w:val="18"/>
              </w:rPr>
            </w:pPr>
            <w:r>
              <w:rPr>
                <w:sz w:val="18"/>
                <w:szCs w:val="18"/>
                <w:spacing w:val="-1"/>
              </w:rPr>
              <w:t>江苏省</w:t>
            </w:r>
          </w:p>
        </w:tc>
        <w:tc>
          <w:tcPr>
            <w:tcW w:w="1155" w:type="dxa"/>
            <w:vAlign w:val="top"/>
            <w:tcBorders>
              <w:left w:val="single" w:color="BFBFBF" w:sz="2" w:space="0"/>
            </w:tcBorders>
          </w:tcPr>
          <w:p>
            <w:pPr>
              <w:pStyle w:val="TableText"/>
              <w:ind w:left="248"/>
              <w:spacing w:before="137" w:line="172" w:lineRule="auto"/>
              <w:rPr>
                <w:sz w:val="18"/>
                <w:szCs w:val="18"/>
              </w:rPr>
            </w:pPr>
            <w:r>
              <w:rPr>
                <w:sz w:val="18"/>
                <w:szCs w:val="18"/>
                <w:spacing w:val="-7"/>
              </w:rPr>
              <w:t>2022-11</w:t>
            </w:r>
          </w:p>
        </w:tc>
      </w:tr>
      <w:tr>
        <w:trPr>
          <w:trHeight w:val="448" w:hRule="atLeast"/>
        </w:trPr>
        <w:tc>
          <w:tcPr>
            <w:shd w:val="clear" w:fill="F1F1F1"/>
            <w:tcW w:w="1709" w:type="dxa"/>
            <w:vAlign w:val="top"/>
            <w:tcBorders>
              <w:right w:val="single" w:color="BFBFBF" w:sz="2" w:space="0"/>
            </w:tcBorders>
          </w:tcPr>
          <w:p>
            <w:pPr>
              <w:pStyle w:val="TableText"/>
              <w:ind w:left="581"/>
              <w:spacing w:before="153" w:line="177" w:lineRule="auto"/>
              <w:rPr>
                <w:sz w:val="18"/>
                <w:szCs w:val="18"/>
              </w:rPr>
            </w:pPr>
            <w:r>
              <w:rPr>
                <w:sz w:val="18"/>
                <w:szCs w:val="18"/>
                <w:b/>
                <w:bCs/>
                <w:color w:val="00338D"/>
                <w:spacing w:val="2"/>
              </w:rPr>
              <w:t>锦源晟</w:t>
            </w:r>
          </w:p>
        </w:tc>
        <w:tc>
          <w:tcPr>
            <w:shd w:val="clear" w:fill="F1F1F1"/>
            <w:tcW w:w="2450" w:type="dxa"/>
            <w:vAlign w:val="top"/>
            <w:tcBorders>
              <w:left w:val="single" w:color="BFBFBF" w:sz="2" w:space="0"/>
              <w:right w:val="single" w:color="BFBFBF" w:sz="2" w:space="0"/>
            </w:tcBorders>
          </w:tcPr>
          <w:p>
            <w:pPr>
              <w:pStyle w:val="TableText"/>
              <w:ind w:left="954" w:right="130" w:hanging="812"/>
              <w:spacing w:before="37" w:line="200" w:lineRule="exact"/>
              <w:rPr>
                <w:sz w:val="18"/>
                <w:szCs w:val="18"/>
              </w:rPr>
            </w:pPr>
            <w:r>
              <w:rPr>
                <w:sz w:val="18"/>
                <w:szCs w:val="18"/>
                <w:spacing w:val="1"/>
                <w:position w:val="1"/>
              </w:rPr>
              <w:t>锂离子电池正极前驱体材料</w:t>
            </w:r>
            <w:r>
              <w:rPr>
                <w:sz w:val="18"/>
                <w:szCs w:val="18"/>
                <w:position w:val="1"/>
              </w:rPr>
              <w:t xml:space="preserve"> </w:t>
            </w:r>
            <w:r>
              <w:rPr>
                <w:sz w:val="18"/>
                <w:szCs w:val="18"/>
                <w:spacing w:val="-1"/>
                <w:position w:val="-2"/>
              </w:rPr>
              <w:t>制造商</w:t>
            </w:r>
          </w:p>
        </w:tc>
        <w:tc>
          <w:tcPr>
            <w:shd w:val="clear" w:fill="F1F1F1"/>
            <w:tcW w:w="1709" w:type="dxa"/>
            <w:vAlign w:val="top"/>
            <w:tcBorders>
              <w:left w:val="single" w:color="BFBFBF" w:sz="2" w:space="0"/>
              <w:right w:val="single" w:color="BFBFBF" w:sz="2" w:space="0"/>
            </w:tcBorders>
          </w:tcPr>
          <w:p>
            <w:pPr>
              <w:pStyle w:val="TableText"/>
              <w:ind w:left="764"/>
              <w:spacing w:before="170" w:line="172" w:lineRule="auto"/>
              <w:rPr>
                <w:sz w:val="18"/>
                <w:szCs w:val="18"/>
              </w:rPr>
            </w:pPr>
            <w:r>
              <w:rPr>
                <w:sz w:val="18"/>
                <w:szCs w:val="18"/>
                <w:spacing w:val="-7"/>
              </w:rPr>
              <w:t>10</w:t>
            </w:r>
          </w:p>
        </w:tc>
        <w:tc>
          <w:tcPr>
            <w:shd w:val="clear" w:fill="F1F1F1"/>
            <w:tcW w:w="1079" w:type="dxa"/>
            <w:vAlign w:val="top"/>
            <w:tcBorders>
              <w:left w:val="single" w:color="BFBFBF" w:sz="2" w:space="0"/>
              <w:right w:val="single" w:color="BFBFBF" w:sz="2" w:space="0"/>
            </w:tcBorders>
          </w:tcPr>
          <w:p>
            <w:pPr>
              <w:pStyle w:val="TableText"/>
              <w:ind w:left="493"/>
              <w:spacing w:before="173" w:line="170" w:lineRule="auto"/>
              <w:rPr>
                <w:sz w:val="18"/>
                <w:szCs w:val="18"/>
              </w:rPr>
            </w:pPr>
            <w:r>
              <w:rPr>
                <w:sz w:val="18"/>
                <w:szCs w:val="18"/>
              </w:rPr>
              <w:t>B</w:t>
            </w:r>
          </w:p>
        </w:tc>
        <w:tc>
          <w:tcPr>
            <w:shd w:val="clear" w:fill="F1F1F1"/>
            <w:tcW w:w="1538" w:type="dxa"/>
            <w:vAlign w:val="top"/>
            <w:tcBorders>
              <w:left w:val="single" w:color="BFBFBF" w:sz="2" w:space="0"/>
              <w:right w:val="single" w:color="BFBFBF" w:sz="2" w:space="0"/>
            </w:tcBorders>
          </w:tcPr>
          <w:p>
            <w:pPr>
              <w:pStyle w:val="TableText"/>
              <w:ind w:left="500"/>
              <w:spacing w:before="152" w:line="178" w:lineRule="auto"/>
              <w:rPr>
                <w:sz w:val="18"/>
                <w:szCs w:val="18"/>
              </w:rPr>
            </w:pPr>
            <w:r>
              <w:rPr>
                <w:sz w:val="18"/>
                <w:szCs w:val="18"/>
                <w:spacing w:val="-1"/>
              </w:rPr>
              <w:t>上海市</w:t>
            </w:r>
          </w:p>
        </w:tc>
        <w:tc>
          <w:tcPr>
            <w:shd w:val="clear" w:fill="F1F1F1"/>
            <w:tcW w:w="1155" w:type="dxa"/>
            <w:vAlign w:val="top"/>
            <w:tcBorders>
              <w:left w:val="single" w:color="BFBFBF" w:sz="2" w:space="0"/>
            </w:tcBorders>
          </w:tcPr>
          <w:p>
            <w:pPr>
              <w:pStyle w:val="TableText"/>
              <w:ind w:left="248"/>
              <w:spacing w:before="170" w:line="172" w:lineRule="auto"/>
              <w:rPr>
                <w:sz w:val="18"/>
                <w:szCs w:val="18"/>
              </w:rPr>
            </w:pPr>
            <w:r>
              <w:rPr>
                <w:sz w:val="18"/>
                <w:szCs w:val="18"/>
                <w:spacing w:val="-7"/>
              </w:rPr>
              <w:t>2022-08</w:t>
            </w:r>
          </w:p>
        </w:tc>
      </w:tr>
      <w:tr>
        <w:trPr>
          <w:trHeight w:val="388" w:hRule="atLeast"/>
        </w:trPr>
        <w:tc>
          <w:tcPr>
            <w:tcW w:w="1709" w:type="dxa"/>
            <w:vAlign w:val="top"/>
            <w:tcBorders>
              <w:right w:val="single" w:color="BFBFBF" w:sz="2" w:space="0"/>
            </w:tcBorders>
          </w:tcPr>
          <w:p>
            <w:pPr>
              <w:pStyle w:val="TableText"/>
              <w:ind w:left="508"/>
              <w:spacing w:before="124" w:line="179" w:lineRule="auto"/>
              <w:rPr>
                <w:sz w:val="18"/>
                <w:szCs w:val="18"/>
              </w:rPr>
            </w:pPr>
            <w:r>
              <w:rPr>
                <w:sz w:val="18"/>
                <w:szCs w:val="18"/>
                <w:b/>
                <w:bCs/>
                <w:color w:val="00338D"/>
                <w:spacing w:val="-2"/>
              </w:rPr>
              <w:t>巨湾技研</w:t>
            </w:r>
          </w:p>
        </w:tc>
        <w:tc>
          <w:tcPr>
            <w:tcW w:w="2450" w:type="dxa"/>
            <w:vAlign w:val="top"/>
            <w:tcBorders>
              <w:left w:val="single" w:color="BFBFBF" w:sz="2" w:space="0"/>
              <w:right w:val="single" w:color="BFBFBF" w:sz="2" w:space="0"/>
            </w:tcBorders>
          </w:tcPr>
          <w:p>
            <w:pPr>
              <w:pStyle w:val="TableText"/>
              <w:ind w:left="605"/>
              <w:spacing w:before="126" w:line="178" w:lineRule="auto"/>
              <w:rPr>
                <w:sz w:val="18"/>
                <w:szCs w:val="18"/>
              </w:rPr>
            </w:pPr>
            <w:r>
              <w:rPr>
                <w:sz w:val="18"/>
                <w:szCs w:val="18"/>
                <w:spacing w:val="-1"/>
              </w:rPr>
              <w:t>电池研发生产商</w:t>
            </w:r>
          </w:p>
        </w:tc>
        <w:tc>
          <w:tcPr>
            <w:tcW w:w="1709" w:type="dxa"/>
            <w:vAlign w:val="top"/>
            <w:tcBorders>
              <w:left w:val="single" w:color="BFBFBF" w:sz="2" w:space="0"/>
              <w:right w:val="single" w:color="BFBFBF" w:sz="2" w:space="0"/>
            </w:tcBorders>
          </w:tcPr>
          <w:p>
            <w:pPr>
              <w:pStyle w:val="TableText"/>
              <w:ind w:left="764"/>
              <w:spacing w:before="143" w:line="172" w:lineRule="auto"/>
              <w:rPr>
                <w:sz w:val="18"/>
                <w:szCs w:val="18"/>
              </w:rPr>
            </w:pPr>
            <w:r>
              <w:rPr>
                <w:sz w:val="18"/>
                <w:szCs w:val="18"/>
                <w:spacing w:val="-7"/>
              </w:rPr>
              <w:t>10</w:t>
            </w:r>
          </w:p>
        </w:tc>
        <w:tc>
          <w:tcPr>
            <w:tcW w:w="1079" w:type="dxa"/>
            <w:vAlign w:val="top"/>
            <w:tcBorders>
              <w:left w:val="single" w:color="BFBFBF" w:sz="2" w:space="0"/>
              <w:right w:val="single" w:color="BFBFBF" w:sz="2" w:space="0"/>
            </w:tcBorders>
          </w:tcPr>
          <w:p>
            <w:pPr>
              <w:pStyle w:val="TableText"/>
              <w:ind w:left="480"/>
              <w:spacing w:before="146" w:line="170" w:lineRule="auto"/>
              <w:rPr>
                <w:sz w:val="18"/>
                <w:szCs w:val="18"/>
              </w:rPr>
            </w:pPr>
            <w:r>
              <w:rPr>
                <w:sz w:val="18"/>
                <w:szCs w:val="18"/>
              </w:rPr>
              <w:t>A</w:t>
            </w:r>
          </w:p>
        </w:tc>
        <w:tc>
          <w:tcPr>
            <w:tcW w:w="1538" w:type="dxa"/>
            <w:vAlign w:val="top"/>
            <w:tcBorders>
              <w:left w:val="single" w:color="BFBFBF" w:sz="2" w:space="0"/>
              <w:right w:val="single" w:color="BFBFBF" w:sz="2" w:space="0"/>
            </w:tcBorders>
          </w:tcPr>
          <w:p>
            <w:pPr>
              <w:pStyle w:val="TableText"/>
              <w:ind w:left="498"/>
              <w:spacing w:before="126" w:line="180" w:lineRule="auto"/>
              <w:rPr>
                <w:sz w:val="18"/>
                <w:szCs w:val="18"/>
              </w:rPr>
            </w:pPr>
            <w:r>
              <w:rPr>
                <w:sz w:val="18"/>
                <w:szCs w:val="18"/>
                <w:spacing w:val="-1"/>
              </w:rPr>
              <w:t>广东省</w:t>
            </w:r>
          </w:p>
        </w:tc>
        <w:tc>
          <w:tcPr>
            <w:tcW w:w="1155" w:type="dxa"/>
            <w:vAlign w:val="top"/>
            <w:tcBorders>
              <w:left w:val="single" w:color="BFBFBF" w:sz="2" w:space="0"/>
            </w:tcBorders>
          </w:tcPr>
          <w:p>
            <w:pPr>
              <w:pStyle w:val="TableText"/>
              <w:ind w:left="248"/>
              <w:spacing w:before="143" w:line="172" w:lineRule="auto"/>
              <w:rPr>
                <w:sz w:val="18"/>
                <w:szCs w:val="18"/>
              </w:rPr>
            </w:pPr>
            <w:r>
              <w:rPr>
                <w:sz w:val="18"/>
                <w:szCs w:val="18"/>
                <w:spacing w:val="-7"/>
              </w:rPr>
              <w:t>2022-04</w:t>
            </w:r>
          </w:p>
        </w:tc>
      </w:tr>
      <w:tr>
        <w:trPr>
          <w:trHeight w:val="402" w:hRule="atLeast"/>
        </w:trPr>
        <w:tc>
          <w:tcPr>
            <w:shd w:val="clear" w:fill="F1F1F1"/>
            <w:tcW w:w="1709" w:type="dxa"/>
            <w:vAlign w:val="top"/>
            <w:tcBorders>
              <w:right w:val="single" w:color="BFBFBF" w:sz="2" w:space="0"/>
              <w:bottom w:val="single" w:color="00338D" w:sz="12" w:space="0"/>
            </w:tcBorders>
          </w:tcPr>
          <w:p>
            <w:pPr>
              <w:pStyle w:val="TableText"/>
              <w:ind w:left="485"/>
              <w:spacing w:before="129" w:line="177" w:lineRule="auto"/>
              <w:rPr>
                <w:sz w:val="18"/>
                <w:szCs w:val="18"/>
              </w:rPr>
            </w:pPr>
            <w:r>
              <w:rPr>
                <w:sz w:val="18"/>
                <w:szCs w:val="18"/>
                <w:b/>
                <w:bCs/>
                <w:color w:val="00338D"/>
                <w:spacing w:val="4"/>
              </w:rPr>
              <w:t>英发睿能</w:t>
            </w:r>
          </w:p>
        </w:tc>
        <w:tc>
          <w:tcPr>
            <w:shd w:val="clear" w:fill="F1F1F1"/>
            <w:tcW w:w="2450" w:type="dxa"/>
            <w:vAlign w:val="top"/>
            <w:tcBorders>
              <w:left w:val="single" w:color="BFBFBF" w:sz="2" w:space="0"/>
              <w:right w:val="single" w:color="BFBFBF" w:sz="2" w:space="0"/>
              <w:bottom w:val="single" w:color="00338D" w:sz="12" w:space="0"/>
            </w:tcBorders>
          </w:tcPr>
          <w:p>
            <w:pPr>
              <w:pStyle w:val="TableText"/>
              <w:ind w:left="502"/>
              <w:spacing w:before="128" w:line="178" w:lineRule="auto"/>
              <w:rPr>
                <w:sz w:val="18"/>
                <w:szCs w:val="18"/>
              </w:rPr>
            </w:pPr>
            <w:r>
              <w:rPr>
                <w:sz w:val="18"/>
                <w:szCs w:val="18"/>
                <w:spacing w:val="1"/>
              </w:rPr>
              <w:t>太阳能电池研发商</w:t>
            </w:r>
          </w:p>
        </w:tc>
        <w:tc>
          <w:tcPr>
            <w:shd w:val="clear" w:fill="F1F1F1"/>
            <w:tcW w:w="1709" w:type="dxa"/>
            <w:vAlign w:val="top"/>
            <w:tcBorders>
              <w:left w:val="single" w:color="BFBFBF" w:sz="2" w:space="0"/>
              <w:right w:val="single" w:color="BFBFBF" w:sz="2" w:space="0"/>
              <w:bottom w:val="single" w:color="00338D" w:sz="12" w:space="0"/>
            </w:tcBorders>
          </w:tcPr>
          <w:p>
            <w:pPr>
              <w:pStyle w:val="TableText"/>
              <w:ind w:left="765"/>
              <w:spacing w:before="145" w:line="172" w:lineRule="auto"/>
              <w:rPr>
                <w:sz w:val="18"/>
                <w:szCs w:val="18"/>
              </w:rPr>
            </w:pPr>
            <w:r>
              <w:rPr>
                <w:sz w:val="18"/>
                <w:szCs w:val="18"/>
                <w:spacing w:val="-7"/>
              </w:rPr>
              <w:t>10</w:t>
            </w:r>
          </w:p>
        </w:tc>
        <w:tc>
          <w:tcPr>
            <w:shd w:val="clear" w:fill="F1F1F1"/>
            <w:tcW w:w="1079" w:type="dxa"/>
            <w:vAlign w:val="top"/>
            <w:tcBorders>
              <w:left w:val="single" w:color="BFBFBF" w:sz="2" w:space="0"/>
              <w:right w:val="single" w:color="BFBFBF" w:sz="2" w:space="0"/>
              <w:bottom w:val="single" w:color="00338D" w:sz="12" w:space="0"/>
            </w:tcBorders>
          </w:tcPr>
          <w:p>
            <w:pPr>
              <w:pStyle w:val="TableText"/>
              <w:ind w:left="229"/>
              <w:spacing w:before="145" w:line="172" w:lineRule="auto"/>
              <w:rPr>
                <w:sz w:val="18"/>
                <w:szCs w:val="18"/>
              </w:rPr>
            </w:pPr>
            <w:r>
              <w:rPr>
                <w:sz w:val="18"/>
                <w:szCs w:val="18"/>
                <w:spacing w:val="-4"/>
              </w:rPr>
              <w:t>Pre-IPO</w:t>
            </w:r>
          </w:p>
        </w:tc>
        <w:tc>
          <w:tcPr>
            <w:shd w:val="clear" w:fill="F1F1F1"/>
            <w:tcW w:w="1538" w:type="dxa"/>
            <w:vAlign w:val="top"/>
            <w:tcBorders>
              <w:left w:val="single" w:color="BFBFBF" w:sz="2" w:space="0"/>
              <w:right w:val="single" w:color="BFBFBF" w:sz="2" w:space="0"/>
              <w:bottom w:val="single" w:color="00338D" w:sz="12" w:space="0"/>
            </w:tcBorders>
          </w:tcPr>
          <w:p>
            <w:pPr>
              <w:pStyle w:val="TableText"/>
              <w:ind w:left="503"/>
              <w:spacing w:before="129" w:line="177" w:lineRule="auto"/>
              <w:rPr>
                <w:sz w:val="18"/>
                <w:szCs w:val="18"/>
              </w:rPr>
            </w:pPr>
            <w:r>
              <w:rPr>
                <w:sz w:val="18"/>
                <w:szCs w:val="18"/>
                <w:spacing w:val="-2"/>
              </w:rPr>
              <w:t>安徽省</w:t>
            </w:r>
          </w:p>
        </w:tc>
        <w:tc>
          <w:tcPr>
            <w:shd w:val="clear" w:fill="F1F1F1"/>
            <w:tcW w:w="1155" w:type="dxa"/>
            <w:vAlign w:val="top"/>
            <w:tcBorders>
              <w:left w:val="single" w:color="BFBFBF" w:sz="2" w:space="0"/>
              <w:bottom w:val="single" w:color="00338D" w:sz="12" w:space="0"/>
            </w:tcBorders>
          </w:tcPr>
          <w:p>
            <w:pPr>
              <w:pStyle w:val="TableText"/>
              <w:ind w:left="248"/>
              <w:spacing w:before="145" w:line="172" w:lineRule="auto"/>
              <w:rPr>
                <w:sz w:val="18"/>
                <w:szCs w:val="18"/>
              </w:rPr>
            </w:pPr>
            <w:r>
              <w:rPr>
                <w:sz w:val="18"/>
                <w:szCs w:val="18"/>
                <w:spacing w:val="-7"/>
              </w:rPr>
              <w:t>2022-12</w:t>
            </w:r>
          </w:p>
        </w:tc>
      </w:tr>
    </w:tbl>
    <w:p>
      <w:pPr>
        <w:ind w:left="38"/>
        <w:spacing w:before="197" w:line="185"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7"/>
        </w:rPr>
        <w:t>数据来源：投中数据，毕马威分析</w:t>
      </w:r>
    </w:p>
    <w:p>
      <w:pPr>
        <w:pStyle w:val="BodyText"/>
        <w:spacing w:line="375" w:lineRule="auto"/>
        <w:rPr/>
      </w:pPr>
      <w:r>
        <w:pict>
          <v:shape id="_x0000_s1686" style="position:absolute;margin-left:1.73664pt;margin-top:10.6271pt;mso-position-vertical-relative:text;mso-position-horizontal-relative:text;width:81.3pt;height:0.5pt;z-index:253820928;" filled="false" strokecolor="#000000" strokeweight="0.50pt" coordsize="1626,10" coordorigin="0,0" path="m0,5l1625,5e">
            <v:stroke joinstyle="miter"/>
          </v:shape>
        </w:pict>
      </w:r>
      <w:r/>
    </w:p>
    <w:p>
      <w:pPr>
        <w:ind w:left="35"/>
        <w:spacing w:before="56" w:line="191"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4"/>
          <w:position w:val="4"/>
        </w:rPr>
        <w:t>71</w:t>
      </w:r>
      <w:r>
        <w:rPr>
          <w:rFonts w:ascii="Microsoft YaHei" w:hAnsi="Microsoft YaHei" w:eastAsia="Microsoft YaHei" w:cs="Microsoft YaHei"/>
          <w:sz w:val="9"/>
          <w:szCs w:val="9"/>
          <w:spacing w:val="15"/>
          <w:w w:val="101"/>
          <w:position w:val="4"/>
        </w:rPr>
        <w:t xml:space="preserve"> </w:t>
      </w:r>
      <w:r>
        <w:rPr>
          <w:rFonts w:ascii="Microsoft YaHei" w:hAnsi="Microsoft YaHei" w:eastAsia="Microsoft YaHei" w:cs="Microsoft YaHei"/>
          <w:sz w:val="13"/>
          <w:szCs w:val="13"/>
          <w:spacing w:val="4"/>
        </w:rPr>
        <w:t>欣旺达拟投80亿建设动力电池及储能电池生产基地，腾讯网，</w:t>
      </w:r>
      <w:r>
        <w:rPr>
          <w:rFonts w:ascii="Microsoft YaHei" w:hAnsi="Microsoft YaHei" w:eastAsia="Microsoft YaHei" w:cs="Microsoft YaHei"/>
          <w:sz w:val="13"/>
          <w:szCs w:val="13"/>
          <w:spacing w:val="12"/>
        </w:rPr>
        <w:t xml:space="preserve">   </w:t>
      </w:r>
      <w:r>
        <w:rPr>
          <w:rFonts w:ascii="Microsoft YaHei" w:hAnsi="Microsoft YaHei" w:eastAsia="Microsoft YaHei" w:cs="Microsoft YaHei"/>
          <w:sz w:val="13"/>
          <w:szCs w:val="13"/>
          <w:spacing w:val="4"/>
        </w:rPr>
        <w:t>2022年3月17日，</w:t>
      </w:r>
      <w:r>
        <w:rPr>
          <w:rFonts w:ascii="Microsoft YaHei" w:hAnsi="Microsoft YaHei" w:eastAsia="Microsoft YaHei" w:cs="Microsoft YaHei"/>
          <w:sz w:val="13"/>
          <w:szCs w:val="13"/>
          <w:spacing w:val="-8"/>
        </w:rPr>
        <w:t xml:space="preserve"> </w:t>
      </w:r>
      <w:hyperlink w:history="true" r:id="rId388">
        <w:r>
          <w:rPr>
            <w:rFonts w:ascii="Microsoft YaHei" w:hAnsi="Microsoft YaHei" w:eastAsia="Microsoft YaHei" w:cs="Microsoft YaHei"/>
            <w:sz w:val="13"/>
            <w:szCs w:val="13"/>
          </w:rPr>
          <w:t>https</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new</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qq</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com</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rain</w:t>
        </w:r>
        <w:r>
          <w:rPr>
            <w:rFonts w:ascii="Microsoft YaHei" w:hAnsi="Microsoft YaHei" w:eastAsia="Microsoft YaHei" w:cs="Microsoft YaHei"/>
            <w:sz w:val="13"/>
            <w:szCs w:val="13"/>
            <w:spacing w:val="4"/>
          </w:rPr>
          <w:t>/a/20220318A0</w:t>
        </w:r>
        <w:r>
          <w:rPr>
            <w:rFonts w:ascii="Microsoft YaHei" w:hAnsi="Microsoft YaHei" w:eastAsia="Microsoft YaHei" w:cs="Microsoft YaHei"/>
            <w:sz w:val="13"/>
            <w:szCs w:val="13"/>
          </w:rPr>
          <w:t>BS</w:t>
        </w:r>
        <w:r>
          <w:rPr>
            <w:rFonts w:ascii="Microsoft YaHei" w:hAnsi="Microsoft YaHei" w:eastAsia="Microsoft YaHei" w:cs="Microsoft YaHei"/>
            <w:sz w:val="13"/>
            <w:szCs w:val="13"/>
            <w:spacing w:val="4"/>
          </w:rPr>
          <w:t>0</w:t>
        </w:r>
        <w:r>
          <w:rPr>
            <w:rFonts w:ascii="Microsoft YaHei" w:hAnsi="Microsoft YaHei" w:eastAsia="Microsoft YaHei" w:cs="Microsoft YaHei"/>
            <w:sz w:val="13"/>
            <w:szCs w:val="13"/>
            <w:spacing w:val="3"/>
          </w:rPr>
          <w:t>F00</w:t>
        </w:r>
      </w:hyperlink>
    </w:p>
    <w:p>
      <w:pPr>
        <w:ind w:left="534" w:right="1241" w:hanging="411"/>
        <w:spacing w:before="194"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1271" w:header="0" w:footer="0" w:gutter="0"/>
        </w:sectPr>
        <w:rPr>
          <w:rFonts w:ascii="Microsoft YaHei" w:hAnsi="Microsoft YaHei" w:eastAsia="Microsoft YaHei" w:cs="Microsoft YaHei"/>
          <w:sz w:val="11"/>
          <w:szCs w:val="11"/>
        </w:rPr>
      </w:pPr>
    </w:p>
    <w:p>
      <w:pPr>
        <w:ind w:left="967"/>
        <w:spacing w:before="314" w:line="193" w:lineRule="auto"/>
        <w:rPr>
          <w:rFonts w:ascii="Microsoft YaHei" w:hAnsi="Microsoft YaHei" w:eastAsia="Microsoft YaHei" w:cs="Microsoft YaHei"/>
          <w:sz w:val="18"/>
          <w:szCs w:val="18"/>
        </w:rPr>
      </w:pPr>
      <w:r>
        <mc:AlternateContent xmlns:mc="http://schemas.openxmlformats.org/markup-compatibility/2006">
          <mc:Choice Requires="wps">
            <w:drawing>
              <wp:anchor distT="0" distB="0" distL="0" distR="0" simplePos="0" relativeHeight="253855744" behindDoc="1" locked="0" layoutInCell="0" allowOverlap="1">
                <wp:simplePos x="0" y="0"/>
                <wp:positionH relativeFrom="page">
                  <wp:posOffset>7772272</wp:posOffset>
                </wp:positionH>
                <wp:positionV relativeFrom="page">
                  <wp:posOffset>0</wp:posOffset>
                </wp:positionV>
                <wp:extent cx="3175" cy="10909300"/>
                <wp:effectExtent l="0" t="0" r="0" b="0"/>
                <wp:wrapNone/>
                <wp:docPr id="822" name="Rect 822"/>
                <wp:cNvGraphicFramePr/>
                <a:graphic>
                  <a:graphicData uri="http://schemas.microsoft.com/office/word/2010/wordprocessingShape">
                    <wps:wsp>
                      <wps:cNvPr id="822" name="Rect 822"/>
                      <wps:cNvSpPr/>
                      <wps:spPr>
                        <a:xfrm>
                          <a:off x="7772272" y="0"/>
                          <a:ext cx="3175" cy="109093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688" style="position:absolute;margin-left:611.99pt;margin-top:0pt;mso-position-vertical-relative:page;mso-position-horizontal-relative:page;width:0.25pt;height:859pt;z-index:-249460736;" o:allowincell="f" fillcolor="#000000" filled="true" stroked="false"/>
            </w:pict>
          </mc:Fallback>
        </mc:AlternateContent>
      </w:r>
      <w:r>
        <w:pict>
          <v:shape id="_x0000_s1690" style="position:absolute;margin-left:546.96pt;margin-top:15.9793pt;mso-position-vertical-relative:text;mso-position-horizontal-relative:text;width:0.5pt;height:10.25pt;z-index:-249458688;" filled="false" strokecolor="#A8A8A8" strokeweight="0.50pt" coordsize="10,205" coordorigin="0,0" path="m5,0l5,205e">
            <v:stroke joinstyle="miter"/>
          </v:shape>
        </w:pict>
      </w:r>
      <w:r>
        <w:drawing>
          <wp:anchor distT="0" distB="0" distL="0" distR="0" simplePos="0" relativeHeight="253858816" behindDoc="1" locked="0" layoutInCell="1" allowOverlap="1">
            <wp:simplePos x="0" y="0"/>
            <wp:positionH relativeFrom="column">
              <wp:posOffset>0</wp:posOffset>
            </wp:positionH>
            <wp:positionV relativeFrom="paragraph">
              <wp:posOffset>-254388</wp:posOffset>
            </wp:positionV>
            <wp:extent cx="7775447" cy="10908789"/>
            <wp:effectExtent l="0" t="0" r="0" b="0"/>
            <wp:wrapNone/>
            <wp:docPr id="824" name="IM 824"/>
            <wp:cNvGraphicFramePr/>
            <a:graphic>
              <a:graphicData uri="http://schemas.openxmlformats.org/drawingml/2006/picture">
                <pic:pic>
                  <pic:nvPicPr>
                    <pic:cNvPr id="824" name="IM 824"/>
                    <pic:cNvPicPr/>
                  </pic:nvPicPr>
                  <pic:blipFill>
                    <a:blip r:embed="rId389"/>
                    <a:stretch>
                      <a:fillRect/>
                    </a:stretch>
                  </pic:blipFill>
                  <pic:spPr>
                    <a:xfrm rot="0">
                      <a:off x="0" y="0"/>
                      <a:ext cx="7775447" cy="10908789"/>
                    </a:xfrm>
                    <a:prstGeom prst="rect">
                      <a:avLst/>
                    </a:prstGeom>
                  </pic:spPr>
                </pic:pic>
              </a:graphicData>
            </a:graphic>
          </wp:anchor>
        </w:drawing>
      </w:r>
      <w:r>
        <w:rPr>
          <w:rFonts w:ascii="Microsoft YaHei" w:hAnsi="Microsoft YaHei" w:eastAsia="Microsoft YaHei" w:cs="Microsoft YaHei"/>
          <w:sz w:val="18"/>
          <w:szCs w:val="18"/>
          <w:b/>
          <w:bCs/>
          <w:color w:val="00338D"/>
          <w:spacing w:val="-2"/>
        </w:rPr>
        <w:t>73</w:t>
      </w:r>
      <w:r>
        <w:rPr>
          <w:rFonts w:ascii="Microsoft YaHei" w:hAnsi="Microsoft YaHei" w:eastAsia="Microsoft YaHei" w:cs="Microsoft YaHei"/>
          <w:sz w:val="18"/>
          <w:szCs w:val="18"/>
          <w:b/>
          <w:bCs/>
          <w:color w:val="00338D"/>
          <w:spacing w:val="19"/>
        </w:rPr>
        <w:t xml:space="preserve">  </w:t>
      </w:r>
      <w:r>
        <w:rPr>
          <w:sz w:val="18"/>
          <w:szCs w:val="18"/>
          <w:position w:val="-4"/>
        </w:rPr>
        <w:drawing>
          <wp:inline distT="0" distB="0" distL="0" distR="0">
            <wp:extent cx="6350" cy="130175"/>
            <wp:effectExtent l="0" t="0" r="0" b="0"/>
            <wp:docPr id="826" name="IM 826"/>
            <wp:cNvGraphicFramePr/>
            <a:graphic>
              <a:graphicData uri="http://schemas.openxmlformats.org/drawingml/2006/picture">
                <pic:pic>
                  <pic:nvPicPr>
                    <pic:cNvPr id="826" name="IM 826"/>
                    <pic:cNvPicPr/>
                  </pic:nvPicPr>
                  <pic:blipFill>
                    <a:blip r:embed="rId390"/>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00338D"/>
          <w:spacing w:val="26"/>
        </w:rPr>
        <w:t xml:space="preserve">  </w:t>
      </w:r>
      <w:r>
        <w:rPr>
          <w:rFonts w:ascii="Microsoft YaHei" w:hAnsi="Microsoft YaHei" w:eastAsia="Microsoft YaHei" w:cs="Microsoft YaHei"/>
          <w:sz w:val="18"/>
          <w:szCs w:val="18"/>
          <w:color w:val="00338D"/>
          <w:spacing w:val="-2"/>
        </w:rPr>
        <w:t>新型储能助力能源转型</w:t>
      </w:r>
    </w:p>
    <w:p>
      <w:pPr>
        <w:ind w:left="1275"/>
        <w:spacing w:before="1056" w:line="187" w:lineRule="auto"/>
        <w:outlineLvl w:val="0"/>
        <w:rPr>
          <w:rFonts w:ascii="Trebuchet MS" w:hAnsi="Trebuchet MS" w:eastAsia="Trebuchet MS" w:cs="Trebuchet MS"/>
          <w:sz w:val="332"/>
          <w:szCs w:val="332"/>
        </w:rPr>
      </w:pPr>
      <w:r>
        <w:rPr>
          <w:rFonts w:ascii="Trebuchet MS" w:hAnsi="Trebuchet MS" w:eastAsia="Trebuchet MS" w:cs="Trebuchet MS"/>
          <w:sz w:val="332"/>
          <w:szCs w:val="332"/>
          <w:b/>
          <w:bCs/>
          <w:color w:val="00338D"/>
          <w:spacing w:val="-339"/>
          <w:w w:val="99"/>
        </w:rPr>
        <w:t>05</w:t>
      </w:r>
    </w:p>
    <w:p>
      <w:pPr>
        <w:ind w:left="1260"/>
        <w:spacing w:before="8" w:line="178" w:lineRule="auto"/>
        <w:rPr>
          <w:rFonts w:ascii="Microsoft YaHei" w:hAnsi="Microsoft YaHei" w:eastAsia="Microsoft YaHei" w:cs="Microsoft YaHei"/>
          <w:sz w:val="108"/>
          <w:szCs w:val="108"/>
        </w:rPr>
      </w:pPr>
      <w:r>
        <w:rPr>
          <w:rFonts w:ascii="Microsoft YaHei" w:hAnsi="Microsoft YaHei" w:eastAsia="Microsoft YaHei" w:cs="Microsoft YaHei"/>
          <w:sz w:val="108"/>
          <w:szCs w:val="108"/>
          <w:b/>
          <w:bCs/>
          <w:color w:val="00338D"/>
          <w:spacing w:val="-3"/>
        </w:rPr>
        <w:t>行业未来展望</w:t>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1805" w:right="1241" w:hanging="411"/>
        <w:spacing w:before="47" w:line="172" w:lineRule="auto"/>
        <w:rPr>
          <w:rFonts w:ascii="Microsoft YaHei" w:hAnsi="Microsoft YaHei" w:eastAsia="Microsoft YaHei" w:cs="Microsoft YaHei"/>
          <w:sz w:val="11"/>
          <w:szCs w:val="11"/>
        </w:rPr>
      </w:pPr>
      <w:r>
        <w:pict>
          <v:shape id="_x0000_s1692" style="position:absolute;margin-left:74.4184pt;margin-top:1.36218pt;mso-position-vertical-relative:text;mso-position-horizontal-relative:text;width:476.75pt;height:15.6pt;z-index:-249459712;" filled="false" stroked="false" type="#_x0000_t202">
            <v:fill on="false"/>
            <v:stroke on="false"/>
            <v:path/>
            <v:imagedata o:title=""/>
            <o:lock v:ext="edit" aspectratio="false"/>
            <v:textbox inset="0mm,0mm,0mm,0mm">
              <w:txbxContent>
                <w:p>
                  <w:pPr>
                    <w:ind w:left="20"/>
                    <w:spacing w:before="19" w:line="165"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rPr>
                    <w:t>2023</w:t>
                  </w:r>
                  <w:r>
                    <w:rPr>
                      <w:rFonts w:ascii="Microsoft YaHei" w:hAnsi="Microsoft YaHei" w:eastAsia="Microsoft YaHei" w:cs="Microsoft YaHei"/>
                      <w:sz w:val="11"/>
                      <w:szCs w:val="11"/>
                      <w:color w:val="BFBFBF"/>
                      <w:spacing w:val="5"/>
                    </w:rPr>
                    <w:t xml:space="preserve"> </w:t>
                  </w:r>
                  <w:r>
                    <w:rPr>
                      <w:rFonts w:ascii="Microsoft YaHei" w:hAnsi="Microsoft YaHei" w:eastAsia="Microsoft YaHei" w:cs="Microsoft YaHei"/>
                      <w:sz w:val="11"/>
                      <w:szCs w:val="11"/>
                      <w:color w:val="BFBFBF"/>
                    </w:rPr>
                    <w:t>毕马威华振会计师事务所(                          中国合伙制会计师事务所，毕马威企业咨询  中国)有限公司    中国有限责任公司，毕马威会计师事务所     澳门特别行政区合伙制事务所，及毕马威</w:t>
                  </w:r>
                </w:p>
                <w:p>
                  <w:pPr>
                    <w:ind w:left="318"/>
                    <w:spacing w:line="180"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rPr>
                    <w:t>会计师事务所    香港特别行政区合伙制事务所，均是与英国私营担保有限公司     毕马威国际有限公司相关联的独立成员所全球性组织中的成员。版权所有，不得转载。在中</w:t>
                  </w:r>
                  <w:r>
                    <w:rPr>
                      <w:rFonts w:ascii="Microsoft YaHei" w:hAnsi="Microsoft YaHei" w:eastAsia="Microsoft YaHei" w:cs="Microsoft YaHei"/>
                      <w:sz w:val="11"/>
                      <w:szCs w:val="11"/>
                      <w:color w:val="BFBFBF"/>
                      <w:spacing w:val="-1"/>
                    </w:rPr>
                    <w:t>国印刷。</w:t>
                  </w:r>
                </w:p>
              </w:txbxContent>
            </v:textbox>
          </v:shape>
        </w:pict>
      </w:r>
      <w:r>
        <w:rPr>
          <w:rFonts w:ascii="Microsoft YaHei" w:hAnsi="Microsoft YaHei" w:eastAsia="Microsoft YaHei" w:cs="Microsoft YaHei"/>
          <w:sz w:val="11"/>
          <w:szCs w:val="11"/>
          <w:color w:val="FFFFFF"/>
          <w:spacing w:val="-1"/>
        </w:rPr>
        <w:t>© 2023</w:t>
      </w:r>
      <w:r>
        <w:rPr>
          <w:rFonts w:ascii="Microsoft YaHei" w:hAnsi="Microsoft YaHei" w:eastAsia="Microsoft YaHei" w:cs="Microsoft YaHei"/>
          <w:sz w:val="11"/>
          <w:szCs w:val="11"/>
          <w:color w:val="FFFFFF"/>
          <w:spacing w:val="-6"/>
        </w:rPr>
        <w:t xml:space="preserve"> </w:t>
      </w:r>
      <w:r>
        <w:rPr>
          <w:rFonts w:ascii="Microsoft YaHei" w:hAnsi="Microsoft YaHei" w:eastAsia="Microsoft YaHei" w:cs="Microsoft YaHei"/>
          <w:sz w:val="11"/>
          <w:szCs w:val="11"/>
          <w:color w:val="FFFFFF"/>
          <w:spacing w:val="-1"/>
        </w:rPr>
        <w:t>毕马威华振会计师事务所(特殊普通合伙)</w:t>
      </w:r>
      <w:r>
        <w:rPr>
          <w:rFonts w:ascii="Microsoft YaHei" w:hAnsi="Microsoft YaHei" w:eastAsia="Microsoft YaHei" w:cs="Microsoft YaHei"/>
          <w:sz w:val="11"/>
          <w:szCs w:val="11"/>
          <w:color w:val="FFFFFF"/>
          <w:spacing w:val="-12"/>
        </w:rPr>
        <w:t xml:space="preserve"> </w:t>
      </w:r>
      <w:r>
        <w:rPr>
          <w:rFonts w:ascii="Microsoft YaHei" w:hAnsi="Microsoft YaHei" w:eastAsia="Microsoft YaHei" w:cs="Microsoft YaHei"/>
          <w:sz w:val="11"/>
          <w:szCs w:val="11"/>
          <w:color w:val="FFFFFF"/>
          <w:spacing w:val="-1"/>
        </w:rPr>
        <w:t>— 中国合伙制会计师事务所，毕马威企业咨询</w:t>
      </w:r>
      <w:r>
        <w:rPr>
          <w:rFonts w:ascii="Microsoft YaHei" w:hAnsi="Microsoft YaHei" w:eastAsia="Microsoft YaHei" w:cs="Microsoft YaHei"/>
          <w:sz w:val="11"/>
          <w:szCs w:val="11"/>
          <w:color w:val="FFFFFF"/>
          <w:spacing w:val="-8"/>
        </w:rPr>
        <w:t xml:space="preserve"> </w:t>
      </w:r>
      <w:r>
        <w:rPr>
          <w:rFonts w:ascii="Microsoft YaHei" w:hAnsi="Microsoft YaHei" w:eastAsia="Microsoft YaHei" w:cs="Microsoft YaHei"/>
          <w:sz w:val="11"/>
          <w:szCs w:val="11"/>
          <w:color w:val="FFFFFF"/>
          <w:spacing w:val="-1"/>
        </w:rPr>
        <w:t>(中国)有限公司 — 中国有限责任公司，毕马威会计师事务所</w:t>
      </w:r>
      <w:r>
        <w:rPr>
          <w:rFonts w:ascii="Microsoft YaHei" w:hAnsi="Microsoft YaHei" w:eastAsia="Microsoft YaHei" w:cs="Microsoft YaHei"/>
          <w:sz w:val="11"/>
          <w:szCs w:val="11"/>
          <w:color w:val="FFFFFF"/>
          <w:spacing w:val="-8"/>
        </w:rPr>
        <w:t xml:space="preserve"> </w:t>
      </w:r>
      <w:r>
        <w:rPr>
          <w:rFonts w:ascii="Microsoft YaHei" w:hAnsi="Microsoft YaHei" w:eastAsia="Microsoft YaHei" w:cs="Microsoft YaHei"/>
          <w:sz w:val="11"/>
          <w:szCs w:val="11"/>
          <w:color w:val="FFFFFF"/>
          <w:spacing w:val="-1"/>
        </w:rPr>
        <w:t>— 澳门特别行政区合伙制事务所，</w:t>
      </w:r>
      <w:r>
        <w:rPr>
          <w:rFonts w:ascii="Microsoft YaHei" w:hAnsi="Microsoft YaHei" w:eastAsia="Microsoft YaHei" w:cs="Microsoft YaHei"/>
          <w:sz w:val="11"/>
          <w:szCs w:val="11"/>
          <w:color w:val="FFFFFF"/>
          <w:spacing w:val="-2"/>
        </w:rPr>
        <w:t>及毕马威</w:t>
      </w:r>
      <w:r>
        <w:rPr>
          <w:rFonts w:ascii="Microsoft YaHei" w:hAnsi="Microsoft YaHei" w:eastAsia="Microsoft YaHei" w:cs="Microsoft YaHei"/>
          <w:sz w:val="11"/>
          <w:szCs w:val="11"/>
          <w:color w:val="FFFFFF"/>
        </w:rPr>
        <w:t xml:space="preserve"> </w:t>
      </w:r>
      <w:r>
        <w:rPr>
          <w:rFonts w:ascii="Microsoft YaHei" w:hAnsi="Microsoft YaHei" w:eastAsia="Microsoft YaHei" w:cs="Microsoft YaHei"/>
          <w:sz w:val="11"/>
          <w:szCs w:val="11"/>
          <w:color w:val="FFFFFF"/>
        </w:rPr>
        <w:t>会计师事务所 —</w:t>
      </w:r>
      <w:r>
        <w:rPr>
          <w:rFonts w:ascii="Microsoft YaHei" w:hAnsi="Microsoft YaHei" w:eastAsia="Microsoft YaHei" w:cs="Microsoft YaHei"/>
          <w:sz w:val="11"/>
          <w:szCs w:val="11"/>
          <w:color w:val="FFFFFF"/>
          <w:spacing w:val="-6"/>
        </w:rPr>
        <w:t xml:space="preserve"> </w:t>
      </w:r>
      <w:r>
        <w:rPr>
          <w:rFonts w:ascii="Microsoft YaHei" w:hAnsi="Microsoft YaHei" w:eastAsia="Microsoft YaHei" w:cs="Microsoft YaHei"/>
          <w:sz w:val="11"/>
          <w:szCs w:val="11"/>
          <w:color w:val="FFFFFF"/>
        </w:rPr>
        <w:t>香港特别行政区合伙制事务所，</w:t>
      </w:r>
      <w:r>
        <w:rPr>
          <w:rFonts w:ascii="Microsoft YaHei" w:hAnsi="Microsoft YaHei" w:eastAsia="Microsoft YaHei" w:cs="Microsoft YaHei"/>
          <w:sz w:val="11"/>
          <w:szCs w:val="11"/>
          <w:color w:val="FFFFFF"/>
          <w:spacing w:val="-1"/>
        </w:rPr>
        <w:t>均是与英国私营担保有限公司</w:t>
      </w:r>
      <w:r>
        <w:rPr>
          <w:rFonts w:ascii="Microsoft YaHei" w:hAnsi="Microsoft YaHei" w:eastAsia="Microsoft YaHei" w:cs="Microsoft YaHei"/>
          <w:sz w:val="11"/>
          <w:szCs w:val="11"/>
          <w:color w:val="FFFFFF"/>
          <w:spacing w:val="-13"/>
        </w:rPr>
        <w:t xml:space="preserve"> </w:t>
      </w:r>
      <w:r>
        <w:rPr>
          <w:rFonts w:ascii="Microsoft YaHei" w:hAnsi="Microsoft YaHei" w:eastAsia="Microsoft YaHei" w:cs="Microsoft YaHei"/>
          <w:sz w:val="11"/>
          <w:szCs w:val="11"/>
          <w:color w:val="FFFFFF"/>
          <w:spacing w:val="-1"/>
        </w:rPr>
        <w:t>— 毕马威国际有限公司相关联的独立成员所全球性组织中的成员。版权所有，不得转载。在中国印刷。</w:t>
      </w:r>
    </w:p>
    <w:p>
      <w:pPr>
        <w:spacing w:line="172" w:lineRule="auto"/>
        <w:sectPr>
          <w:pgSz w:w="12245" w:h="17180"/>
          <w:pgMar w:top="400" w:right="0" w:bottom="0" w:left="0" w:header="0" w:footer="0" w:gutter="0"/>
        </w:sectPr>
        <w:rPr>
          <w:rFonts w:ascii="Microsoft YaHei" w:hAnsi="Microsoft YaHei" w:eastAsia="Microsoft YaHei" w:cs="Microsoft YaHei"/>
          <w:sz w:val="11"/>
          <w:szCs w:val="11"/>
        </w:rPr>
      </w:pPr>
    </w:p>
    <w:p>
      <w:pPr>
        <w:ind w:left="7673"/>
        <w:spacing w:before="314" w:line="193" w:lineRule="auto"/>
        <w:outlineLvl w:val="0"/>
        <w:rPr>
          <w:rFonts w:ascii="Microsoft YaHei" w:hAnsi="Microsoft YaHei" w:eastAsia="Microsoft YaHei" w:cs="Microsoft YaHei"/>
          <w:sz w:val="18"/>
          <w:szCs w:val="18"/>
        </w:rPr>
      </w:pPr>
      <w:r>
        <w:pict>
          <v:rect id="_x0000_s1694" style="position:absolute;margin-left:611.99pt;margin-top:0pt;mso-position-vertical-relative:page;mso-position-horizontal-relative:page;width:0.25pt;height:859pt;z-index:253897728;" o:allowincell="f" fillcolor="#000000" filled="true" stroked="false"/>
        </w:pict>
      </w:r>
      <w:r>
        <w:rPr>
          <w:rFonts w:ascii="Microsoft YaHei" w:hAnsi="Microsoft YaHei" w:eastAsia="Microsoft YaHei" w:cs="Microsoft YaHei"/>
          <w:sz w:val="18"/>
          <w:szCs w:val="18"/>
          <w:color w:val="A8A8A8"/>
          <w:spacing w:val="-1"/>
        </w:rPr>
        <w:t>新型储能助力能源转型</w:t>
      </w:r>
      <w:r>
        <w:rPr>
          <w:rFonts w:ascii="Microsoft YaHei" w:hAnsi="Microsoft YaHei" w:eastAsia="Microsoft YaHei" w:cs="Microsoft YaHei"/>
          <w:sz w:val="18"/>
          <w:szCs w:val="18"/>
          <w:color w:val="A8A8A8"/>
          <w:spacing w:val="25"/>
        </w:rPr>
        <w:t xml:space="preserve">  </w:t>
      </w:r>
      <w:r>
        <w:rPr>
          <w:sz w:val="18"/>
          <w:szCs w:val="18"/>
          <w:position w:val="-4"/>
        </w:rPr>
        <w:drawing>
          <wp:inline distT="0" distB="0" distL="0" distR="0">
            <wp:extent cx="6350" cy="130175"/>
            <wp:effectExtent l="0" t="0" r="0" b="0"/>
            <wp:docPr id="828" name="IM 828"/>
            <wp:cNvGraphicFramePr/>
            <a:graphic>
              <a:graphicData uri="http://schemas.openxmlformats.org/drawingml/2006/picture">
                <pic:pic>
                  <pic:nvPicPr>
                    <pic:cNvPr id="828" name="IM 828"/>
                    <pic:cNvPicPr/>
                  </pic:nvPicPr>
                  <pic:blipFill>
                    <a:blip r:embed="rId391"/>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spacing w:val="17"/>
          <w:w w:val="101"/>
        </w:rPr>
        <w:t xml:space="preserve">  </w:t>
      </w:r>
      <w:r>
        <w:rPr>
          <w:rFonts w:ascii="Microsoft YaHei" w:hAnsi="Microsoft YaHei" w:eastAsia="Microsoft YaHei" w:cs="Microsoft YaHei"/>
          <w:sz w:val="18"/>
          <w:szCs w:val="18"/>
          <w:b/>
          <w:bCs/>
          <w:color w:val="A8A8A8"/>
          <w:spacing w:val="-1"/>
        </w:rPr>
        <w:t>74</w:t>
      </w:r>
    </w:p>
    <w:p>
      <w:pPr>
        <w:pStyle w:val="BodyText"/>
        <w:spacing w:line="361" w:lineRule="auto"/>
        <w:rPr/>
      </w:pPr>
      <w:r/>
    </w:p>
    <w:p>
      <w:pPr>
        <w:ind w:left="7"/>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伴随着新能源发展进程加快</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4"/>
        </w:rPr>
        <w:t>，新型储能作为提高</w:t>
      </w:r>
      <w:r>
        <w:rPr>
          <w:rFonts w:ascii="Microsoft YaHei" w:hAnsi="Microsoft YaHei" w:eastAsia="Microsoft YaHei" w:cs="Microsoft YaHei"/>
          <w:sz w:val="21"/>
          <w:szCs w:val="21"/>
          <w:spacing w:val="3"/>
        </w:rPr>
        <w:t>新能源安全高效利用率的解决方案，</w:t>
      </w:r>
    </w:p>
    <w:p>
      <w:pPr>
        <w:ind w:left="7" w:right="2825"/>
        <w:spacing w:before="55" w:line="21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被寄予厚望。自2021年起，以电化学储能为代表的新型储能迎来重要机遇期，在需求、</w:t>
      </w:r>
      <w:r>
        <w:rPr>
          <w:rFonts w:ascii="Microsoft YaHei" w:hAnsi="Microsoft YaHei" w:eastAsia="Microsoft YaHei" w:cs="Microsoft YaHei"/>
          <w:sz w:val="21"/>
          <w:szCs w:val="21"/>
          <w:spacing w:val="15"/>
          <w:w w:val="101"/>
        </w:rPr>
        <w:t xml:space="preserve"> </w:t>
      </w:r>
      <w:r>
        <w:rPr>
          <w:rFonts w:ascii="Microsoft YaHei" w:hAnsi="Microsoft YaHei" w:eastAsia="Microsoft YaHei" w:cs="Microsoft YaHei"/>
          <w:sz w:val="21"/>
          <w:szCs w:val="21"/>
          <w:spacing w:val="3"/>
        </w:rPr>
        <w:t>政策和资本的共同推动下进入发展的快车道。</w:t>
      </w:r>
      <w:r>
        <w:rPr>
          <w:rFonts w:ascii="Microsoft YaHei" w:hAnsi="Microsoft YaHei" w:eastAsia="Microsoft YaHei" w:cs="Microsoft YaHei"/>
          <w:sz w:val="21"/>
          <w:szCs w:val="21"/>
          <w:spacing w:val="-40"/>
        </w:rPr>
        <w:t xml:space="preserve"> </w:t>
      </w:r>
      <w:r>
        <w:rPr>
          <w:rFonts w:ascii="Microsoft YaHei" w:hAnsi="Microsoft YaHei" w:eastAsia="Microsoft YaHei" w:cs="Microsoft YaHei"/>
          <w:sz w:val="21"/>
          <w:szCs w:val="21"/>
          <w:spacing w:val="3"/>
        </w:rPr>
        <w:t>与此同时</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，商业经济</w:t>
      </w:r>
      <w:r>
        <w:rPr>
          <w:rFonts w:ascii="Microsoft YaHei" w:hAnsi="Microsoft YaHei" w:eastAsia="Microsoft YaHei" w:cs="Microsoft YaHei"/>
          <w:sz w:val="21"/>
          <w:szCs w:val="21"/>
          <w:spacing w:val="2"/>
        </w:rPr>
        <w:t>性、应用安全性、</w:t>
      </w:r>
    </w:p>
    <w:p>
      <w:pPr>
        <w:ind w:left="8"/>
        <w:spacing w:line="17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政策和市场竞争机制有待完善等也为行业发展带来了诸多挑战。</w:t>
      </w:r>
    </w:p>
    <w:p>
      <w:pPr>
        <w:ind w:left="8" w:right="2996"/>
        <w:spacing w:before="322" w:line="21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B8F5"/>
          <w:spacing w:val="3"/>
        </w:rPr>
        <w:t>在用户侧</w:t>
      </w:r>
      <w:r>
        <w:rPr>
          <w:rFonts w:ascii="Microsoft YaHei" w:hAnsi="Microsoft YaHei" w:eastAsia="Microsoft YaHei" w:cs="Microsoft YaHei"/>
          <w:sz w:val="21"/>
          <w:szCs w:val="21"/>
          <w:color w:val="00B8F5"/>
          <w:spacing w:val="-28"/>
        </w:rPr>
        <w:t xml:space="preserve"> </w:t>
      </w:r>
      <w:r>
        <w:rPr>
          <w:rFonts w:ascii="Microsoft YaHei" w:hAnsi="Microsoft YaHei" w:eastAsia="Microsoft YaHei" w:cs="Microsoft YaHei"/>
          <w:sz w:val="21"/>
          <w:szCs w:val="21"/>
          <w:color w:val="00B8F5"/>
          <w:spacing w:val="3"/>
        </w:rPr>
        <w:t>，国内工商业和海外家庭储能发展迅速。</w:t>
      </w:r>
      <w:r>
        <w:rPr>
          <w:rFonts w:ascii="Microsoft YaHei" w:hAnsi="Microsoft YaHei" w:eastAsia="Microsoft YaHei" w:cs="Microsoft YaHei"/>
          <w:sz w:val="21"/>
          <w:szCs w:val="21"/>
          <w:spacing w:val="3"/>
        </w:rPr>
        <w:t>就国内工商业而</w:t>
      </w:r>
      <w:r>
        <w:rPr>
          <w:rFonts w:ascii="Microsoft YaHei" w:hAnsi="Microsoft YaHei" w:eastAsia="Microsoft YaHei" w:cs="Microsoft YaHei"/>
          <w:sz w:val="21"/>
          <w:szCs w:val="21"/>
          <w:spacing w:val="2"/>
        </w:rPr>
        <w:t>言</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2"/>
        </w:rPr>
        <w:t>，分时电价和高</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耗能企业用电溢价的推出使得用户侧削峰填谷的</w:t>
      </w:r>
      <w:r>
        <w:rPr>
          <w:rFonts w:ascii="Microsoft YaHei" w:hAnsi="Microsoft YaHei" w:eastAsia="Microsoft YaHei" w:cs="Microsoft YaHei"/>
          <w:sz w:val="21"/>
          <w:szCs w:val="21"/>
          <w:spacing w:val="3"/>
        </w:rPr>
        <w:t>经济性提升</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，且国内锂电池市场相较</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国外具有定价优势</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4"/>
        </w:rPr>
        <w:t>，也是市场发展的重要的推</w:t>
      </w:r>
      <w:r>
        <w:rPr>
          <w:rFonts w:ascii="Microsoft YaHei" w:hAnsi="Microsoft YaHei" w:eastAsia="Microsoft YaHei" w:cs="Microsoft YaHei"/>
          <w:sz w:val="21"/>
          <w:szCs w:val="21"/>
          <w:spacing w:val="3"/>
        </w:rPr>
        <w:t>动力。未来随着虚拟电厂政策的出台，</w:t>
      </w:r>
    </w:p>
    <w:p>
      <w:pPr>
        <w:ind w:left="8" w:right="2826" w:hanging="2"/>
        <w:spacing w:before="1" w:line="21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还为市场带来更多新的价值</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4"/>
        </w:rPr>
        <w:t>，例如工商户可以参与电网聚合交易</w:t>
      </w:r>
      <w:r>
        <w:rPr>
          <w:rFonts w:ascii="Microsoft YaHei" w:hAnsi="Microsoft YaHei" w:eastAsia="Microsoft YaHei" w:cs="Microsoft YaHei"/>
          <w:sz w:val="21"/>
          <w:szCs w:val="21"/>
          <w:spacing w:val="3"/>
        </w:rPr>
        <w:t>进行调峰。而对于家</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庭储能而言</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38"/>
        </w:rPr>
        <w:t xml:space="preserve"> </w:t>
      </w:r>
      <w:r>
        <w:rPr>
          <w:rFonts w:ascii="Microsoft YaHei" w:hAnsi="Microsoft YaHei" w:eastAsia="Microsoft YaHei" w:cs="Microsoft YaHei"/>
          <w:sz w:val="21"/>
          <w:szCs w:val="21"/>
          <w:spacing w:val="2"/>
        </w:rPr>
        <w:t>由于中国目前户用电价较低</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1"/>
        </w:rPr>
        <w:t>且电网覆盖区域广</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1"/>
        </w:rPr>
        <w:t>，户用市场还不具备大</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规模发展的经济性。海外市场由于高电价、新能源比例提升、</w:t>
      </w:r>
      <w:r>
        <w:rPr>
          <w:rFonts w:ascii="Microsoft YaHei" w:hAnsi="Microsoft YaHei" w:eastAsia="Microsoft YaHei" w:cs="Microsoft YaHei"/>
          <w:sz w:val="21"/>
          <w:szCs w:val="21"/>
          <w:spacing w:val="-42"/>
        </w:rPr>
        <w:t xml:space="preserve"> </w:t>
      </w:r>
      <w:r>
        <w:rPr>
          <w:rFonts w:ascii="Microsoft YaHei" w:hAnsi="Microsoft YaHei" w:eastAsia="Microsoft YaHei" w:cs="Microsoft YaHei"/>
          <w:sz w:val="21"/>
          <w:szCs w:val="21"/>
          <w:spacing w:val="4"/>
        </w:rPr>
        <w:t>电网薄弱等原因</w:t>
      </w:r>
      <w:r>
        <w:rPr>
          <w:rFonts w:ascii="Microsoft YaHei" w:hAnsi="Microsoft YaHei" w:eastAsia="Microsoft YaHei" w:cs="Microsoft YaHei"/>
          <w:sz w:val="21"/>
          <w:szCs w:val="21"/>
          <w:spacing w:val="3"/>
        </w:rPr>
        <w:t>市场空</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间较大</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，利润率相对有保障。与欧美本土企业相比</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，我国企业在终端</w:t>
      </w:r>
      <w:r>
        <w:rPr>
          <w:rFonts w:ascii="Microsoft YaHei" w:hAnsi="Microsoft YaHei" w:eastAsia="Microsoft YaHei" w:cs="Microsoft YaHei"/>
          <w:sz w:val="21"/>
          <w:szCs w:val="21"/>
          <w:spacing w:val="2"/>
        </w:rPr>
        <w:t>产品市场占据的</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份额相对较小</w:t>
      </w:r>
      <w:r>
        <w:rPr>
          <w:rFonts w:ascii="Microsoft YaHei" w:hAnsi="Microsoft YaHei" w:eastAsia="Microsoft YaHei" w:cs="Microsoft YaHei"/>
          <w:sz w:val="21"/>
          <w:szCs w:val="21"/>
          <w:spacing w:val="-13"/>
        </w:rPr>
        <w:t xml:space="preserve"> </w:t>
      </w:r>
      <w:r>
        <w:rPr>
          <w:rFonts w:ascii="Microsoft YaHei" w:hAnsi="Microsoft YaHei" w:eastAsia="Microsoft YaHei" w:cs="Microsoft YaHei"/>
          <w:sz w:val="21"/>
          <w:szCs w:val="21"/>
          <w:spacing w:val="2"/>
        </w:rPr>
        <w:t>，但在户用储能产业链的关键环节包括储能锂电池、储能变流器环节中，</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国内动力电池企业、光伏逆变器企业具备强劲的竞争力，持续发力海外户储市场。</w:t>
      </w:r>
    </w:p>
    <w:p>
      <w:pPr>
        <w:ind w:left="6" w:right="2997" w:firstLine="6"/>
        <w:spacing w:before="264" w:line="215"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color w:val="00B8F5"/>
          <w:spacing w:val="3"/>
        </w:rPr>
        <w:t>下游市场竞争格局对储能企业核心竞争力提出不同要求。</w:t>
      </w:r>
      <w:r>
        <w:rPr>
          <w:rFonts w:ascii="Microsoft YaHei" w:hAnsi="Microsoft YaHei" w:eastAsia="Microsoft YaHei" w:cs="Microsoft YaHei"/>
          <w:sz w:val="21"/>
          <w:szCs w:val="21"/>
          <w:spacing w:val="3"/>
        </w:rPr>
        <w:t>对于中国储能企业而言</w:t>
      </w:r>
      <w:r>
        <w:rPr>
          <w:rFonts w:ascii="Microsoft YaHei" w:hAnsi="Microsoft YaHei" w:eastAsia="Microsoft YaHei" w:cs="Microsoft YaHei"/>
          <w:sz w:val="21"/>
          <w:szCs w:val="21"/>
          <w:spacing w:val="-13"/>
        </w:rPr>
        <w:t xml:space="preserve"> </w:t>
      </w:r>
      <w:r>
        <w:rPr>
          <w:rFonts w:ascii="Microsoft YaHei" w:hAnsi="Microsoft YaHei" w:eastAsia="Microsoft YaHei" w:cs="Microsoft YaHei"/>
          <w:sz w:val="21"/>
          <w:szCs w:val="21"/>
          <w:spacing w:val="3"/>
        </w:rPr>
        <w:t>，户</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储市场目前主要在海外，且集中于to</w:t>
      </w:r>
      <w:r>
        <w:rPr>
          <w:rFonts w:ascii="Microsoft YaHei" w:hAnsi="Microsoft YaHei" w:eastAsia="Microsoft YaHei" w:cs="Microsoft YaHei"/>
          <w:sz w:val="21"/>
          <w:szCs w:val="21"/>
          <w:spacing w:val="57"/>
          <w:w w:val="101"/>
        </w:rPr>
        <w:t xml:space="preserve"> </w:t>
      </w:r>
      <w:r>
        <w:rPr>
          <w:rFonts w:ascii="Microsoft YaHei" w:hAnsi="Microsoft YaHei" w:eastAsia="Microsoft YaHei" w:cs="Microsoft YaHei"/>
          <w:sz w:val="21"/>
          <w:szCs w:val="21"/>
        </w:rPr>
        <w:t>C</w:t>
      </w:r>
      <w:r>
        <w:rPr>
          <w:rFonts w:ascii="Microsoft YaHei" w:hAnsi="Microsoft YaHei" w:eastAsia="Microsoft YaHei" w:cs="Microsoft YaHei"/>
          <w:sz w:val="21"/>
          <w:szCs w:val="21"/>
          <w:spacing w:val="53"/>
        </w:rPr>
        <w:t xml:space="preserve"> </w:t>
      </w:r>
      <w:r>
        <w:rPr>
          <w:rFonts w:ascii="Microsoft YaHei" w:hAnsi="Microsoft YaHei" w:eastAsia="Microsoft YaHei" w:cs="Microsoft YaHei"/>
          <w:sz w:val="21"/>
          <w:szCs w:val="21"/>
        </w:rPr>
        <w:t>端面向大众消费者，业务拓展更多</w:t>
      </w:r>
      <w:r>
        <w:rPr>
          <w:rFonts w:ascii="Microsoft YaHei" w:hAnsi="Microsoft YaHei" w:eastAsia="Microsoft YaHei" w:cs="Microsoft YaHei"/>
          <w:sz w:val="21"/>
          <w:szCs w:val="21"/>
          <w:spacing w:val="-1"/>
        </w:rPr>
        <w:t>依靠渠道和</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品牌推广，企业是否具备本地化能力是其能否进一步发</w:t>
      </w:r>
      <w:r>
        <w:rPr>
          <w:rFonts w:ascii="Microsoft YaHei" w:hAnsi="Microsoft YaHei" w:eastAsia="Microsoft YaHei" w:cs="Microsoft YaHei"/>
          <w:sz w:val="21"/>
          <w:szCs w:val="21"/>
          <w:spacing w:val="1"/>
        </w:rPr>
        <w:t>展的重要因素；而在电源侧/电</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网侧/工商业储能端，集中于</w:t>
      </w:r>
      <w:r>
        <w:rPr>
          <w:rFonts w:ascii="Microsoft YaHei" w:hAnsi="Microsoft YaHei" w:eastAsia="Microsoft YaHei" w:cs="Microsoft YaHei"/>
          <w:sz w:val="21"/>
          <w:szCs w:val="21"/>
        </w:rPr>
        <w:t>to</w:t>
      </w:r>
      <w:r>
        <w:rPr>
          <w:rFonts w:ascii="Microsoft YaHei" w:hAnsi="Microsoft YaHei" w:eastAsia="Microsoft YaHei" w:cs="Microsoft YaHei"/>
          <w:sz w:val="21"/>
          <w:szCs w:val="21"/>
          <w:spacing w:val="1"/>
        </w:rPr>
        <w:t xml:space="preserve">  </w:t>
      </w:r>
      <w:r>
        <w:rPr>
          <w:rFonts w:ascii="Microsoft YaHei" w:hAnsi="Microsoft YaHei" w:eastAsia="Microsoft YaHei" w:cs="Microsoft YaHei"/>
          <w:sz w:val="21"/>
          <w:szCs w:val="21"/>
        </w:rPr>
        <w:t>B</w:t>
      </w:r>
      <w:r>
        <w:rPr>
          <w:rFonts w:ascii="Microsoft YaHei" w:hAnsi="Microsoft YaHei" w:eastAsia="Microsoft YaHei" w:cs="Microsoft YaHei"/>
          <w:sz w:val="21"/>
          <w:szCs w:val="21"/>
          <w:spacing w:val="1"/>
        </w:rPr>
        <w:t>面向企业</w:t>
      </w:r>
      <w:r>
        <w:rPr>
          <w:rFonts w:ascii="Microsoft YaHei" w:hAnsi="Microsoft YaHei" w:eastAsia="Microsoft YaHei" w:cs="Microsoft YaHei"/>
          <w:sz w:val="21"/>
          <w:szCs w:val="21"/>
        </w:rPr>
        <w:t>，且目前主要市场在国内，因此储能企业的 </w:t>
      </w:r>
      <w:r>
        <w:rPr>
          <w:rFonts w:ascii="Microsoft YaHei" w:hAnsi="Microsoft YaHei" w:eastAsia="Microsoft YaHei" w:cs="Microsoft YaHei"/>
          <w:sz w:val="21"/>
          <w:szCs w:val="21"/>
          <w:spacing w:val="-1"/>
        </w:rPr>
        <w:t>资源渠道以及对系统安全和成本的把控是其发展的关键因素（表</w:t>
      </w:r>
      <w:r>
        <w:rPr>
          <w:rFonts w:ascii="Microsoft YaHei" w:hAnsi="Microsoft YaHei" w:eastAsia="Microsoft YaHei" w:cs="Microsoft YaHei"/>
          <w:sz w:val="21"/>
          <w:szCs w:val="21"/>
          <w:spacing w:val="-20"/>
        </w:rPr>
        <w:t xml:space="preserve"> </w:t>
      </w:r>
      <w:r>
        <w:rPr>
          <w:rFonts w:ascii="Microsoft YaHei" w:hAnsi="Microsoft YaHei" w:eastAsia="Microsoft YaHei" w:cs="Microsoft YaHei"/>
          <w:sz w:val="21"/>
          <w:szCs w:val="21"/>
          <w:spacing w:val="-1"/>
        </w:rPr>
        <w:t>21）。</w:t>
      </w:r>
    </w:p>
    <w:p>
      <w:pPr>
        <w:ind w:left="5"/>
        <w:spacing w:before="215" w:line="19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B8F5"/>
          <w:spacing w:val="-2"/>
        </w:rPr>
        <w:t>表 21 | 储能企业在不同应用市场中取得成功的关键因素分析</w:t>
      </w:r>
    </w:p>
    <w:p>
      <w:pPr>
        <w:spacing w:line="133" w:lineRule="exact"/>
        <w:rPr/>
      </w:pPr>
      <w:r/>
    </w:p>
    <w:tbl>
      <w:tblPr>
        <w:tblStyle w:val="TableNormal"/>
        <w:tblW w:w="9637"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46"/>
        <w:gridCol w:w="2198"/>
        <w:gridCol w:w="2198"/>
        <w:gridCol w:w="2197"/>
        <w:gridCol w:w="2198"/>
      </w:tblGrid>
      <w:tr>
        <w:trPr>
          <w:trHeight w:val="486" w:hRule="atLeast"/>
        </w:trPr>
        <w:tc>
          <w:tcPr>
            <w:tcW w:w="846" w:type="dxa"/>
            <w:vAlign w:val="top"/>
            <w:tcBorders>
              <w:bottom w:val="single" w:color="00B8F5" w:sz="12" w:space="0"/>
              <w:right w:val="single" w:color="FFFFFF" w:sz="8" w:space="0"/>
            </w:tcBorders>
          </w:tcPr>
          <w:p>
            <w:pPr>
              <w:rPr>
                <w:rFonts w:ascii="Arial"/>
                <w:sz w:val="21"/>
              </w:rPr>
            </w:pPr>
            <w:r/>
          </w:p>
        </w:tc>
        <w:tc>
          <w:tcPr>
            <w:shd w:val="clear" w:fill="00B8F5"/>
            <w:tcW w:w="2198" w:type="dxa"/>
            <w:vAlign w:val="top"/>
            <w:tcBorders>
              <w:bottom w:val="single" w:color="00B8F5" w:sz="12" w:space="0"/>
              <w:left w:val="single" w:color="FFFFFF" w:sz="8" w:space="0"/>
              <w:right w:val="single" w:color="FFFFFF" w:sz="8" w:space="0"/>
            </w:tcBorders>
          </w:tcPr>
          <w:p>
            <w:pPr>
              <w:pStyle w:val="TableText"/>
              <w:ind w:left="647"/>
              <w:spacing w:before="145" w:line="181" w:lineRule="auto"/>
              <w:rPr>
                <w:sz w:val="18"/>
                <w:szCs w:val="18"/>
              </w:rPr>
            </w:pPr>
            <w:r>
              <w:rPr>
                <w:sz w:val="18"/>
                <w:szCs w:val="18"/>
                <w:b/>
                <w:bCs/>
                <w:color w:val="FFFFFF"/>
                <w:spacing w:val="-1"/>
              </w:rPr>
              <w:t>国内发电侧</w:t>
            </w:r>
          </w:p>
        </w:tc>
        <w:tc>
          <w:tcPr>
            <w:shd w:val="clear" w:fill="00B8F5"/>
            <w:tcW w:w="2198" w:type="dxa"/>
            <w:vAlign w:val="top"/>
            <w:tcBorders>
              <w:bottom w:val="single" w:color="00B8F5" w:sz="12" w:space="0"/>
              <w:left w:val="single" w:color="FFFFFF" w:sz="8" w:space="0"/>
              <w:right w:val="single" w:color="FFFFFF" w:sz="8" w:space="0"/>
            </w:tcBorders>
          </w:tcPr>
          <w:p>
            <w:pPr>
              <w:pStyle w:val="TableText"/>
              <w:ind w:left="647"/>
              <w:spacing w:before="146" w:line="181" w:lineRule="auto"/>
              <w:rPr>
                <w:sz w:val="18"/>
                <w:szCs w:val="18"/>
              </w:rPr>
            </w:pPr>
            <w:r>
              <w:rPr>
                <w:sz w:val="18"/>
                <w:szCs w:val="18"/>
                <w:b/>
                <w:bCs/>
                <w:color w:val="FFFFFF"/>
                <w:spacing w:val="-1"/>
              </w:rPr>
              <w:t>国内电网侧</w:t>
            </w:r>
          </w:p>
        </w:tc>
        <w:tc>
          <w:tcPr>
            <w:shd w:val="clear" w:fill="00B8F5"/>
            <w:tcW w:w="2197" w:type="dxa"/>
            <w:vAlign w:val="top"/>
            <w:tcBorders>
              <w:bottom w:val="single" w:color="00B8F5" w:sz="12" w:space="0"/>
              <w:left w:val="single" w:color="FFFFFF" w:sz="8" w:space="0"/>
              <w:right w:val="single" w:color="FFFFFF" w:sz="8" w:space="0"/>
            </w:tcBorders>
          </w:tcPr>
          <w:p>
            <w:pPr>
              <w:pStyle w:val="TableText"/>
              <w:ind w:left="373"/>
              <w:spacing w:before="146" w:line="181" w:lineRule="auto"/>
              <w:rPr>
                <w:sz w:val="18"/>
                <w:szCs w:val="18"/>
              </w:rPr>
            </w:pPr>
            <w:r>
              <w:rPr>
                <w:sz w:val="18"/>
                <w:szCs w:val="18"/>
                <w:b/>
                <w:bCs/>
                <w:color w:val="FFFFFF"/>
              </w:rPr>
              <w:t>国内工商业用户侧</w:t>
            </w:r>
          </w:p>
        </w:tc>
        <w:tc>
          <w:tcPr>
            <w:shd w:val="clear" w:fill="00B8F5"/>
            <w:tcW w:w="2198" w:type="dxa"/>
            <w:vAlign w:val="top"/>
            <w:tcBorders>
              <w:bottom w:val="single" w:color="00B8F5" w:sz="12" w:space="0"/>
              <w:left w:val="single" w:color="FFFFFF" w:sz="8" w:space="0"/>
            </w:tcBorders>
          </w:tcPr>
          <w:p>
            <w:pPr>
              <w:pStyle w:val="TableText"/>
              <w:ind w:left="640"/>
              <w:spacing w:before="145" w:line="181" w:lineRule="auto"/>
              <w:rPr>
                <w:sz w:val="18"/>
                <w:szCs w:val="18"/>
              </w:rPr>
            </w:pPr>
            <w:r>
              <w:rPr>
                <w:sz w:val="18"/>
                <w:szCs w:val="18"/>
                <w:b/>
                <w:bCs/>
                <w:color w:val="FFFFFF"/>
                <w:spacing w:val="1"/>
              </w:rPr>
              <w:t>海外户用侧</w:t>
            </w:r>
          </w:p>
        </w:tc>
      </w:tr>
      <w:tr>
        <w:trPr>
          <w:trHeight w:val="1393" w:hRule="atLeast"/>
        </w:trPr>
        <w:tc>
          <w:tcPr>
            <w:tcW w:w="846" w:type="dxa"/>
            <w:vAlign w:val="top"/>
            <w:tcBorders>
              <w:right w:val="single" w:color="BFBFBF" w:sz="2" w:space="0"/>
              <w:top w:val="single" w:color="00B8F5" w:sz="12" w:space="0"/>
            </w:tcBorders>
          </w:tcPr>
          <w:p>
            <w:pPr>
              <w:pStyle w:val="TableText"/>
              <w:ind w:left="177" w:right="173" w:firstLine="68"/>
              <w:spacing w:before="266" w:line="170" w:lineRule="auto"/>
              <w:jc w:val="both"/>
              <w:rPr>
                <w:sz w:val="18"/>
                <w:szCs w:val="18"/>
              </w:rPr>
            </w:pPr>
            <w:r>
              <w:rPr>
                <w:sz w:val="18"/>
                <w:szCs w:val="18"/>
                <w:b/>
                <w:bCs/>
                <w:color w:val="00B8F5"/>
                <w:spacing w:val="-2"/>
              </w:rPr>
              <w:t>需求</w:t>
            </w:r>
            <w:r>
              <w:rPr>
                <w:sz w:val="18"/>
                <w:szCs w:val="18"/>
                <w:b/>
                <w:bCs/>
                <w:color w:val="00B8F5"/>
              </w:rPr>
              <w:t xml:space="preserve">  </w:t>
            </w:r>
            <w:r>
              <w:rPr>
                <w:sz w:val="18"/>
                <w:szCs w:val="18"/>
                <w:b/>
                <w:bCs/>
                <w:color w:val="00B8F5"/>
                <w:spacing w:val="-4"/>
                <w:w w:val="96"/>
              </w:rPr>
              <w:t>驱动&amp;</w:t>
            </w:r>
            <w:r>
              <w:rPr>
                <w:sz w:val="18"/>
                <w:szCs w:val="18"/>
                <w:b/>
                <w:bCs/>
                <w:color w:val="00B8F5"/>
              </w:rPr>
              <w:t xml:space="preserve"> </w:t>
            </w:r>
            <w:r>
              <w:rPr>
                <w:sz w:val="18"/>
                <w:szCs w:val="18"/>
                <w:b/>
                <w:bCs/>
                <w:color w:val="00B8F5"/>
                <w:spacing w:val="32"/>
              </w:rPr>
              <w:t>项目</w:t>
            </w:r>
            <w:r>
              <w:rPr>
                <w:sz w:val="18"/>
                <w:szCs w:val="18"/>
                <w:b/>
                <w:bCs/>
                <w:color w:val="00B8F5"/>
              </w:rPr>
              <w:t xml:space="preserve">  </w:t>
            </w:r>
            <w:r>
              <w:rPr>
                <w:sz w:val="18"/>
                <w:szCs w:val="18"/>
                <w:b/>
                <w:bCs/>
                <w:color w:val="00B8F5"/>
                <w:spacing w:val="32"/>
              </w:rPr>
              <w:t>规模</w:t>
            </w:r>
          </w:p>
        </w:tc>
        <w:tc>
          <w:tcPr>
            <w:tcW w:w="2198" w:type="dxa"/>
            <w:vAlign w:val="top"/>
            <w:tcBorders>
              <w:left w:val="single" w:color="BFBFBF" w:sz="2" w:space="0"/>
              <w:right w:val="single" w:color="BFBFBF" w:sz="2" w:space="0"/>
              <w:top w:val="single" w:color="00B8F5" w:sz="12" w:space="0"/>
            </w:tcBorders>
          </w:tcPr>
          <w:p>
            <w:pPr>
              <w:pStyle w:val="TableText"/>
              <w:ind w:left="304" w:right="120" w:hanging="159"/>
              <w:spacing w:before="257" w:line="168" w:lineRule="auto"/>
              <w:rPr>
                <w:sz w:val="18"/>
                <w:szCs w:val="18"/>
              </w:rPr>
            </w:pPr>
            <w:r>
              <w:rPr>
                <w:sz w:val="18"/>
                <w:szCs w:val="18"/>
                <w:position w:val="-3"/>
              </w:rPr>
              <w:drawing>
                <wp:inline distT="0" distB="0" distL="0" distR="0">
                  <wp:extent cx="43318" cy="128564"/>
                  <wp:effectExtent l="0" t="0" r="0" b="0"/>
                  <wp:docPr id="830" name="IM 830"/>
                  <wp:cNvGraphicFramePr/>
                  <a:graphic>
                    <a:graphicData uri="http://schemas.openxmlformats.org/drawingml/2006/picture">
                      <pic:pic>
                        <pic:nvPicPr>
                          <pic:cNvPr id="830" name="IM 830"/>
                          <pic:cNvPicPr/>
                        </pic:nvPicPr>
                        <pic:blipFill>
                          <a:blip r:embed="rId392"/>
                          <a:stretch>
                            <a:fillRect/>
                          </a:stretch>
                        </pic:blipFill>
                        <pic:spPr>
                          <a:xfrm rot="0">
                            <a:off x="0" y="0"/>
                            <a:ext cx="43318" cy="128564"/>
                          </a:xfrm>
                          <a:prstGeom prst="rect">
                            <a:avLst/>
                          </a:prstGeom>
                        </pic:spPr>
                      </pic:pic>
                    </a:graphicData>
                  </a:graphic>
                </wp:inline>
              </w:drawing>
            </w:r>
            <w:r>
              <w:rPr>
                <w:sz w:val="18"/>
                <w:szCs w:val="18"/>
                <w:spacing w:val="44"/>
                <w:w w:val="101"/>
              </w:rPr>
              <w:t xml:space="preserve"> </w:t>
            </w:r>
            <w:r>
              <w:rPr>
                <w:sz w:val="18"/>
                <w:szCs w:val="18"/>
                <w:spacing w:val="-4"/>
              </w:rPr>
              <w:t>“十四五”清洁发电、</w:t>
            </w:r>
            <w:r>
              <w:rPr>
                <w:sz w:val="18"/>
                <w:szCs w:val="18"/>
              </w:rPr>
              <w:t xml:space="preserve"> </w:t>
            </w:r>
            <w:r>
              <w:rPr>
                <w:sz w:val="18"/>
                <w:szCs w:val="18"/>
                <w:spacing w:val="1"/>
              </w:rPr>
              <w:t>发电侧新能源强配政</w:t>
            </w:r>
            <w:r>
              <w:rPr>
                <w:sz w:val="18"/>
                <w:szCs w:val="18"/>
              </w:rPr>
              <w:t xml:space="preserve">   </w:t>
            </w:r>
            <w:r>
              <w:rPr>
                <w:sz w:val="18"/>
                <w:szCs w:val="18"/>
              </w:rPr>
              <w:t>策</w:t>
            </w:r>
          </w:p>
          <w:p>
            <w:pPr>
              <w:pStyle w:val="TableText"/>
              <w:ind w:left="145"/>
              <w:spacing w:line="198" w:lineRule="auto"/>
              <w:rPr>
                <w:sz w:val="18"/>
                <w:szCs w:val="18"/>
              </w:rPr>
            </w:pPr>
            <w:r>
              <w:rPr>
                <w:sz w:val="18"/>
                <w:szCs w:val="18"/>
                <w:position w:val="-3"/>
              </w:rPr>
              <w:drawing>
                <wp:inline distT="0" distB="0" distL="0" distR="0">
                  <wp:extent cx="43318" cy="128564"/>
                  <wp:effectExtent l="0" t="0" r="0" b="0"/>
                  <wp:docPr id="832" name="IM 832"/>
                  <wp:cNvGraphicFramePr/>
                  <a:graphic>
                    <a:graphicData uri="http://schemas.openxmlformats.org/drawingml/2006/picture">
                      <pic:pic>
                        <pic:nvPicPr>
                          <pic:cNvPr id="832" name="IM 832"/>
                          <pic:cNvPicPr/>
                        </pic:nvPicPr>
                        <pic:blipFill>
                          <a:blip r:embed="rId393"/>
                          <a:stretch>
                            <a:fillRect/>
                          </a:stretch>
                        </pic:blipFill>
                        <pic:spPr>
                          <a:xfrm rot="0">
                            <a:off x="0" y="0"/>
                            <a:ext cx="43318" cy="128564"/>
                          </a:xfrm>
                          <a:prstGeom prst="rect">
                            <a:avLst/>
                          </a:prstGeom>
                        </pic:spPr>
                      </pic:pic>
                    </a:graphicData>
                  </a:graphic>
                </wp:inline>
              </w:drawing>
            </w:r>
            <w:r>
              <w:rPr>
                <w:sz w:val="18"/>
                <w:szCs w:val="18"/>
                <w:spacing w:val="38"/>
                <w:w w:val="101"/>
              </w:rPr>
              <w:t xml:space="preserve"> </w:t>
            </w:r>
            <w:r>
              <w:rPr>
                <w:sz w:val="18"/>
                <w:szCs w:val="18"/>
                <w:spacing w:val="1"/>
              </w:rPr>
              <w:t>项目规模较大</w:t>
            </w:r>
          </w:p>
        </w:tc>
        <w:tc>
          <w:tcPr>
            <w:tcW w:w="2198" w:type="dxa"/>
            <w:vAlign w:val="top"/>
            <w:tcBorders>
              <w:left w:val="single" w:color="BFBFBF" w:sz="2" w:space="0"/>
              <w:right w:val="single" w:color="BFBFBF" w:sz="2" w:space="0"/>
              <w:top w:val="single" w:color="00B8F5" w:sz="12" w:space="0"/>
            </w:tcBorders>
          </w:tcPr>
          <w:p>
            <w:pPr>
              <w:spacing w:line="286" w:lineRule="auto"/>
              <w:rPr>
                <w:rFonts w:ascii="Arial"/>
                <w:sz w:val="21"/>
              </w:rPr>
            </w:pPr>
            <w:r/>
          </w:p>
          <w:p>
            <w:pPr>
              <w:pStyle w:val="TableText"/>
              <w:ind w:left="306" w:right="257" w:hanging="161"/>
              <w:spacing w:before="77" w:line="168" w:lineRule="auto"/>
              <w:rPr>
                <w:sz w:val="18"/>
                <w:szCs w:val="18"/>
              </w:rPr>
            </w:pPr>
            <w:r>
              <w:rPr>
                <w:sz w:val="18"/>
                <w:szCs w:val="18"/>
                <w:position w:val="-3"/>
              </w:rPr>
              <w:drawing>
                <wp:inline distT="0" distB="0" distL="0" distR="0">
                  <wp:extent cx="43318" cy="128564"/>
                  <wp:effectExtent l="0" t="0" r="0" b="0"/>
                  <wp:docPr id="834" name="IM 834"/>
                  <wp:cNvGraphicFramePr/>
                  <a:graphic>
                    <a:graphicData uri="http://schemas.openxmlformats.org/drawingml/2006/picture">
                      <pic:pic>
                        <pic:nvPicPr>
                          <pic:cNvPr id="834" name="IM 834"/>
                          <pic:cNvPicPr/>
                        </pic:nvPicPr>
                        <pic:blipFill>
                          <a:blip r:embed="rId394"/>
                          <a:stretch>
                            <a:fillRect/>
                          </a:stretch>
                        </pic:blipFill>
                        <pic:spPr>
                          <a:xfrm rot="0">
                            <a:off x="0" y="0"/>
                            <a:ext cx="43318" cy="128564"/>
                          </a:xfrm>
                          <a:prstGeom prst="rect">
                            <a:avLst/>
                          </a:prstGeom>
                        </pic:spPr>
                      </pic:pic>
                    </a:graphicData>
                  </a:graphic>
                </wp:inline>
              </w:drawing>
            </w:r>
            <w:r>
              <w:rPr>
                <w:sz w:val="18"/>
                <w:szCs w:val="18"/>
                <w:spacing w:val="1"/>
              </w:rPr>
              <w:t xml:space="preserve">  </w:t>
            </w:r>
            <w:r>
              <w:rPr>
                <w:sz w:val="18"/>
                <w:szCs w:val="18"/>
                <w:spacing w:val="-1"/>
              </w:rPr>
              <w:t>电网公司调频调峰需</w:t>
            </w:r>
            <w:r>
              <w:rPr>
                <w:sz w:val="18"/>
                <w:szCs w:val="18"/>
              </w:rPr>
              <w:t xml:space="preserve"> </w:t>
            </w:r>
            <w:r>
              <w:rPr>
                <w:sz w:val="18"/>
                <w:szCs w:val="18"/>
              </w:rPr>
              <w:t>求</w:t>
            </w:r>
          </w:p>
          <w:p>
            <w:pPr>
              <w:pStyle w:val="TableText"/>
              <w:ind w:left="145"/>
              <w:spacing w:line="198" w:lineRule="auto"/>
              <w:rPr>
                <w:sz w:val="18"/>
                <w:szCs w:val="18"/>
              </w:rPr>
            </w:pPr>
            <w:r>
              <w:rPr>
                <w:sz w:val="18"/>
                <w:szCs w:val="18"/>
                <w:position w:val="-3"/>
              </w:rPr>
              <w:drawing>
                <wp:inline distT="0" distB="0" distL="0" distR="0">
                  <wp:extent cx="43318" cy="128564"/>
                  <wp:effectExtent l="0" t="0" r="0" b="0"/>
                  <wp:docPr id="836" name="IM 836"/>
                  <wp:cNvGraphicFramePr/>
                  <a:graphic>
                    <a:graphicData uri="http://schemas.openxmlformats.org/drawingml/2006/picture">
                      <pic:pic>
                        <pic:nvPicPr>
                          <pic:cNvPr id="836" name="IM 836"/>
                          <pic:cNvPicPr/>
                        </pic:nvPicPr>
                        <pic:blipFill>
                          <a:blip r:embed="rId395"/>
                          <a:stretch>
                            <a:fillRect/>
                          </a:stretch>
                        </pic:blipFill>
                        <pic:spPr>
                          <a:xfrm rot="0">
                            <a:off x="0" y="0"/>
                            <a:ext cx="43318" cy="128564"/>
                          </a:xfrm>
                          <a:prstGeom prst="rect">
                            <a:avLst/>
                          </a:prstGeom>
                        </pic:spPr>
                      </pic:pic>
                    </a:graphicData>
                  </a:graphic>
                </wp:inline>
              </w:drawing>
            </w:r>
            <w:r>
              <w:rPr>
                <w:sz w:val="18"/>
                <w:szCs w:val="18"/>
                <w:spacing w:val="38"/>
                <w:w w:val="101"/>
              </w:rPr>
              <w:t xml:space="preserve"> </w:t>
            </w:r>
            <w:r>
              <w:rPr>
                <w:sz w:val="18"/>
                <w:szCs w:val="18"/>
                <w:spacing w:val="1"/>
              </w:rPr>
              <w:t>项目规模较大</w:t>
            </w:r>
          </w:p>
        </w:tc>
        <w:tc>
          <w:tcPr>
            <w:tcW w:w="2197" w:type="dxa"/>
            <w:vAlign w:val="top"/>
            <w:tcBorders>
              <w:left w:val="single" w:color="BFBFBF" w:sz="2" w:space="0"/>
              <w:right w:val="single" w:color="BFBFBF" w:sz="2" w:space="0"/>
              <w:top w:val="single" w:color="00B8F5" w:sz="12" w:space="0"/>
            </w:tcBorders>
          </w:tcPr>
          <w:p>
            <w:pPr>
              <w:pStyle w:val="TableText"/>
              <w:ind w:left="304" w:right="256" w:hanging="159"/>
              <w:spacing w:before="41" w:line="168" w:lineRule="auto"/>
              <w:rPr>
                <w:sz w:val="18"/>
                <w:szCs w:val="18"/>
              </w:rPr>
            </w:pPr>
            <w:r>
              <w:rPr>
                <w:sz w:val="18"/>
                <w:szCs w:val="18"/>
                <w:position w:val="-3"/>
              </w:rPr>
              <w:drawing>
                <wp:inline distT="0" distB="0" distL="0" distR="0">
                  <wp:extent cx="43318" cy="128564"/>
                  <wp:effectExtent l="0" t="0" r="0" b="0"/>
                  <wp:docPr id="838" name="IM 838"/>
                  <wp:cNvGraphicFramePr/>
                  <a:graphic>
                    <a:graphicData uri="http://schemas.openxmlformats.org/drawingml/2006/picture">
                      <pic:pic>
                        <pic:nvPicPr>
                          <pic:cNvPr id="838" name="IM 838"/>
                          <pic:cNvPicPr/>
                        </pic:nvPicPr>
                        <pic:blipFill>
                          <a:blip r:embed="rId396"/>
                          <a:stretch>
                            <a:fillRect/>
                          </a:stretch>
                        </pic:blipFill>
                        <pic:spPr>
                          <a:xfrm rot="0">
                            <a:off x="0" y="0"/>
                            <a:ext cx="43318" cy="128564"/>
                          </a:xfrm>
                          <a:prstGeom prst="rect">
                            <a:avLst/>
                          </a:prstGeom>
                        </pic:spPr>
                      </pic:pic>
                    </a:graphicData>
                  </a:graphic>
                </wp:inline>
              </w:drawing>
            </w:r>
            <w:r>
              <w:rPr>
                <w:sz w:val="18"/>
                <w:szCs w:val="18"/>
                <w:spacing w:val="46"/>
                <w:w w:val="101"/>
              </w:rPr>
              <w:t xml:space="preserve"> </w:t>
            </w:r>
            <w:r>
              <w:rPr>
                <w:sz w:val="18"/>
                <w:szCs w:val="18"/>
              </w:rPr>
              <w:t>峰谷价差拉大存在套 </w:t>
            </w:r>
            <w:r>
              <w:rPr>
                <w:sz w:val="18"/>
                <w:szCs w:val="18"/>
              </w:rPr>
              <w:t>利机会</w:t>
            </w:r>
          </w:p>
          <w:p>
            <w:pPr>
              <w:pStyle w:val="TableText"/>
              <w:ind w:left="303" w:right="256" w:hanging="158"/>
              <w:spacing w:before="2" w:line="167" w:lineRule="auto"/>
              <w:rPr>
                <w:sz w:val="18"/>
                <w:szCs w:val="18"/>
              </w:rPr>
            </w:pPr>
            <w:r>
              <w:rPr>
                <w:sz w:val="18"/>
                <w:szCs w:val="18"/>
                <w:position w:val="-3"/>
              </w:rPr>
              <w:drawing>
                <wp:inline distT="0" distB="0" distL="0" distR="0">
                  <wp:extent cx="43318" cy="128564"/>
                  <wp:effectExtent l="0" t="0" r="0" b="0"/>
                  <wp:docPr id="840" name="IM 840"/>
                  <wp:cNvGraphicFramePr/>
                  <a:graphic>
                    <a:graphicData uri="http://schemas.openxmlformats.org/drawingml/2006/picture">
                      <pic:pic>
                        <pic:nvPicPr>
                          <pic:cNvPr id="840" name="IM 840"/>
                          <pic:cNvPicPr/>
                        </pic:nvPicPr>
                        <pic:blipFill>
                          <a:blip r:embed="rId397"/>
                          <a:stretch>
                            <a:fillRect/>
                          </a:stretch>
                        </pic:blipFill>
                        <pic:spPr>
                          <a:xfrm rot="0">
                            <a:off x="0" y="0"/>
                            <a:ext cx="43318" cy="128564"/>
                          </a:xfrm>
                          <a:prstGeom prst="rect">
                            <a:avLst/>
                          </a:prstGeom>
                        </pic:spPr>
                      </pic:pic>
                    </a:graphicData>
                  </a:graphic>
                </wp:inline>
              </w:drawing>
            </w:r>
            <w:r>
              <w:rPr>
                <w:sz w:val="18"/>
                <w:szCs w:val="18"/>
                <w:spacing w:val="38"/>
              </w:rPr>
              <w:t xml:space="preserve"> </w:t>
            </w:r>
            <w:r>
              <w:rPr>
                <w:sz w:val="18"/>
                <w:szCs w:val="18"/>
                <w:spacing w:val="1"/>
              </w:rPr>
              <w:t>减少区域限电对用户</w:t>
            </w:r>
            <w:r>
              <w:rPr>
                <w:sz w:val="18"/>
                <w:szCs w:val="18"/>
              </w:rPr>
              <w:t xml:space="preserve"> </w:t>
            </w:r>
            <w:r>
              <w:rPr>
                <w:sz w:val="18"/>
                <w:szCs w:val="18"/>
                <w:spacing w:val="1"/>
              </w:rPr>
              <w:t>侧运营的影响</w:t>
            </w:r>
          </w:p>
          <w:p>
            <w:pPr>
              <w:pStyle w:val="TableText"/>
              <w:ind w:left="304" w:right="434" w:hanging="159"/>
              <w:spacing w:before="1" w:line="179" w:lineRule="auto"/>
              <w:rPr>
                <w:sz w:val="18"/>
                <w:szCs w:val="18"/>
              </w:rPr>
            </w:pPr>
            <w:r>
              <w:rPr>
                <w:sz w:val="18"/>
                <w:szCs w:val="18"/>
                <w:position w:val="-3"/>
              </w:rPr>
              <w:drawing>
                <wp:inline distT="0" distB="0" distL="0" distR="0">
                  <wp:extent cx="43318" cy="128564"/>
                  <wp:effectExtent l="0" t="0" r="0" b="0"/>
                  <wp:docPr id="842" name="IM 842"/>
                  <wp:cNvGraphicFramePr/>
                  <a:graphic>
                    <a:graphicData uri="http://schemas.openxmlformats.org/drawingml/2006/picture">
                      <pic:pic>
                        <pic:nvPicPr>
                          <pic:cNvPr id="842" name="IM 842"/>
                          <pic:cNvPicPr/>
                        </pic:nvPicPr>
                        <pic:blipFill>
                          <a:blip r:embed="rId398"/>
                          <a:stretch>
                            <a:fillRect/>
                          </a:stretch>
                        </pic:blipFill>
                        <pic:spPr>
                          <a:xfrm rot="0">
                            <a:off x="0" y="0"/>
                            <a:ext cx="43318" cy="128564"/>
                          </a:xfrm>
                          <a:prstGeom prst="rect">
                            <a:avLst/>
                          </a:prstGeom>
                        </pic:spPr>
                      </pic:pic>
                    </a:graphicData>
                  </a:graphic>
                </wp:inline>
              </w:drawing>
            </w:r>
            <w:r>
              <w:rPr>
                <w:sz w:val="18"/>
                <w:szCs w:val="18"/>
                <w:spacing w:val="41"/>
              </w:rPr>
              <w:t xml:space="preserve"> </w:t>
            </w:r>
            <w:r>
              <w:rPr>
                <w:sz w:val="18"/>
                <w:szCs w:val="18"/>
                <w:spacing w:val="1"/>
              </w:rPr>
              <w:t>项目单体平均容量</w:t>
            </w:r>
            <w:r>
              <w:rPr>
                <w:sz w:val="18"/>
                <w:szCs w:val="18"/>
              </w:rPr>
              <w:t xml:space="preserve"> </w:t>
            </w:r>
            <w:r>
              <w:rPr>
                <w:sz w:val="18"/>
                <w:szCs w:val="18"/>
                <w:spacing w:val="-14"/>
              </w:rPr>
              <w:t>2MWh</w:t>
            </w:r>
          </w:p>
        </w:tc>
        <w:tc>
          <w:tcPr>
            <w:tcW w:w="2198" w:type="dxa"/>
            <w:vAlign w:val="top"/>
            <w:tcBorders>
              <w:left w:val="single" w:color="BFBFBF" w:sz="2" w:space="0"/>
              <w:top w:val="single" w:color="00B8F5" w:sz="12" w:space="0"/>
            </w:tcBorders>
          </w:tcPr>
          <w:p>
            <w:pPr>
              <w:pStyle w:val="TableText"/>
              <w:ind w:left="305" w:right="259" w:hanging="159"/>
              <w:spacing w:before="41" w:line="168" w:lineRule="auto"/>
              <w:rPr>
                <w:sz w:val="18"/>
                <w:szCs w:val="18"/>
              </w:rPr>
            </w:pPr>
            <w:r>
              <w:rPr>
                <w:sz w:val="18"/>
                <w:szCs w:val="18"/>
                <w:position w:val="-3"/>
              </w:rPr>
              <w:drawing>
                <wp:inline distT="0" distB="0" distL="0" distR="0">
                  <wp:extent cx="43318" cy="128564"/>
                  <wp:effectExtent l="0" t="0" r="0" b="0"/>
                  <wp:docPr id="844" name="IM 844"/>
                  <wp:cNvGraphicFramePr/>
                  <a:graphic>
                    <a:graphicData uri="http://schemas.openxmlformats.org/drawingml/2006/picture">
                      <pic:pic>
                        <pic:nvPicPr>
                          <pic:cNvPr id="844" name="IM 844"/>
                          <pic:cNvPicPr/>
                        </pic:nvPicPr>
                        <pic:blipFill>
                          <a:blip r:embed="rId399"/>
                          <a:stretch>
                            <a:fillRect/>
                          </a:stretch>
                        </pic:blipFill>
                        <pic:spPr>
                          <a:xfrm rot="0">
                            <a:off x="0" y="0"/>
                            <a:ext cx="43318" cy="128564"/>
                          </a:xfrm>
                          <a:prstGeom prst="rect">
                            <a:avLst/>
                          </a:prstGeom>
                        </pic:spPr>
                      </pic:pic>
                    </a:graphicData>
                  </a:graphic>
                </wp:inline>
              </w:drawing>
            </w:r>
            <w:r>
              <w:rPr>
                <w:sz w:val="18"/>
                <w:szCs w:val="18"/>
                <w:spacing w:val="46"/>
                <w:w w:val="101"/>
              </w:rPr>
              <w:t xml:space="preserve"> </w:t>
            </w:r>
            <w:r>
              <w:rPr>
                <w:sz w:val="18"/>
                <w:szCs w:val="18"/>
              </w:rPr>
              <w:t>能源短缺下户用储能 </w:t>
            </w:r>
            <w:r>
              <w:rPr>
                <w:sz w:val="18"/>
                <w:szCs w:val="18"/>
              </w:rPr>
              <w:t>经济性</w:t>
            </w:r>
          </w:p>
          <w:p>
            <w:pPr>
              <w:pStyle w:val="TableText"/>
              <w:ind w:left="146"/>
              <w:spacing w:before="1" w:line="167" w:lineRule="auto"/>
              <w:rPr>
                <w:sz w:val="18"/>
                <w:szCs w:val="18"/>
              </w:rPr>
            </w:pPr>
            <w:r>
              <w:rPr>
                <w:sz w:val="18"/>
                <w:szCs w:val="18"/>
                <w:position w:val="-3"/>
              </w:rPr>
              <w:drawing>
                <wp:inline distT="0" distB="0" distL="0" distR="0">
                  <wp:extent cx="43318" cy="128564"/>
                  <wp:effectExtent l="0" t="0" r="0" b="0"/>
                  <wp:docPr id="846" name="IM 846"/>
                  <wp:cNvGraphicFramePr/>
                  <a:graphic>
                    <a:graphicData uri="http://schemas.openxmlformats.org/drawingml/2006/picture">
                      <pic:pic>
                        <pic:nvPicPr>
                          <pic:cNvPr id="846" name="IM 846"/>
                          <pic:cNvPicPr/>
                        </pic:nvPicPr>
                        <pic:blipFill>
                          <a:blip r:embed="rId400"/>
                          <a:stretch>
                            <a:fillRect/>
                          </a:stretch>
                        </pic:blipFill>
                        <pic:spPr>
                          <a:xfrm rot="0">
                            <a:off x="0" y="0"/>
                            <a:ext cx="43318" cy="128564"/>
                          </a:xfrm>
                          <a:prstGeom prst="rect">
                            <a:avLst/>
                          </a:prstGeom>
                        </pic:spPr>
                      </pic:pic>
                    </a:graphicData>
                  </a:graphic>
                </wp:inline>
              </w:drawing>
            </w:r>
            <w:r>
              <w:rPr>
                <w:sz w:val="18"/>
                <w:szCs w:val="18"/>
                <w:spacing w:val="44"/>
              </w:rPr>
              <w:t xml:space="preserve"> </w:t>
            </w:r>
            <w:r>
              <w:rPr>
                <w:sz w:val="18"/>
                <w:szCs w:val="18"/>
                <w:spacing w:val="-1"/>
              </w:rPr>
              <w:t>能源安全</w:t>
            </w:r>
          </w:p>
          <w:p>
            <w:pPr>
              <w:pStyle w:val="TableText"/>
              <w:ind w:left="305" w:right="259" w:hanging="159"/>
              <w:spacing w:before="1" w:line="173" w:lineRule="auto"/>
              <w:rPr>
                <w:sz w:val="18"/>
                <w:szCs w:val="18"/>
              </w:rPr>
            </w:pPr>
            <w:r>
              <w:rPr>
                <w:sz w:val="18"/>
                <w:szCs w:val="18"/>
                <w:position w:val="-3"/>
              </w:rPr>
              <w:drawing>
                <wp:inline distT="0" distB="0" distL="0" distR="0">
                  <wp:extent cx="43318" cy="128564"/>
                  <wp:effectExtent l="0" t="0" r="0" b="0"/>
                  <wp:docPr id="848" name="IM 848"/>
                  <wp:cNvGraphicFramePr/>
                  <a:graphic>
                    <a:graphicData uri="http://schemas.openxmlformats.org/drawingml/2006/picture">
                      <pic:pic>
                        <pic:nvPicPr>
                          <pic:cNvPr id="848" name="IM 848"/>
                          <pic:cNvPicPr/>
                        </pic:nvPicPr>
                        <pic:blipFill>
                          <a:blip r:embed="rId401"/>
                          <a:stretch>
                            <a:fillRect/>
                          </a:stretch>
                        </pic:blipFill>
                        <pic:spPr>
                          <a:xfrm rot="0">
                            <a:off x="0" y="0"/>
                            <a:ext cx="43318" cy="128564"/>
                          </a:xfrm>
                          <a:prstGeom prst="rect">
                            <a:avLst/>
                          </a:prstGeom>
                        </pic:spPr>
                      </pic:pic>
                    </a:graphicData>
                  </a:graphic>
                </wp:inline>
              </w:drawing>
            </w:r>
            <w:r>
              <w:rPr>
                <w:sz w:val="18"/>
                <w:szCs w:val="18"/>
                <w:spacing w:val="37"/>
                <w:w w:val="101"/>
              </w:rPr>
              <w:t xml:space="preserve"> </w:t>
            </w:r>
            <w:r>
              <w:rPr>
                <w:sz w:val="18"/>
                <w:szCs w:val="18"/>
                <w:spacing w:val="1"/>
              </w:rPr>
              <w:t>各国大力支持户用储</w:t>
            </w:r>
            <w:r>
              <w:rPr>
                <w:sz w:val="18"/>
                <w:szCs w:val="18"/>
              </w:rPr>
              <w:t xml:space="preserve"> </w:t>
            </w:r>
            <w:r>
              <w:rPr>
                <w:sz w:val="18"/>
                <w:szCs w:val="18"/>
                <w:spacing w:val="1"/>
              </w:rPr>
              <w:t>能发展，利好政策频</w:t>
            </w:r>
            <w:r>
              <w:rPr>
                <w:sz w:val="18"/>
                <w:szCs w:val="18"/>
              </w:rPr>
              <w:t xml:space="preserve"> </w:t>
            </w:r>
            <w:r>
              <w:rPr>
                <w:sz w:val="18"/>
                <w:szCs w:val="18"/>
              </w:rPr>
              <w:t>发</w:t>
            </w:r>
          </w:p>
        </w:tc>
      </w:tr>
      <w:tr>
        <w:trPr>
          <w:trHeight w:val="2069" w:hRule="atLeast"/>
        </w:trPr>
        <w:tc>
          <w:tcPr>
            <w:shd w:val="clear" w:fill="F1F1F1"/>
            <w:tcW w:w="846" w:type="dxa"/>
            <w:vAlign w:val="top"/>
            <w:tcBorders>
              <w:right w:val="single" w:color="BFBFBF" w:sz="2" w:space="0"/>
            </w:tcBorders>
          </w:tcPr>
          <w:p>
            <w:pPr>
              <w:spacing w:line="326" w:lineRule="auto"/>
              <w:rPr>
                <w:rFonts w:ascii="Arial"/>
                <w:sz w:val="21"/>
              </w:rPr>
            </w:pPr>
            <w:r/>
          </w:p>
          <w:p>
            <w:pPr>
              <w:spacing w:line="326" w:lineRule="auto"/>
              <w:rPr>
                <w:rFonts w:ascii="Arial"/>
                <w:sz w:val="21"/>
              </w:rPr>
            </w:pPr>
            <w:r/>
          </w:p>
          <w:p>
            <w:pPr>
              <w:pStyle w:val="TableText"/>
              <w:ind w:left="241" w:right="240" w:firstLine="2"/>
              <w:spacing w:before="77" w:line="171" w:lineRule="auto"/>
              <w:jc w:val="both"/>
              <w:rPr>
                <w:sz w:val="18"/>
                <w:szCs w:val="18"/>
              </w:rPr>
            </w:pPr>
            <w:r>
              <w:rPr>
                <w:sz w:val="18"/>
                <w:szCs w:val="18"/>
                <w:b/>
                <w:bCs/>
                <w:color w:val="00B8F5"/>
                <w:spacing w:val="-1"/>
              </w:rPr>
              <w:t>首要</w:t>
            </w:r>
            <w:r>
              <w:rPr>
                <w:sz w:val="18"/>
                <w:szCs w:val="18"/>
                <w:b/>
                <w:bCs/>
                <w:color w:val="00B8F5"/>
              </w:rPr>
              <w:t xml:space="preserve"> </w:t>
            </w:r>
            <w:r>
              <w:rPr>
                <w:sz w:val="18"/>
                <w:szCs w:val="18"/>
                <w:b/>
                <w:bCs/>
                <w:color w:val="00B8F5"/>
              </w:rPr>
              <w:t>竞争 </w:t>
            </w:r>
            <w:r>
              <w:rPr>
                <w:sz w:val="18"/>
                <w:szCs w:val="18"/>
                <w:b/>
                <w:bCs/>
                <w:color w:val="00B8F5"/>
              </w:rPr>
              <w:t>要素</w:t>
            </w:r>
          </w:p>
        </w:tc>
        <w:tc>
          <w:tcPr>
            <w:shd w:val="clear" w:fill="F1F1F1"/>
            <w:tcW w:w="2198" w:type="dxa"/>
            <w:vAlign w:val="top"/>
            <w:tcBorders>
              <w:left w:val="single" w:color="BFBFBF" w:sz="2" w:space="0"/>
              <w:right w:val="single" w:color="BFBFBF" w:sz="2" w:space="0"/>
            </w:tcBorders>
          </w:tcPr>
          <w:p>
            <w:pPr>
              <w:pStyle w:val="TableText"/>
              <w:ind w:left="145"/>
              <w:spacing w:before="186" w:line="174" w:lineRule="auto"/>
              <w:rPr>
                <w:sz w:val="18"/>
                <w:szCs w:val="18"/>
              </w:rPr>
            </w:pPr>
            <w:r>
              <w:rPr>
                <w:sz w:val="18"/>
                <w:szCs w:val="18"/>
                <w:position w:val="-3"/>
              </w:rPr>
              <w:drawing>
                <wp:inline distT="0" distB="0" distL="0" distR="0">
                  <wp:extent cx="43318" cy="128564"/>
                  <wp:effectExtent l="0" t="0" r="0" b="0"/>
                  <wp:docPr id="850" name="IM 850"/>
                  <wp:cNvGraphicFramePr/>
                  <a:graphic>
                    <a:graphicData uri="http://schemas.openxmlformats.org/drawingml/2006/picture">
                      <pic:pic>
                        <pic:nvPicPr>
                          <pic:cNvPr id="850" name="IM 850"/>
                          <pic:cNvPicPr/>
                        </pic:nvPicPr>
                        <pic:blipFill>
                          <a:blip r:embed="rId402"/>
                          <a:stretch>
                            <a:fillRect/>
                          </a:stretch>
                        </pic:blipFill>
                        <pic:spPr>
                          <a:xfrm rot="0">
                            <a:off x="0" y="0"/>
                            <a:ext cx="43318" cy="128564"/>
                          </a:xfrm>
                          <a:prstGeom prst="rect">
                            <a:avLst/>
                          </a:prstGeom>
                        </pic:spPr>
                      </pic:pic>
                    </a:graphicData>
                  </a:graphic>
                </wp:inline>
              </w:drawing>
            </w:r>
            <w:r>
              <w:rPr>
                <w:sz w:val="18"/>
                <w:szCs w:val="18"/>
                <w:b/>
                <w:bCs/>
                <w:spacing w:val="45"/>
              </w:rPr>
              <w:t xml:space="preserve"> </w:t>
            </w:r>
            <w:r>
              <w:rPr>
                <w:sz w:val="18"/>
                <w:szCs w:val="18"/>
                <w:b/>
                <w:bCs/>
                <w:spacing w:val="1"/>
              </w:rPr>
              <w:t>资源渠道/客情关系：</w:t>
            </w:r>
          </w:p>
          <w:p>
            <w:pPr>
              <w:pStyle w:val="TableText"/>
              <w:ind w:left="304" w:right="257"/>
              <w:spacing w:before="1" w:line="169" w:lineRule="auto"/>
              <w:jc w:val="both"/>
              <w:rPr>
                <w:sz w:val="18"/>
                <w:szCs w:val="18"/>
              </w:rPr>
            </w:pPr>
            <w:r>
              <w:rPr>
                <w:sz w:val="18"/>
                <w:szCs w:val="18"/>
                <w:spacing w:val="1"/>
              </w:rPr>
              <w:t>项目方为五大六小发</w:t>
            </w:r>
            <w:r>
              <w:rPr>
                <w:sz w:val="18"/>
                <w:szCs w:val="18"/>
              </w:rPr>
              <w:t xml:space="preserve"> </w:t>
            </w:r>
            <w:r>
              <w:rPr>
                <w:sz w:val="18"/>
                <w:szCs w:val="18"/>
                <w:spacing w:val="1"/>
              </w:rPr>
              <w:t>电集团，投资方为国</w:t>
            </w:r>
            <w:r>
              <w:rPr>
                <w:sz w:val="18"/>
                <w:szCs w:val="18"/>
              </w:rPr>
              <w:t xml:space="preserve"> </w:t>
            </w:r>
            <w:r>
              <w:rPr>
                <w:sz w:val="18"/>
                <w:szCs w:val="18"/>
                <w:spacing w:val="1"/>
              </w:rPr>
              <w:t>有发电侧自投及社会</w:t>
            </w:r>
            <w:r>
              <w:rPr>
                <w:sz w:val="18"/>
                <w:szCs w:val="18"/>
              </w:rPr>
              <w:t xml:space="preserve"> </w:t>
            </w:r>
            <w:r>
              <w:rPr>
                <w:sz w:val="18"/>
                <w:szCs w:val="18"/>
                <w:spacing w:val="1"/>
              </w:rPr>
              <w:t>资本共同投资，倾向</w:t>
            </w:r>
            <w:r>
              <w:rPr>
                <w:sz w:val="18"/>
                <w:szCs w:val="18"/>
              </w:rPr>
              <w:t xml:space="preserve"> </w:t>
            </w:r>
            <w:r>
              <w:rPr>
                <w:sz w:val="18"/>
                <w:szCs w:val="18"/>
                <w:spacing w:val="1"/>
              </w:rPr>
              <w:t>与五大六小发电集团</w:t>
            </w:r>
            <w:r>
              <w:rPr>
                <w:sz w:val="18"/>
                <w:szCs w:val="18"/>
              </w:rPr>
              <w:t xml:space="preserve"> </w:t>
            </w:r>
            <w:r>
              <w:rPr>
                <w:sz w:val="18"/>
                <w:szCs w:val="18"/>
                <w:spacing w:val="1"/>
              </w:rPr>
              <w:t>存在关联或有长期稳</w:t>
            </w:r>
            <w:r>
              <w:rPr>
                <w:sz w:val="18"/>
                <w:szCs w:val="18"/>
              </w:rPr>
              <w:t xml:space="preserve"> </w:t>
            </w:r>
            <w:r>
              <w:rPr>
                <w:sz w:val="18"/>
                <w:szCs w:val="18"/>
                <w:spacing w:val="1"/>
              </w:rPr>
              <w:t>定合作关系的厂商</w:t>
            </w:r>
          </w:p>
        </w:tc>
        <w:tc>
          <w:tcPr>
            <w:shd w:val="clear" w:fill="F1F1F1"/>
            <w:tcW w:w="2198" w:type="dxa"/>
            <w:vAlign w:val="top"/>
            <w:tcBorders>
              <w:left w:val="single" w:color="BFBFBF" w:sz="2" w:space="0"/>
              <w:right w:val="single" w:color="BFBFBF" w:sz="2" w:space="0"/>
            </w:tcBorders>
          </w:tcPr>
          <w:p>
            <w:pPr>
              <w:pStyle w:val="TableText"/>
              <w:ind w:left="145"/>
              <w:spacing w:before="185" w:line="175" w:lineRule="auto"/>
              <w:rPr>
                <w:sz w:val="18"/>
                <w:szCs w:val="18"/>
              </w:rPr>
            </w:pPr>
            <w:r>
              <w:rPr>
                <w:sz w:val="18"/>
                <w:szCs w:val="18"/>
                <w:position w:val="-3"/>
              </w:rPr>
              <w:drawing>
                <wp:inline distT="0" distB="0" distL="0" distR="0">
                  <wp:extent cx="43318" cy="128564"/>
                  <wp:effectExtent l="0" t="0" r="0" b="0"/>
                  <wp:docPr id="852" name="IM 852"/>
                  <wp:cNvGraphicFramePr/>
                  <a:graphic>
                    <a:graphicData uri="http://schemas.openxmlformats.org/drawingml/2006/picture">
                      <pic:pic>
                        <pic:nvPicPr>
                          <pic:cNvPr id="852" name="IM 852"/>
                          <pic:cNvPicPr/>
                        </pic:nvPicPr>
                        <pic:blipFill>
                          <a:blip r:embed="rId403"/>
                          <a:stretch>
                            <a:fillRect/>
                          </a:stretch>
                        </pic:blipFill>
                        <pic:spPr>
                          <a:xfrm rot="0">
                            <a:off x="0" y="0"/>
                            <a:ext cx="43318" cy="128564"/>
                          </a:xfrm>
                          <a:prstGeom prst="rect">
                            <a:avLst/>
                          </a:prstGeom>
                        </pic:spPr>
                      </pic:pic>
                    </a:graphicData>
                  </a:graphic>
                </wp:inline>
              </w:drawing>
            </w:r>
            <w:r>
              <w:rPr>
                <w:sz w:val="18"/>
                <w:szCs w:val="18"/>
                <w:b/>
                <w:bCs/>
                <w:spacing w:val="45"/>
              </w:rPr>
              <w:t xml:space="preserve"> </w:t>
            </w:r>
            <w:r>
              <w:rPr>
                <w:sz w:val="18"/>
                <w:szCs w:val="18"/>
                <w:b/>
                <w:bCs/>
                <w:spacing w:val="1"/>
              </w:rPr>
              <w:t>资源渠道/客情关系：</w:t>
            </w:r>
          </w:p>
          <w:p>
            <w:pPr>
              <w:pStyle w:val="TableText"/>
              <w:ind w:left="305" w:right="122" w:firstLine="11"/>
              <w:spacing w:line="171" w:lineRule="auto"/>
              <w:jc w:val="both"/>
              <w:rPr>
                <w:sz w:val="18"/>
                <w:szCs w:val="18"/>
              </w:rPr>
            </w:pPr>
            <w:r>
              <w:rPr>
                <w:sz w:val="18"/>
                <w:szCs w:val="18"/>
                <w:spacing w:val="-1"/>
              </w:rPr>
              <w:t>以区域附属能源公司</w:t>
            </w:r>
            <w:r>
              <w:rPr>
                <w:sz w:val="18"/>
                <w:szCs w:val="18"/>
                <w:spacing w:val="2"/>
              </w:rPr>
              <w:t xml:space="preserve">   </w:t>
            </w:r>
            <w:r>
              <w:rPr>
                <w:sz w:val="18"/>
                <w:szCs w:val="18"/>
                <w:spacing w:val="-4"/>
              </w:rPr>
              <w:t>作为投资方主导项目，</w:t>
            </w:r>
            <w:r>
              <w:rPr>
                <w:sz w:val="18"/>
                <w:szCs w:val="18"/>
                <w:spacing w:val="4"/>
              </w:rPr>
              <w:t xml:space="preserve"> </w:t>
            </w:r>
            <w:r>
              <w:rPr>
                <w:sz w:val="18"/>
                <w:szCs w:val="18"/>
                <w:spacing w:val="1"/>
              </w:rPr>
              <w:t>通过招标选择省电网</w:t>
            </w:r>
            <w:r>
              <w:rPr>
                <w:sz w:val="18"/>
                <w:szCs w:val="18"/>
              </w:rPr>
              <w:t xml:space="preserve">   </w:t>
            </w:r>
            <w:r>
              <w:rPr>
                <w:sz w:val="18"/>
                <w:szCs w:val="18"/>
              </w:rPr>
              <w:t>公司下附属电科院/能</w:t>
            </w:r>
            <w:r>
              <w:rPr>
                <w:sz w:val="18"/>
                <w:szCs w:val="18"/>
                <w:spacing w:val="1"/>
              </w:rPr>
              <w:t xml:space="preserve">  </w:t>
            </w:r>
            <w:r>
              <w:rPr>
                <w:sz w:val="18"/>
                <w:szCs w:val="18"/>
                <w:spacing w:val="1"/>
              </w:rPr>
              <w:t>源技术公司推进项目</w:t>
            </w:r>
            <w:r>
              <w:rPr>
                <w:sz w:val="18"/>
                <w:szCs w:val="18"/>
              </w:rPr>
              <w:t xml:space="preserve">   </w:t>
            </w:r>
            <w:r>
              <w:rPr>
                <w:sz w:val="18"/>
                <w:szCs w:val="18"/>
                <w:spacing w:val="1"/>
              </w:rPr>
              <w:t>形式居多，重视电网</w:t>
            </w:r>
            <w:r>
              <w:rPr>
                <w:sz w:val="18"/>
                <w:szCs w:val="18"/>
              </w:rPr>
              <w:t xml:space="preserve">   </w:t>
            </w:r>
            <w:r>
              <w:rPr>
                <w:sz w:val="18"/>
                <w:szCs w:val="18"/>
              </w:rPr>
              <w:t>长关联/期合作关系</w:t>
            </w:r>
          </w:p>
        </w:tc>
        <w:tc>
          <w:tcPr>
            <w:shd w:val="clear" w:fill="F1F1F1"/>
            <w:tcW w:w="2197" w:type="dxa"/>
            <w:vAlign w:val="top"/>
            <w:tcBorders>
              <w:left w:val="single" w:color="BFBFBF" w:sz="2" w:space="0"/>
              <w:right w:val="single" w:color="BFBFBF" w:sz="2" w:space="0"/>
            </w:tcBorders>
          </w:tcPr>
          <w:p>
            <w:pPr>
              <w:pStyle w:val="TableText"/>
              <w:ind w:left="145"/>
              <w:spacing w:before="186" w:line="174" w:lineRule="auto"/>
              <w:rPr>
                <w:sz w:val="18"/>
                <w:szCs w:val="18"/>
              </w:rPr>
            </w:pPr>
            <w:r>
              <w:rPr>
                <w:sz w:val="18"/>
                <w:szCs w:val="18"/>
                <w:position w:val="-3"/>
              </w:rPr>
              <w:drawing>
                <wp:inline distT="0" distB="0" distL="0" distR="0">
                  <wp:extent cx="43318" cy="128564"/>
                  <wp:effectExtent l="0" t="0" r="0" b="0"/>
                  <wp:docPr id="854" name="IM 854"/>
                  <wp:cNvGraphicFramePr/>
                  <a:graphic>
                    <a:graphicData uri="http://schemas.openxmlformats.org/drawingml/2006/picture">
                      <pic:pic>
                        <pic:nvPicPr>
                          <pic:cNvPr id="854" name="IM 854"/>
                          <pic:cNvPicPr/>
                        </pic:nvPicPr>
                        <pic:blipFill>
                          <a:blip r:embed="rId404"/>
                          <a:stretch>
                            <a:fillRect/>
                          </a:stretch>
                        </pic:blipFill>
                        <pic:spPr>
                          <a:xfrm rot="0">
                            <a:off x="0" y="0"/>
                            <a:ext cx="43318" cy="128564"/>
                          </a:xfrm>
                          <a:prstGeom prst="rect">
                            <a:avLst/>
                          </a:prstGeom>
                        </pic:spPr>
                      </pic:pic>
                    </a:graphicData>
                  </a:graphic>
                </wp:inline>
              </w:drawing>
            </w:r>
            <w:r>
              <w:rPr>
                <w:sz w:val="18"/>
                <w:szCs w:val="18"/>
                <w:b/>
                <w:bCs/>
                <w:spacing w:val="45"/>
              </w:rPr>
              <w:t xml:space="preserve"> </w:t>
            </w:r>
            <w:r>
              <w:rPr>
                <w:sz w:val="18"/>
                <w:szCs w:val="18"/>
                <w:b/>
                <w:bCs/>
                <w:spacing w:val="1"/>
              </w:rPr>
              <w:t>资源渠道/客情关系：</w:t>
            </w:r>
          </w:p>
          <w:p>
            <w:pPr>
              <w:pStyle w:val="TableText"/>
              <w:ind w:left="303" w:right="185"/>
              <w:spacing w:before="7" w:line="167" w:lineRule="auto"/>
              <w:rPr>
                <w:sz w:val="18"/>
                <w:szCs w:val="18"/>
              </w:rPr>
            </w:pPr>
            <w:r>
              <w:rPr>
                <w:sz w:val="18"/>
                <w:szCs w:val="18"/>
                <w:spacing w:val="1"/>
              </w:rPr>
              <w:t>项目方为用电量大的</w:t>
            </w:r>
            <w:r>
              <w:rPr>
                <w:sz w:val="18"/>
                <w:szCs w:val="18"/>
              </w:rPr>
              <w:t xml:space="preserve">  </w:t>
            </w:r>
            <w:r>
              <w:rPr>
                <w:sz w:val="18"/>
                <w:szCs w:val="18"/>
                <w:spacing w:val="1"/>
              </w:rPr>
              <w:t>工厂或商业体，由国</w:t>
            </w:r>
            <w:r>
              <w:rPr>
                <w:sz w:val="18"/>
                <w:szCs w:val="18"/>
              </w:rPr>
              <w:t xml:space="preserve">  </w:t>
            </w:r>
            <w:r>
              <w:rPr>
                <w:sz w:val="18"/>
                <w:szCs w:val="18"/>
                <w:spacing w:val="1"/>
              </w:rPr>
              <w:t>有发电侧如电网三产</w:t>
            </w:r>
            <w:r>
              <w:rPr>
                <w:sz w:val="18"/>
                <w:szCs w:val="18"/>
              </w:rPr>
              <w:t xml:space="preserve">  </w:t>
            </w:r>
            <w:r>
              <w:rPr>
                <w:sz w:val="18"/>
                <w:szCs w:val="18"/>
                <w:spacing w:val="1"/>
              </w:rPr>
              <w:t>牵头，项目方及其他</w:t>
            </w:r>
            <w:r>
              <w:rPr>
                <w:sz w:val="18"/>
                <w:szCs w:val="18"/>
              </w:rPr>
              <w:t xml:space="preserve">  </w:t>
            </w:r>
            <w:r>
              <w:rPr>
                <w:sz w:val="18"/>
                <w:szCs w:val="18"/>
              </w:rPr>
              <w:t>投资方（部分电池厂/</w:t>
            </w:r>
            <w:r>
              <w:rPr>
                <w:sz w:val="18"/>
                <w:szCs w:val="18"/>
                <w:spacing w:val="4"/>
              </w:rPr>
              <w:t xml:space="preserve"> </w:t>
            </w:r>
            <w:r>
              <w:rPr>
                <w:sz w:val="18"/>
                <w:szCs w:val="18"/>
                <w:spacing w:val="1"/>
              </w:rPr>
              <w:t>社会资本等）投资，</w:t>
            </w:r>
          </w:p>
          <w:p>
            <w:pPr>
              <w:pStyle w:val="TableText"/>
              <w:ind w:left="310"/>
              <w:spacing w:line="176" w:lineRule="auto"/>
              <w:rPr>
                <w:sz w:val="18"/>
                <w:szCs w:val="18"/>
              </w:rPr>
            </w:pPr>
            <w:r>
              <w:rPr>
                <w:sz w:val="18"/>
                <w:szCs w:val="18"/>
              </w:rPr>
              <w:t>需要销售人员</w:t>
            </w:r>
          </w:p>
        </w:tc>
        <w:tc>
          <w:tcPr>
            <w:shd w:val="clear" w:fill="F1F1F1"/>
            <w:tcW w:w="2198" w:type="dxa"/>
            <w:vAlign w:val="top"/>
            <w:tcBorders>
              <w:left w:val="single" w:color="BFBFBF" w:sz="2" w:space="0"/>
            </w:tcBorders>
          </w:tcPr>
          <w:p>
            <w:pPr>
              <w:pStyle w:val="TableText"/>
              <w:ind w:left="305" w:right="123" w:hanging="159"/>
              <w:spacing w:before="73" w:line="170" w:lineRule="auto"/>
              <w:rPr>
                <w:sz w:val="18"/>
                <w:szCs w:val="18"/>
              </w:rPr>
            </w:pPr>
            <w:r>
              <w:rPr>
                <w:sz w:val="18"/>
                <w:szCs w:val="18"/>
                <w:position w:val="-3"/>
              </w:rPr>
              <w:drawing>
                <wp:inline distT="0" distB="0" distL="0" distR="0">
                  <wp:extent cx="43318" cy="128564"/>
                  <wp:effectExtent l="0" t="0" r="0" b="0"/>
                  <wp:docPr id="856" name="IM 856"/>
                  <wp:cNvGraphicFramePr/>
                  <a:graphic>
                    <a:graphicData uri="http://schemas.openxmlformats.org/drawingml/2006/picture">
                      <pic:pic>
                        <pic:nvPicPr>
                          <pic:cNvPr id="856" name="IM 856"/>
                          <pic:cNvPicPr/>
                        </pic:nvPicPr>
                        <pic:blipFill>
                          <a:blip r:embed="rId405"/>
                          <a:stretch>
                            <a:fillRect/>
                          </a:stretch>
                        </pic:blipFill>
                        <pic:spPr>
                          <a:xfrm rot="0">
                            <a:off x="0" y="0"/>
                            <a:ext cx="43318" cy="128564"/>
                          </a:xfrm>
                          <a:prstGeom prst="rect">
                            <a:avLst/>
                          </a:prstGeom>
                        </pic:spPr>
                      </pic:pic>
                    </a:graphicData>
                  </a:graphic>
                </wp:inline>
              </w:drawing>
            </w:r>
            <w:r>
              <w:rPr>
                <w:sz w:val="18"/>
                <w:szCs w:val="18"/>
                <w:b/>
                <w:bCs/>
                <w:spacing w:val="47"/>
              </w:rPr>
              <w:t xml:space="preserve"> </w:t>
            </w:r>
            <w:r>
              <w:rPr>
                <w:sz w:val="18"/>
                <w:szCs w:val="18"/>
                <w:b/>
                <w:bCs/>
                <w:spacing w:val="-3"/>
              </w:rPr>
              <w:t>销售渠道： </w:t>
            </w:r>
            <w:r>
              <w:rPr>
                <w:sz w:val="18"/>
                <w:szCs w:val="18"/>
                <w:spacing w:val="-3"/>
              </w:rPr>
              <w:t>国内企业</w:t>
            </w:r>
            <w:r>
              <w:rPr>
                <w:sz w:val="18"/>
                <w:szCs w:val="18"/>
              </w:rPr>
              <w:t xml:space="preserve">   </w:t>
            </w:r>
            <w:r>
              <w:rPr>
                <w:sz w:val="18"/>
                <w:szCs w:val="18"/>
                <w:spacing w:val="1"/>
              </w:rPr>
              <w:t>在海外销售以分销和</w:t>
            </w:r>
            <w:r>
              <w:rPr>
                <w:sz w:val="18"/>
                <w:szCs w:val="18"/>
              </w:rPr>
              <w:t xml:space="preserve">   </w:t>
            </w:r>
            <w:r>
              <w:rPr>
                <w:sz w:val="18"/>
                <w:szCs w:val="18"/>
                <w:spacing w:val="-3"/>
              </w:rPr>
              <w:t>OEM为主，分销主要</w:t>
            </w:r>
            <w:r>
              <w:rPr>
                <w:sz w:val="18"/>
                <w:szCs w:val="18"/>
              </w:rPr>
              <w:t xml:space="preserve">   </w:t>
            </w:r>
            <w:r>
              <w:rPr>
                <w:sz w:val="18"/>
                <w:szCs w:val="18"/>
                <w:spacing w:val="-4"/>
              </w:rPr>
              <w:t>依靠经销商渠道销售，</w:t>
            </w:r>
            <w:r>
              <w:rPr>
                <w:sz w:val="18"/>
                <w:szCs w:val="18"/>
                <w:spacing w:val="4"/>
              </w:rPr>
              <w:t xml:space="preserve"> </w:t>
            </w:r>
            <w:r>
              <w:rPr>
                <w:sz w:val="18"/>
                <w:szCs w:val="18"/>
                <w:spacing w:val="-3"/>
              </w:rPr>
              <w:t>OEM主要依靠客户分</w:t>
            </w:r>
            <w:r>
              <w:rPr>
                <w:sz w:val="18"/>
                <w:szCs w:val="18"/>
              </w:rPr>
              <w:t xml:space="preserve">   </w:t>
            </w:r>
            <w:r>
              <w:rPr>
                <w:sz w:val="18"/>
                <w:szCs w:val="18"/>
                <w:spacing w:val="1"/>
              </w:rPr>
              <w:t>销渠道；与海外集成</w:t>
            </w:r>
            <w:r>
              <w:rPr>
                <w:sz w:val="18"/>
                <w:szCs w:val="18"/>
              </w:rPr>
              <w:t xml:space="preserve">   </w:t>
            </w:r>
            <w:r>
              <w:rPr>
                <w:sz w:val="18"/>
                <w:szCs w:val="18"/>
                <w:spacing w:val="1"/>
              </w:rPr>
              <w:t>商巨头建立稳定合作</w:t>
            </w:r>
            <w:r>
              <w:rPr>
                <w:sz w:val="18"/>
                <w:szCs w:val="18"/>
              </w:rPr>
              <w:t xml:space="preserve">   </w:t>
            </w:r>
            <w:r>
              <w:rPr>
                <w:sz w:val="18"/>
                <w:szCs w:val="18"/>
                <w:spacing w:val="1"/>
              </w:rPr>
              <w:t>关系是打开海外渠道</w:t>
            </w:r>
            <w:r>
              <w:rPr>
                <w:sz w:val="18"/>
                <w:szCs w:val="18"/>
              </w:rPr>
              <w:t xml:space="preserve">   </w:t>
            </w:r>
            <w:r>
              <w:rPr>
                <w:sz w:val="18"/>
                <w:szCs w:val="18"/>
              </w:rPr>
              <w:t>的关键</w:t>
            </w:r>
          </w:p>
        </w:tc>
      </w:tr>
      <w:tr>
        <w:trPr>
          <w:trHeight w:val="1638" w:hRule="atLeast"/>
        </w:trPr>
        <w:tc>
          <w:tcPr>
            <w:tcW w:w="846" w:type="dxa"/>
            <w:vAlign w:val="top"/>
            <w:tcBorders>
              <w:right w:val="single" w:color="BFBFBF" w:sz="2" w:space="0"/>
            </w:tcBorders>
          </w:tcPr>
          <w:p>
            <w:pPr>
              <w:spacing w:line="445" w:lineRule="auto"/>
              <w:rPr>
                <w:rFonts w:ascii="Arial"/>
                <w:sz w:val="21"/>
              </w:rPr>
            </w:pPr>
            <w:r/>
          </w:p>
          <w:p>
            <w:pPr>
              <w:pStyle w:val="TableText"/>
              <w:ind w:left="241" w:right="240"/>
              <w:spacing w:before="77" w:line="171" w:lineRule="auto"/>
              <w:jc w:val="both"/>
              <w:rPr>
                <w:sz w:val="18"/>
                <w:szCs w:val="18"/>
              </w:rPr>
            </w:pPr>
            <w:r>
              <w:rPr>
                <w:sz w:val="18"/>
                <w:szCs w:val="18"/>
                <w:b/>
                <w:bCs/>
                <w:color w:val="00B8F5"/>
              </w:rPr>
              <w:t>次要 </w:t>
            </w:r>
            <w:r>
              <w:rPr>
                <w:sz w:val="18"/>
                <w:szCs w:val="18"/>
                <w:b/>
                <w:bCs/>
                <w:color w:val="00B8F5"/>
              </w:rPr>
              <w:t>竞争 </w:t>
            </w:r>
            <w:r>
              <w:rPr>
                <w:sz w:val="18"/>
                <w:szCs w:val="18"/>
                <w:b/>
                <w:bCs/>
                <w:color w:val="00B8F5"/>
              </w:rPr>
              <w:t>要素</w:t>
            </w:r>
          </w:p>
        </w:tc>
        <w:tc>
          <w:tcPr>
            <w:tcW w:w="2198" w:type="dxa"/>
            <w:vAlign w:val="top"/>
            <w:tcBorders>
              <w:left w:val="single" w:color="BFBFBF" w:sz="2" w:space="0"/>
              <w:right w:val="single" w:color="BFBFBF" w:sz="2" w:space="0"/>
            </w:tcBorders>
          </w:tcPr>
          <w:p>
            <w:pPr>
              <w:spacing w:line="330" w:lineRule="auto"/>
              <w:rPr>
                <w:rFonts w:ascii="Arial"/>
                <w:sz w:val="21"/>
              </w:rPr>
            </w:pPr>
            <w:r/>
          </w:p>
          <w:p>
            <w:pPr>
              <w:pStyle w:val="TableText"/>
              <w:ind w:left="304" w:right="189" w:hanging="159"/>
              <w:spacing w:before="77" w:line="172" w:lineRule="auto"/>
              <w:rPr>
                <w:sz w:val="18"/>
                <w:szCs w:val="18"/>
              </w:rPr>
            </w:pPr>
            <w:r>
              <w:rPr>
                <w:sz w:val="18"/>
                <w:szCs w:val="18"/>
                <w:position w:val="-3"/>
              </w:rPr>
              <w:drawing>
                <wp:inline distT="0" distB="0" distL="0" distR="0">
                  <wp:extent cx="43318" cy="128564"/>
                  <wp:effectExtent l="0" t="0" r="0" b="0"/>
                  <wp:docPr id="858" name="IM 858"/>
                  <wp:cNvGraphicFramePr/>
                  <a:graphic>
                    <a:graphicData uri="http://schemas.openxmlformats.org/drawingml/2006/picture">
                      <pic:pic>
                        <pic:nvPicPr>
                          <pic:cNvPr id="858" name="IM 858"/>
                          <pic:cNvPicPr/>
                        </pic:nvPicPr>
                        <pic:blipFill>
                          <a:blip r:embed="rId406"/>
                          <a:stretch>
                            <a:fillRect/>
                          </a:stretch>
                        </pic:blipFill>
                        <pic:spPr>
                          <a:xfrm rot="0">
                            <a:off x="0" y="0"/>
                            <a:ext cx="43318" cy="128564"/>
                          </a:xfrm>
                          <a:prstGeom prst="rect">
                            <a:avLst/>
                          </a:prstGeom>
                        </pic:spPr>
                      </pic:pic>
                    </a:graphicData>
                  </a:graphic>
                </wp:inline>
              </w:drawing>
            </w:r>
            <w:r>
              <w:rPr>
                <w:sz w:val="18"/>
                <w:szCs w:val="18"/>
                <w:b/>
                <w:bCs/>
                <w:spacing w:val="43"/>
              </w:rPr>
              <w:t xml:space="preserve"> </w:t>
            </w:r>
            <w:r>
              <w:rPr>
                <w:sz w:val="18"/>
                <w:szCs w:val="18"/>
                <w:b/>
                <w:bCs/>
                <w:spacing w:val="-1"/>
              </w:rPr>
              <w:t>产品经济性：</w:t>
            </w:r>
            <w:r>
              <w:rPr>
                <w:sz w:val="18"/>
                <w:szCs w:val="18"/>
                <w:b/>
                <w:bCs/>
                <w:spacing w:val="-13"/>
              </w:rPr>
              <w:t xml:space="preserve"> </w:t>
            </w:r>
            <w:r>
              <w:rPr>
                <w:sz w:val="18"/>
                <w:szCs w:val="18"/>
                <w:spacing w:val="-1"/>
              </w:rPr>
              <w:t>储能系</w:t>
            </w:r>
            <w:r>
              <w:rPr>
                <w:sz w:val="18"/>
                <w:szCs w:val="18"/>
              </w:rPr>
              <w:t xml:space="preserve">  </w:t>
            </w:r>
            <w:r>
              <w:rPr>
                <w:sz w:val="18"/>
                <w:szCs w:val="18"/>
                <w:spacing w:val="-3"/>
              </w:rPr>
              <w:t>统成本降低项目IRR，</w:t>
            </w:r>
            <w:r>
              <w:rPr>
                <w:sz w:val="18"/>
                <w:szCs w:val="18"/>
                <w:spacing w:val="2"/>
              </w:rPr>
              <w:t xml:space="preserve"> </w:t>
            </w:r>
            <w:r>
              <w:rPr>
                <w:sz w:val="18"/>
                <w:szCs w:val="18"/>
                <w:spacing w:val="1"/>
              </w:rPr>
              <w:t>业主倾向于选择低报</w:t>
            </w:r>
            <w:r>
              <w:rPr>
                <w:sz w:val="18"/>
                <w:szCs w:val="18"/>
              </w:rPr>
              <w:t xml:space="preserve">  </w:t>
            </w:r>
            <w:r>
              <w:rPr>
                <w:sz w:val="18"/>
                <w:szCs w:val="18"/>
              </w:rPr>
              <w:t>价集成商</w:t>
            </w:r>
          </w:p>
        </w:tc>
        <w:tc>
          <w:tcPr>
            <w:tcW w:w="2198" w:type="dxa"/>
            <w:vAlign w:val="top"/>
            <w:tcBorders>
              <w:left w:val="single" w:color="BFBFBF" w:sz="2" w:space="0"/>
              <w:right w:val="single" w:color="BFBFBF" w:sz="2" w:space="0"/>
            </w:tcBorders>
          </w:tcPr>
          <w:p>
            <w:pPr>
              <w:spacing w:line="330" w:lineRule="auto"/>
              <w:rPr>
                <w:rFonts w:ascii="Arial"/>
                <w:sz w:val="21"/>
              </w:rPr>
            </w:pPr>
            <w:r/>
          </w:p>
          <w:p>
            <w:pPr>
              <w:pStyle w:val="TableText"/>
              <w:ind w:left="304" w:right="189" w:hanging="159"/>
              <w:spacing w:before="77" w:line="172" w:lineRule="auto"/>
              <w:rPr>
                <w:sz w:val="18"/>
                <w:szCs w:val="18"/>
              </w:rPr>
            </w:pPr>
            <w:r>
              <w:rPr>
                <w:sz w:val="18"/>
                <w:szCs w:val="18"/>
                <w:position w:val="-3"/>
              </w:rPr>
              <w:drawing>
                <wp:inline distT="0" distB="0" distL="0" distR="0">
                  <wp:extent cx="43318" cy="128564"/>
                  <wp:effectExtent l="0" t="0" r="0" b="0"/>
                  <wp:docPr id="860" name="IM 860"/>
                  <wp:cNvGraphicFramePr/>
                  <a:graphic>
                    <a:graphicData uri="http://schemas.openxmlformats.org/drawingml/2006/picture">
                      <pic:pic>
                        <pic:nvPicPr>
                          <pic:cNvPr id="860" name="IM 860"/>
                          <pic:cNvPicPr/>
                        </pic:nvPicPr>
                        <pic:blipFill>
                          <a:blip r:embed="rId407"/>
                          <a:stretch>
                            <a:fillRect/>
                          </a:stretch>
                        </pic:blipFill>
                        <pic:spPr>
                          <a:xfrm rot="0">
                            <a:off x="0" y="0"/>
                            <a:ext cx="43318" cy="128564"/>
                          </a:xfrm>
                          <a:prstGeom prst="rect">
                            <a:avLst/>
                          </a:prstGeom>
                        </pic:spPr>
                      </pic:pic>
                    </a:graphicData>
                  </a:graphic>
                </wp:inline>
              </w:drawing>
            </w:r>
            <w:r>
              <w:rPr>
                <w:sz w:val="18"/>
                <w:szCs w:val="18"/>
                <w:b/>
                <w:bCs/>
                <w:spacing w:val="43"/>
              </w:rPr>
              <w:t xml:space="preserve"> </w:t>
            </w:r>
            <w:r>
              <w:rPr>
                <w:sz w:val="18"/>
                <w:szCs w:val="18"/>
                <w:b/>
                <w:bCs/>
                <w:spacing w:val="-1"/>
              </w:rPr>
              <w:t>产品经济性：</w:t>
            </w:r>
            <w:r>
              <w:rPr>
                <w:sz w:val="18"/>
                <w:szCs w:val="18"/>
                <w:b/>
                <w:bCs/>
                <w:spacing w:val="-13"/>
              </w:rPr>
              <w:t xml:space="preserve"> </w:t>
            </w:r>
            <w:r>
              <w:rPr>
                <w:sz w:val="18"/>
                <w:szCs w:val="18"/>
                <w:spacing w:val="-1"/>
              </w:rPr>
              <w:t>储能系</w:t>
            </w:r>
            <w:r>
              <w:rPr>
                <w:sz w:val="18"/>
                <w:szCs w:val="18"/>
              </w:rPr>
              <w:t xml:space="preserve">  </w:t>
            </w:r>
            <w:r>
              <w:rPr>
                <w:sz w:val="18"/>
                <w:szCs w:val="18"/>
                <w:spacing w:val="-3"/>
              </w:rPr>
              <w:t>统成本降低项目IRR，</w:t>
            </w:r>
            <w:r>
              <w:rPr>
                <w:sz w:val="18"/>
                <w:szCs w:val="18"/>
                <w:spacing w:val="2"/>
              </w:rPr>
              <w:t xml:space="preserve"> </w:t>
            </w:r>
            <w:r>
              <w:rPr>
                <w:sz w:val="18"/>
                <w:szCs w:val="18"/>
                <w:spacing w:val="1"/>
              </w:rPr>
              <w:t>业主倾向于选择低报</w:t>
            </w:r>
            <w:r>
              <w:rPr>
                <w:sz w:val="18"/>
                <w:szCs w:val="18"/>
              </w:rPr>
              <w:t xml:space="preserve">  </w:t>
            </w:r>
            <w:r>
              <w:rPr>
                <w:sz w:val="18"/>
                <w:szCs w:val="18"/>
              </w:rPr>
              <w:t>价集成商</w:t>
            </w:r>
          </w:p>
        </w:tc>
        <w:tc>
          <w:tcPr>
            <w:tcW w:w="2197" w:type="dxa"/>
            <w:vAlign w:val="top"/>
            <w:tcBorders>
              <w:left w:val="single" w:color="BFBFBF" w:sz="2" w:space="0"/>
              <w:right w:val="single" w:color="BFBFBF" w:sz="2" w:space="0"/>
            </w:tcBorders>
          </w:tcPr>
          <w:p>
            <w:pPr>
              <w:pStyle w:val="TableText"/>
              <w:ind w:left="303" w:right="223" w:hanging="158"/>
              <w:spacing w:before="88" w:line="170" w:lineRule="auto"/>
              <w:rPr>
                <w:sz w:val="18"/>
                <w:szCs w:val="18"/>
              </w:rPr>
            </w:pPr>
            <w:r>
              <w:rPr>
                <w:sz w:val="18"/>
                <w:szCs w:val="18"/>
                <w:position w:val="-3"/>
              </w:rPr>
              <w:drawing>
                <wp:inline distT="0" distB="0" distL="0" distR="0">
                  <wp:extent cx="43318" cy="128564"/>
                  <wp:effectExtent l="0" t="0" r="0" b="0"/>
                  <wp:docPr id="862" name="IM 862"/>
                  <wp:cNvGraphicFramePr/>
                  <a:graphic>
                    <a:graphicData uri="http://schemas.openxmlformats.org/drawingml/2006/picture">
                      <pic:pic>
                        <pic:nvPicPr>
                          <pic:cNvPr id="862" name="IM 862"/>
                          <pic:cNvPicPr/>
                        </pic:nvPicPr>
                        <pic:blipFill>
                          <a:blip r:embed="rId408"/>
                          <a:stretch>
                            <a:fillRect/>
                          </a:stretch>
                        </pic:blipFill>
                        <pic:spPr>
                          <a:xfrm rot="0">
                            <a:off x="0" y="0"/>
                            <a:ext cx="43318" cy="128564"/>
                          </a:xfrm>
                          <a:prstGeom prst="rect">
                            <a:avLst/>
                          </a:prstGeom>
                        </pic:spPr>
                      </pic:pic>
                    </a:graphicData>
                  </a:graphic>
                </wp:inline>
              </w:drawing>
            </w:r>
            <w:r>
              <w:rPr>
                <w:sz w:val="18"/>
                <w:szCs w:val="18"/>
                <w:b/>
                <w:bCs/>
                <w:spacing w:val="36"/>
                <w:w w:val="101"/>
              </w:rPr>
              <w:t xml:space="preserve"> </w:t>
            </w:r>
            <w:r>
              <w:rPr>
                <w:sz w:val="18"/>
                <w:szCs w:val="18"/>
                <w:b/>
                <w:bCs/>
                <w:spacing w:val="-1"/>
              </w:rPr>
              <w:t>项目经验积累： </w:t>
            </w:r>
            <w:r>
              <w:rPr>
                <w:sz w:val="18"/>
                <w:szCs w:val="18"/>
                <w:spacing w:val="-1"/>
              </w:rPr>
              <w:t>用户</w:t>
            </w:r>
            <w:r>
              <w:rPr>
                <w:sz w:val="18"/>
                <w:szCs w:val="18"/>
              </w:rPr>
              <w:t xml:space="preserve"> </w:t>
            </w:r>
            <w:r>
              <w:rPr>
                <w:sz w:val="18"/>
                <w:szCs w:val="18"/>
                <w:spacing w:val="1"/>
              </w:rPr>
              <w:t>侧业主对下游品牌了</w:t>
            </w:r>
            <w:r>
              <w:rPr>
                <w:sz w:val="18"/>
                <w:szCs w:val="18"/>
              </w:rPr>
              <w:t xml:space="preserve">  </w:t>
            </w:r>
            <w:r>
              <w:rPr>
                <w:sz w:val="18"/>
                <w:szCs w:val="18"/>
                <w:spacing w:val="1"/>
              </w:rPr>
              <w:t>解途径包括业内人士</w:t>
            </w:r>
            <w:r>
              <w:rPr>
                <w:sz w:val="18"/>
                <w:szCs w:val="18"/>
              </w:rPr>
              <w:t xml:space="preserve">  </w:t>
            </w:r>
            <w:r>
              <w:rPr>
                <w:sz w:val="18"/>
                <w:szCs w:val="18"/>
                <w:spacing w:val="1"/>
              </w:rPr>
              <w:t>介绍等，具备经验积</w:t>
            </w:r>
            <w:r>
              <w:rPr>
                <w:sz w:val="18"/>
                <w:szCs w:val="18"/>
              </w:rPr>
              <w:t xml:space="preserve">  </w:t>
            </w:r>
            <w:r>
              <w:rPr>
                <w:sz w:val="18"/>
                <w:szCs w:val="18"/>
                <w:spacing w:val="1"/>
              </w:rPr>
              <w:t>累的集成商具有先发</w:t>
            </w:r>
            <w:r>
              <w:rPr>
                <w:sz w:val="18"/>
                <w:szCs w:val="18"/>
              </w:rPr>
              <w:t xml:space="preserve">  </w:t>
            </w:r>
            <w:r>
              <w:rPr>
                <w:sz w:val="18"/>
                <w:szCs w:val="18"/>
                <w:spacing w:val="1"/>
              </w:rPr>
              <w:t>优势并容易得到业主</w:t>
            </w:r>
            <w:r>
              <w:rPr>
                <w:sz w:val="18"/>
                <w:szCs w:val="18"/>
              </w:rPr>
              <w:t xml:space="preserve">  </w:t>
            </w:r>
            <w:r>
              <w:rPr>
                <w:sz w:val="18"/>
                <w:szCs w:val="18"/>
                <w:spacing w:val="-1"/>
              </w:rPr>
              <w:t>认可</w:t>
            </w:r>
          </w:p>
        </w:tc>
        <w:tc>
          <w:tcPr>
            <w:tcW w:w="2198" w:type="dxa"/>
            <w:vAlign w:val="top"/>
            <w:tcBorders>
              <w:left w:val="single" w:color="BFBFBF" w:sz="2" w:space="0"/>
            </w:tcBorders>
          </w:tcPr>
          <w:p>
            <w:pPr>
              <w:pStyle w:val="TableText"/>
              <w:ind w:left="303" w:right="225" w:hanging="157"/>
              <w:spacing w:before="89" w:line="170" w:lineRule="auto"/>
              <w:rPr>
                <w:sz w:val="18"/>
                <w:szCs w:val="18"/>
              </w:rPr>
            </w:pPr>
            <w:r>
              <w:rPr>
                <w:sz w:val="18"/>
                <w:szCs w:val="18"/>
                <w:position w:val="-3"/>
              </w:rPr>
              <w:drawing>
                <wp:inline distT="0" distB="0" distL="0" distR="0">
                  <wp:extent cx="43318" cy="128564"/>
                  <wp:effectExtent l="0" t="0" r="0" b="0"/>
                  <wp:docPr id="864" name="IM 864"/>
                  <wp:cNvGraphicFramePr/>
                  <a:graphic>
                    <a:graphicData uri="http://schemas.openxmlformats.org/drawingml/2006/picture">
                      <pic:pic>
                        <pic:nvPicPr>
                          <pic:cNvPr id="864" name="IM 864"/>
                          <pic:cNvPicPr/>
                        </pic:nvPicPr>
                        <pic:blipFill>
                          <a:blip r:embed="rId409"/>
                          <a:stretch>
                            <a:fillRect/>
                          </a:stretch>
                        </pic:blipFill>
                        <pic:spPr>
                          <a:xfrm rot="0">
                            <a:off x="0" y="0"/>
                            <a:ext cx="43318" cy="128564"/>
                          </a:xfrm>
                          <a:prstGeom prst="rect">
                            <a:avLst/>
                          </a:prstGeom>
                        </pic:spPr>
                      </pic:pic>
                    </a:graphicData>
                  </a:graphic>
                </wp:inline>
              </w:drawing>
            </w:r>
            <w:r>
              <w:rPr>
                <w:sz w:val="18"/>
                <w:szCs w:val="18"/>
                <w:b/>
                <w:bCs/>
                <w:spacing w:val="47"/>
                <w:w w:val="101"/>
              </w:rPr>
              <w:t xml:space="preserve"> </w:t>
            </w:r>
            <w:r>
              <w:rPr>
                <w:sz w:val="18"/>
                <w:szCs w:val="18"/>
                <w:b/>
                <w:bCs/>
                <w:spacing w:val="-1"/>
              </w:rPr>
              <w:t>品牌口碑积累：</w:t>
            </w:r>
            <w:r>
              <w:rPr>
                <w:sz w:val="18"/>
                <w:szCs w:val="18"/>
                <w:b/>
                <w:bCs/>
                <w:spacing w:val="-12"/>
              </w:rPr>
              <w:t xml:space="preserve"> </w:t>
            </w:r>
            <w:r>
              <w:rPr>
                <w:sz w:val="18"/>
                <w:szCs w:val="18"/>
                <w:spacing w:val="-1"/>
              </w:rPr>
              <w:t>户用</w:t>
            </w:r>
            <w:r>
              <w:rPr>
                <w:sz w:val="18"/>
                <w:szCs w:val="18"/>
              </w:rPr>
              <w:t xml:space="preserve"> </w:t>
            </w:r>
            <w:r>
              <w:rPr>
                <w:sz w:val="18"/>
                <w:szCs w:val="18"/>
                <w:spacing w:val="1"/>
              </w:rPr>
              <w:t>储能具有消费属性，</w:t>
            </w:r>
            <w:r>
              <w:rPr>
                <w:sz w:val="18"/>
                <w:szCs w:val="18"/>
                <w:spacing w:val="4"/>
              </w:rPr>
              <w:t xml:space="preserve"> </w:t>
            </w:r>
            <w:r>
              <w:rPr>
                <w:sz w:val="18"/>
                <w:szCs w:val="18"/>
                <w:spacing w:val="1"/>
              </w:rPr>
              <w:t>品牌是终端用户决策</w:t>
            </w:r>
            <w:r>
              <w:rPr>
                <w:sz w:val="18"/>
                <w:szCs w:val="18"/>
              </w:rPr>
              <w:t xml:space="preserve">  </w:t>
            </w:r>
            <w:r>
              <w:rPr>
                <w:sz w:val="18"/>
                <w:szCs w:val="18"/>
                <w:spacing w:val="1"/>
              </w:rPr>
              <w:t>的重要依据，可为具</w:t>
            </w:r>
            <w:r>
              <w:rPr>
                <w:sz w:val="18"/>
                <w:szCs w:val="18"/>
              </w:rPr>
              <w:t xml:space="preserve">  </w:t>
            </w:r>
            <w:r>
              <w:rPr>
                <w:sz w:val="18"/>
                <w:szCs w:val="18"/>
                <w:spacing w:val="1"/>
              </w:rPr>
              <w:t>有先发优势的企业构</w:t>
            </w:r>
            <w:r>
              <w:rPr>
                <w:sz w:val="18"/>
                <w:szCs w:val="18"/>
              </w:rPr>
              <w:t xml:space="preserve">  </w:t>
            </w:r>
            <w:r>
              <w:rPr>
                <w:sz w:val="18"/>
                <w:szCs w:val="18"/>
                <w:spacing w:val="1"/>
              </w:rPr>
              <w:t>建一段时期的护城河</w:t>
            </w:r>
          </w:p>
        </w:tc>
      </w:tr>
      <w:tr>
        <w:trPr>
          <w:trHeight w:val="2084" w:hRule="atLeast"/>
        </w:trPr>
        <w:tc>
          <w:tcPr>
            <w:shd w:val="clear" w:fill="F1F1F1"/>
            <w:tcW w:w="846" w:type="dxa"/>
            <w:vAlign w:val="top"/>
            <w:tcBorders>
              <w:right w:val="single" w:color="BFBFBF" w:sz="2" w:space="0"/>
              <w:bottom w:val="single" w:color="00B8F5" w:sz="12" w:space="0"/>
            </w:tcBorders>
          </w:tcPr>
          <w:p>
            <w:pPr>
              <w:spacing w:line="333" w:lineRule="auto"/>
              <w:rPr>
                <w:rFonts w:ascii="Arial"/>
                <w:sz w:val="21"/>
              </w:rPr>
            </w:pPr>
            <w:r/>
          </w:p>
          <w:p>
            <w:pPr>
              <w:spacing w:line="334" w:lineRule="auto"/>
              <w:rPr>
                <w:rFonts w:ascii="Arial"/>
                <w:sz w:val="21"/>
              </w:rPr>
            </w:pPr>
            <w:r/>
          </w:p>
          <w:p>
            <w:pPr>
              <w:pStyle w:val="TableText"/>
              <w:ind w:left="241" w:right="240" w:firstLine="1"/>
              <w:spacing w:before="77" w:line="171" w:lineRule="auto"/>
              <w:jc w:val="both"/>
              <w:rPr>
                <w:sz w:val="18"/>
                <w:szCs w:val="18"/>
              </w:rPr>
            </w:pPr>
            <w:r>
              <w:rPr>
                <w:sz w:val="18"/>
                <w:szCs w:val="18"/>
                <w:b/>
                <w:bCs/>
                <w:color w:val="00B8F5"/>
              </w:rPr>
              <w:t>第三 </w:t>
            </w:r>
            <w:r>
              <w:rPr>
                <w:sz w:val="18"/>
                <w:szCs w:val="18"/>
                <w:b/>
                <w:bCs/>
                <w:color w:val="00B8F5"/>
              </w:rPr>
              <w:t>竞争 </w:t>
            </w:r>
            <w:r>
              <w:rPr>
                <w:sz w:val="18"/>
                <w:szCs w:val="18"/>
                <w:b/>
                <w:bCs/>
                <w:color w:val="00B8F5"/>
              </w:rPr>
              <w:t>要素</w:t>
            </w:r>
          </w:p>
        </w:tc>
        <w:tc>
          <w:tcPr>
            <w:shd w:val="clear" w:fill="F1F1F1"/>
            <w:tcW w:w="2198" w:type="dxa"/>
            <w:vAlign w:val="top"/>
            <w:tcBorders>
              <w:left w:val="single" w:color="BFBFBF" w:sz="2" w:space="0"/>
              <w:right w:val="single" w:color="BFBFBF" w:sz="2" w:space="0"/>
              <w:bottom w:val="single" w:color="00B8F5" w:sz="12" w:space="0"/>
            </w:tcBorders>
          </w:tcPr>
          <w:p>
            <w:pPr>
              <w:spacing w:line="444" w:lineRule="auto"/>
              <w:rPr>
                <w:rFonts w:ascii="Arial"/>
                <w:sz w:val="21"/>
              </w:rPr>
            </w:pPr>
            <w:r/>
          </w:p>
          <w:p>
            <w:pPr>
              <w:pStyle w:val="TableText"/>
              <w:ind w:left="303" w:right="224" w:hanging="158"/>
              <w:spacing w:before="78" w:line="171" w:lineRule="auto"/>
              <w:rPr>
                <w:sz w:val="18"/>
                <w:szCs w:val="18"/>
              </w:rPr>
            </w:pPr>
            <w:r>
              <w:rPr>
                <w:sz w:val="18"/>
                <w:szCs w:val="18"/>
                <w:position w:val="-3"/>
              </w:rPr>
              <w:drawing>
                <wp:inline distT="0" distB="0" distL="0" distR="0">
                  <wp:extent cx="43318" cy="128564"/>
                  <wp:effectExtent l="0" t="0" r="0" b="0"/>
                  <wp:docPr id="866" name="IM 866"/>
                  <wp:cNvGraphicFramePr/>
                  <a:graphic>
                    <a:graphicData uri="http://schemas.openxmlformats.org/drawingml/2006/picture">
                      <pic:pic>
                        <pic:nvPicPr>
                          <pic:cNvPr id="866" name="IM 866"/>
                          <pic:cNvPicPr/>
                        </pic:nvPicPr>
                        <pic:blipFill>
                          <a:blip r:embed="rId410"/>
                          <a:stretch>
                            <a:fillRect/>
                          </a:stretch>
                        </pic:blipFill>
                        <pic:spPr>
                          <a:xfrm rot="0">
                            <a:off x="0" y="0"/>
                            <a:ext cx="43318" cy="128564"/>
                          </a:xfrm>
                          <a:prstGeom prst="rect">
                            <a:avLst/>
                          </a:prstGeom>
                        </pic:spPr>
                      </pic:pic>
                    </a:graphicData>
                  </a:graphic>
                </wp:inline>
              </w:drawing>
            </w:r>
            <w:r>
              <w:rPr>
                <w:sz w:val="18"/>
                <w:szCs w:val="18"/>
                <w:b/>
                <w:bCs/>
                <w:spacing w:val="50"/>
                <w:w w:val="101"/>
              </w:rPr>
              <w:t xml:space="preserve"> </w:t>
            </w:r>
            <w:r>
              <w:rPr>
                <w:sz w:val="18"/>
                <w:szCs w:val="18"/>
                <w:b/>
                <w:bCs/>
                <w:spacing w:val="-1"/>
              </w:rPr>
              <w:t>品牌口碑积累：</w:t>
            </w:r>
            <w:r>
              <w:rPr>
                <w:sz w:val="18"/>
                <w:szCs w:val="18"/>
                <w:b/>
                <w:bCs/>
                <w:spacing w:val="-15"/>
              </w:rPr>
              <w:t xml:space="preserve"> </w:t>
            </w:r>
            <w:r>
              <w:rPr>
                <w:sz w:val="18"/>
                <w:szCs w:val="18"/>
                <w:spacing w:val="-1"/>
              </w:rPr>
              <w:t>倾向</w:t>
            </w:r>
            <w:r>
              <w:rPr>
                <w:sz w:val="18"/>
                <w:szCs w:val="18"/>
              </w:rPr>
              <w:t xml:space="preserve"> </w:t>
            </w:r>
            <w:r>
              <w:rPr>
                <w:sz w:val="18"/>
                <w:szCs w:val="18"/>
                <w:spacing w:val="1"/>
              </w:rPr>
              <w:t>选择大型承包商负责</w:t>
            </w:r>
            <w:r>
              <w:rPr>
                <w:sz w:val="18"/>
                <w:szCs w:val="18"/>
              </w:rPr>
              <w:t xml:space="preserve">  </w:t>
            </w:r>
            <w:r>
              <w:rPr>
                <w:sz w:val="18"/>
                <w:szCs w:val="18"/>
                <w:spacing w:val="1"/>
              </w:rPr>
              <w:t>项目落地保证项目长</w:t>
            </w:r>
            <w:r>
              <w:rPr>
                <w:sz w:val="18"/>
                <w:szCs w:val="18"/>
              </w:rPr>
              <w:t xml:space="preserve">  </w:t>
            </w:r>
            <w:r>
              <w:rPr>
                <w:sz w:val="18"/>
                <w:szCs w:val="18"/>
                <w:spacing w:val="1"/>
              </w:rPr>
              <w:t>期稳定运营，对产品</w:t>
            </w:r>
            <w:r>
              <w:rPr>
                <w:sz w:val="18"/>
                <w:szCs w:val="18"/>
              </w:rPr>
              <w:t xml:space="preserve">  </w:t>
            </w:r>
            <w:r>
              <w:rPr>
                <w:sz w:val="18"/>
                <w:szCs w:val="18"/>
                <w:spacing w:val="1"/>
              </w:rPr>
              <w:t>品牌要求高</w:t>
            </w:r>
          </w:p>
        </w:tc>
        <w:tc>
          <w:tcPr>
            <w:shd w:val="clear" w:fill="F1F1F1"/>
            <w:tcW w:w="2198" w:type="dxa"/>
            <w:vAlign w:val="top"/>
            <w:tcBorders>
              <w:left w:val="single" w:color="BFBFBF" w:sz="2" w:space="0"/>
              <w:right w:val="single" w:color="BFBFBF" w:sz="2" w:space="0"/>
              <w:bottom w:val="single" w:color="00B8F5" w:sz="12" w:space="0"/>
            </w:tcBorders>
          </w:tcPr>
          <w:p>
            <w:pPr>
              <w:spacing w:line="339" w:lineRule="auto"/>
              <w:rPr>
                <w:rFonts w:ascii="Arial"/>
                <w:sz w:val="21"/>
              </w:rPr>
            </w:pPr>
            <w:r/>
          </w:p>
          <w:p>
            <w:pPr>
              <w:pStyle w:val="TableText"/>
              <w:ind w:left="304" w:right="224" w:hanging="159"/>
              <w:spacing w:before="77" w:line="170" w:lineRule="auto"/>
              <w:rPr>
                <w:sz w:val="18"/>
                <w:szCs w:val="18"/>
              </w:rPr>
            </w:pPr>
            <w:r>
              <w:rPr>
                <w:sz w:val="18"/>
                <w:szCs w:val="18"/>
                <w:position w:val="-3"/>
              </w:rPr>
              <w:drawing>
                <wp:inline distT="0" distB="0" distL="0" distR="0">
                  <wp:extent cx="43318" cy="128564"/>
                  <wp:effectExtent l="0" t="0" r="0" b="0"/>
                  <wp:docPr id="868" name="IM 868"/>
                  <wp:cNvGraphicFramePr/>
                  <a:graphic>
                    <a:graphicData uri="http://schemas.openxmlformats.org/drawingml/2006/picture">
                      <pic:pic>
                        <pic:nvPicPr>
                          <pic:cNvPr id="868" name="IM 868"/>
                          <pic:cNvPicPr/>
                        </pic:nvPicPr>
                        <pic:blipFill>
                          <a:blip r:embed="rId411"/>
                          <a:stretch>
                            <a:fillRect/>
                          </a:stretch>
                        </pic:blipFill>
                        <pic:spPr>
                          <a:xfrm rot="0">
                            <a:off x="0" y="0"/>
                            <a:ext cx="43318" cy="128564"/>
                          </a:xfrm>
                          <a:prstGeom prst="rect">
                            <a:avLst/>
                          </a:prstGeom>
                        </pic:spPr>
                      </pic:pic>
                    </a:graphicData>
                  </a:graphic>
                </wp:inline>
              </w:drawing>
            </w:r>
            <w:r>
              <w:rPr>
                <w:sz w:val="18"/>
                <w:szCs w:val="18"/>
                <w:b/>
                <w:bCs/>
                <w:spacing w:val="46"/>
                <w:w w:val="101"/>
              </w:rPr>
              <w:t xml:space="preserve"> </w:t>
            </w:r>
            <w:r>
              <w:rPr>
                <w:sz w:val="18"/>
                <w:szCs w:val="18"/>
                <w:b/>
                <w:bCs/>
                <w:spacing w:val="-2"/>
              </w:rPr>
              <w:t>产品技术能力： </w:t>
            </w:r>
            <w:r>
              <w:rPr>
                <w:sz w:val="18"/>
                <w:szCs w:val="18"/>
                <w:spacing w:val="-2"/>
              </w:rPr>
              <w:t>项目</w:t>
            </w:r>
            <w:r>
              <w:rPr>
                <w:sz w:val="18"/>
                <w:szCs w:val="18"/>
              </w:rPr>
              <w:t xml:space="preserve"> </w:t>
            </w:r>
            <w:r>
              <w:rPr>
                <w:sz w:val="18"/>
                <w:szCs w:val="18"/>
                <w:spacing w:val="1"/>
              </w:rPr>
              <w:t>主要采取公开招标及</w:t>
            </w:r>
            <w:r>
              <w:rPr>
                <w:sz w:val="18"/>
                <w:szCs w:val="18"/>
              </w:rPr>
              <w:t xml:space="preserve">  </w:t>
            </w:r>
            <w:r>
              <w:rPr>
                <w:sz w:val="18"/>
                <w:szCs w:val="18"/>
                <w:spacing w:val="1"/>
              </w:rPr>
              <w:t>业主指定，对资质要</w:t>
            </w:r>
            <w:r>
              <w:rPr>
                <w:sz w:val="18"/>
                <w:szCs w:val="18"/>
              </w:rPr>
              <w:t xml:space="preserve">  </w:t>
            </w:r>
            <w:r>
              <w:rPr>
                <w:sz w:val="18"/>
                <w:szCs w:val="18"/>
                <w:spacing w:val="1"/>
              </w:rPr>
              <w:t>求高，需要保证产品</w:t>
            </w:r>
            <w:r>
              <w:rPr>
                <w:sz w:val="18"/>
                <w:szCs w:val="18"/>
              </w:rPr>
              <w:t xml:space="preserve">  </w:t>
            </w:r>
            <w:r>
              <w:rPr>
                <w:sz w:val="18"/>
                <w:szCs w:val="18"/>
                <w:spacing w:val="1"/>
              </w:rPr>
              <w:t>安全与性能，尤其是</w:t>
            </w:r>
            <w:r>
              <w:rPr>
                <w:sz w:val="18"/>
                <w:szCs w:val="18"/>
              </w:rPr>
              <w:t xml:space="preserve">  </w:t>
            </w:r>
            <w:r>
              <w:rPr>
                <w:sz w:val="18"/>
                <w:szCs w:val="18"/>
              </w:rPr>
              <w:t>示范性项目</w:t>
            </w:r>
          </w:p>
        </w:tc>
        <w:tc>
          <w:tcPr>
            <w:shd w:val="clear" w:fill="F1F1F1"/>
            <w:tcW w:w="2197" w:type="dxa"/>
            <w:vAlign w:val="top"/>
            <w:tcBorders>
              <w:left w:val="single" w:color="BFBFBF" w:sz="2" w:space="0"/>
              <w:right w:val="single" w:color="BFBFBF" w:sz="2" w:space="0"/>
              <w:bottom w:val="single" w:color="00B8F5" w:sz="12" w:space="0"/>
            </w:tcBorders>
          </w:tcPr>
          <w:p>
            <w:pPr>
              <w:pStyle w:val="TableText"/>
              <w:ind w:left="303" w:right="228" w:hanging="158"/>
              <w:spacing w:before="309" w:line="170" w:lineRule="auto"/>
              <w:rPr>
                <w:sz w:val="18"/>
                <w:szCs w:val="18"/>
              </w:rPr>
            </w:pPr>
            <w:r>
              <w:rPr>
                <w:sz w:val="18"/>
                <w:szCs w:val="18"/>
                <w:position w:val="-3"/>
              </w:rPr>
              <w:drawing>
                <wp:inline distT="0" distB="0" distL="0" distR="0">
                  <wp:extent cx="43318" cy="128564"/>
                  <wp:effectExtent l="0" t="0" r="0" b="0"/>
                  <wp:docPr id="870" name="IM 870"/>
                  <wp:cNvGraphicFramePr/>
                  <a:graphic>
                    <a:graphicData uri="http://schemas.openxmlformats.org/drawingml/2006/picture">
                      <pic:pic>
                        <pic:nvPicPr>
                          <pic:cNvPr id="870" name="IM 870"/>
                          <pic:cNvPicPr/>
                        </pic:nvPicPr>
                        <pic:blipFill>
                          <a:blip r:embed="rId412"/>
                          <a:stretch>
                            <a:fillRect/>
                          </a:stretch>
                        </pic:blipFill>
                        <pic:spPr>
                          <a:xfrm rot="0">
                            <a:off x="0" y="0"/>
                            <a:ext cx="43318" cy="128564"/>
                          </a:xfrm>
                          <a:prstGeom prst="rect">
                            <a:avLst/>
                          </a:prstGeom>
                        </pic:spPr>
                      </pic:pic>
                    </a:graphicData>
                  </a:graphic>
                </wp:inline>
              </w:drawing>
            </w:r>
            <w:r>
              <w:rPr>
                <w:sz w:val="18"/>
                <w:szCs w:val="18"/>
                <w:b/>
                <w:bCs/>
                <w:spacing w:val="42"/>
              </w:rPr>
              <w:t xml:space="preserve"> </w:t>
            </w:r>
            <w:r>
              <w:rPr>
                <w:sz w:val="18"/>
                <w:szCs w:val="18"/>
                <w:b/>
                <w:bCs/>
                <w:spacing w:val="-1"/>
              </w:rPr>
              <w:t>产品经济性：</w:t>
            </w:r>
            <w:r>
              <w:rPr>
                <w:sz w:val="18"/>
                <w:szCs w:val="18"/>
                <w:b/>
                <w:bCs/>
                <w:spacing w:val="-12"/>
              </w:rPr>
              <w:t xml:space="preserve"> </w:t>
            </w:r>
            <w:r>
              <w:rPr>
                <w:sz w:val="18"/>
                <w:szCs w:val="18"/>
                <w:spacing w:val="-1"/>
              </w:rPr>
              <w:t>对项目</w:t>
            </w:r>
            <w:r>
              <w:rPr>
                <w:sz w:val="18"/>
                <w:szCs w:val="18"/>
              </w:rPr>
              <w:t xml:space="preserve"> </w:t>
            </w:r>
            <w:r>
              <w:rPr>
                <w:sz w:val="18"/>
                <w:szCs w:val="18"/>
                <w:spacing w:val="1"/>
              </w:rPr>
              <w:t>技术专业要求低于发 </w:t>
            </w:r>
            <w:r>
              <w:rPr>
                <w:sz w:val="18"/>
                <w:szCs w:val="18"/>
                <w:spacing w:val="1"/>
              </w:rPr>
              <w:t>电侧、电网侧项目，</w:t>
            </w:r>
            <w:r>
              <w:rPr>
                <w:sz w:val="18"/>
                <w:szCs w:val="18"/>
                <w:spacing w:val="3"/>
              </w:rPr>
              <w:t xml:space="preserve"> </w:t>
            </w:r>
            <w:r>
              <w:rPr>
                <w:sz w:val="18"/>
                <w:szCs w:val="18"/>
                <w:spacing w:val="1"/>
              </w:rPr>
              <w:t>但成本敏感度高，在 </w:t>
            </w:r>
            <w:r>
              <w:rPr>
                <w:sz w:val="18"/>
                <w:szCs w:val="18"/>
                <w:spacing w:val="1"/>
              </w:rPr>
              <w:t>产品满足基本要求的 </w:t>
            </w:r>
            <w:r>
              <w:rPr>
                <w:sz w:val="18"/>
                <w:szCs w:val="18"/>
                <w:spacing w:val="1"/>
              </w:rPr>
              <w:t>同时高度关注产品价 </w:t>
            </w:r>
            <w:r>
              <w:rPr>
                <w:sz w:val="18"/>
                <w:szCs w:val="18"/>
              </w:rPr>
              <w:t>格</w:t>
            </w:r>
          </w:p>
        </w:tc>
        <w:tc>
          <w:tcPr>
            <w:shd w:val="clear" w:fill="F1F1F1"/>
            <w:tcW w:w="2198" w:type="dxa"/>
            <w:vAlign w:val="top"/>
            <w:tcBorders>
              <w:left w:val="single" w:color="BFBFBF" w:sz="2" w:space="0"/>
              <w:bottom w:val="single" w:color="00B8F5" w:sz="12" w:space="0"/>
            </w:tcBorders>
          </w:tcPr>
          <w:p>
            <w:pPr>
              <w:pStyle w:val="TableText"/>
              <w:ind w:left="305" w:right="121" w:hanging="159"/>
              <w:spacing w:before="89" w:line="170" w:lineRule="auto"/>
              <w:rPr>
                <w:sz w:val="18"/>
                <w:szCs w:val="18"/>
              </w:rPr>
            </w:pPr>
            <w:r>
              <w:rPr>
                <w:sz w:val="18"/>
                <w:szCs w:val="18"/>
                <w:position w:val="-3"/>
              </w:rPr>
              <w:drawing>
                <wp:inline distT="0" distB="0" distL="0" distR="0">
                  <wp:extent cx="43318" cy="128564"/>
                  <wp:effectExtent l="0" t="0" r="0" b="0"/>
                  <wp:docPr id="872" name="IM 872"/>
                  <wp:cNvGraphicFramePr/>
                  <a:graphic>
                    <a:graphicData uri="http://schemas.openxmlformats.org/drawingml/2006/picture">
                      <pic:pic>
                        <pic:nvPicPr>
                          <pic:cNvPr id="872" name="IM 872"/>
                          <pic:cNvPicPr/>
                        </pic:nvPicPr>
                        <pic:blipFill>
                          <a:blip r:embed="rId413"/>
                          <a:stretch>
                            <a:fillRect/>
                          </a:stretch>
                        </pic:blipFill>
                        <pic:spPr>
                          <a:xfrm rot="0">
                            <a:off x="0" y="0"/>
                            <a:ext cx="43318" cy="128564"/>
                          </a:xfrm>
                          <a:prstGeom prst="rect">
                            <a:avLst/>
                          </a:prstGeom>
                        </pic:spPr>
                      </pic:pic>
                    </a:graphicData>
                  </a:graphic>
                </wp:inline>
              </w:drawing>
            </w:r>
            <w:r>
              <w:rPr>
                <w:sz w:val="18"/>
                <w:szCs w:val="18"/>
                <w:b/>
                <w:bCs/>
                <w:spacing w:val="42"/>
              </w:rPr>
              <w:t xml:space="preserve"> </w:t>
            </w:r>
            <w:r>
              <w:rPr>
                <w:sz w:val="18"/>
                <w:szCs w:val="18"/>
                <w:b/>
                <w:bCs/>
                <w:spacing w:val="-1"/>
              </w:rPr>
              <w:t>本地化能力：</w:t>
            </w:r>
            <w:r>
              <w:rPr>
                <w:sz w:val="18"/>
                <w:szCs w:val="18"/>
                <w:b/>
                <w:bCs/>
                <w:spacing w:val="-12"/>
              </w:rPr>
              <w:t xml:space="preserve"> </w:t>
            </w:r>
            <w:r>
              <w:rPr>
                <w:sz w:val="18"/>
                <w:szCs w:val="18"/>
                <w:spacing w:val="-1"/>
              </w:rPr>
              <w:t>包括本</w:t>
            </w:r>
            <w:r>
              <w:rPr>
                <w:sz w:val="18"/>
                <w:szCs w:val="18"/>
              </w:rPr>
              <w:t xml:space="preserve">   </w:t>
            </w:r>
            <w:r>
              <w:rPr>
                <w:sz w:val="18"/>
                <w:szCs w:val="18"/>
                <w:spacing w:val="-4"/>
              </w:rPr>
              <w:t>地渠道、仓库、物流、</w:t>
            </w:r>
            <w:r>
              <w:rPr>
                <w:sz w:val="18"/>
                <w:szCs w:val="18"/>
                <w:spacing w:val="7"/>
              </w:rPr>
              <w:t xml:space="preserve"> </w:t>
            </w:r>
            <w:r>
              <w:rPr>
                <w:sz w:val="18"/>
                <w:szCs w:val="18"/>
                <w:spacing w:val="1"/>
              </w:rPr>
              <w:t>服务网点地信用机构</w:t>
            </w:r>
            <w:r>
              <w:rPr>
                <w:sz w:val="18"/>
                <w:szCs w:val="18"/>
              </w:rPr>
              <w:t xml:space="preserve">   </w:t>
            </w:r>
            <w:r>
              <w:rPr>
                <w:sz w:val="18"/>
                <w:szCs w:val="18"/>
                <w:spacing w:val="-4"/>
              </w:rPr>
              <w:t>担保、本土语言支持、</w:t>
            </w:r>
            <w:r>
              <w:rPr>
                <w:sz w:val="18"/>
                <w:szCs w:val="18"/>
                <w:spacing w:val="7"/>
              </w:rPr>
              <w:t xml:space="preserve"> </w:t>
            </w:r>
            <w:r>
              <w:rPr>
                <w:sz w:val="18"/>
                <w:szCs w:val="18"/>
                <w:spacing w:val="1"/>
              </w:rPr>
              <w:t>安装商支持、二级代</w:t>
            </w:r>
            <w:r>
              <w:rPr>
                <w:sz w:val="18"/>
                <w:szCs w:val="18"/>
              </w:rPr>
              <w:t xml:space="preserve">   </w:t>
            </w:r>
            <w:r>
              <w:rPr>
                <w:sz w:val="18"/>
                <w:szCs w:val="18"/>
                <w:spacing w:val="1"/>
              </w:rPr>
              <w:t>理支持的本地化能力</w:t>
            </w:r>
            <w:r>
              <w:rPr>
                <w:sz w:val="18"/>
                <w:szCs w:val="18"/>
              </w:rPr>
              <w:t xml:space="preserve">   </w:t>
            </w:r>
            <w:r>
              <w:rPr>
                <w:sz w:val="18"/>
                <w:szCs w:val="18"/>
                <w:spacing w:val="1"/>
              </w:rPr>
              <w:t>建设显著提升海外经</w:t>
            </w:r>
            <w:r>
              <w:rPr>
                <w:sz w:val="18"/>
                <w:szCs w:val="18"/>
              </w:rPr>
              <w:t xml:space="preserve">   </w:t>
            </w:r>
            <w:r>
              <w:rPr>
                <w:sz w:val="18"/>
                <w:szCs w:val="18"/>
              </w:rPr>
              <w:t>销商及用户合作/使用</w:t>
            </w:r>
            <w:r>
              <w:rPr>
                <w:sz w:val="18"/>
                <w:szCs w:val="18"/>
                <w:spacing w:val="2"/>
              </w:rPr>
              <w:t xml:space="preserve">  </w:t>
            </w:r>
            <w:r>
              <w:rPr>
                <w:sz w:val="18"/>
                <w:szCs w:val="18"/>
                <w:spacing w:val="-1"/>
              </w:rPr>
              <w:t>体验</w:t>
            </w:r>
          </w:p>
        </w:tc>
      </w:tr>
    </w:tbl>
    <w:p>
      <w:pPr>
        <w:ind w:left="8"/>
        <w:spacing w:before="173" w:line="187"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7"/>
        </w:rPr>
        <w:t>资料来源：专家访谈，毕马威分析</w:t>
      </w:r>
    </w:p>
    <w:p>
      <w:pPr>
        <w:ind w:left="503" w:right="1241" w:hanging="411"/>
        <w:spacing w:before="142"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1302" w:header="0" w:footer="0" w:gutter="0"/>
        </w:sectPr>
        <w:rPr>
          <w:rFonts w:ascii="Microsoft YaHei" w:hAnsi="Microsoft YaHei" w:eastAsia="Microsoft YaHei" w:cs="Microsoft YaHei"/>
          <w:sz w:val="11"/>
          <w:szCs w:val="11"/>
        </w:rPr>
      </w:pPr>
    </w:p>
    <w:p>
      <w:pPr>
        <w:spacing w:before="314" w:line="193" w:lineRule="auto"/>
        <w:outlineLvl w:val="0"/>
        <w:rPr>
          <w:rFonts w:ascii="Microsoft YaHei" w:hAnsi="Microsoft YaHei" w:eastAsia="Microsoft YaHei" w:cs="Microsoft YaHei"/>
          <w:sz w:val="18"/>
          <w:szCs w:val="18"/>
        </w:rPr>
      </w:pPr>
      <w:r>
        <w:pict>
          <v:rect id="_x0000_s1696" style="position:absolute;margin-left:611.99pt;margin-top:0pt;mso-position-vertical-relative:page;mso-position-horizontal-relative:page;width:0.25pt;height:859pt;z-index:253935616;" o:allowincell="f" fillcolor="#000000" filled="true" stroked="false"/>
        </w:pict>
      </w:r>
      <w:r>
        <w:rPr>
          <w:rFonts w:ascii="Microsoft YaHei" w:hAnsi="Microsoft YaHei" w:eastAsia="Microsoft YaHei" w:cs="Microsoft YaHei"/>
          <w:sz w:val="18"/>
          <w:szCs w:val="18"/>
          <w:b/>
          <w:bCs/>
          <w:color w:val="A8A8A8"/>
          <w:spacing w:val="-2"/>
        </w:rPr>
        <w:t>75</w:t>
      </w:r>
      <w:r>
        <w:rPr>
          <w:rFonts w:ascii="Microsoft YaHei" w:hAnsi="Microsoft YaHei" w:eastAsia="Microsoft YaHei" w:cs="Microsoft YaHei"/>
          <w:sz w:val="18"/>
          <w:szCs w:val="18"/>
          <w:b/>
          <w:bCs/>
          <w:color w:val="A8A8A8"/>
          <w:spacing w:val="19"/>
        </w:rPr>
        <w:t xml:space="preserve">  </w:t>
      </w:r>
      <w:r>
        <w:rPr>
          <w:sz w:val="18"/>
          <w:szCs w:val="18"/>
          <w:position w:val="-4"/>
        </w:rPr>
        <w:drawing>
          <wp:inline distT="0" distB="0" distL="0" distR="0">
            <wp:extent cx="6350" cy="130175"/>
            <wp:effectExtent l="0" t="0" r="0" b="0"/>
            <wp:docPr id="874" name="IM 874"/>
            <wp:cNvGraphicFramePr/>
            <a:graphic>
              <a:graphicData uri="http://schemas.openxmlformats.org/drawingml/2006/picture">
                <pic:pic>
                  <pic:nvPicPr>
                    <pic:cNvPr id="874" name="IM 874"/>
                    <pic:cNvPicPr/>
                  </pic:nvPicPr>
                  <pic:blipFill>
                    <a:blip r:embed="rId414"/>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A8A8A8"/>
          <w:spacing w:val="26"/>
        </w:rPr>
        <w:t xml:space="preserve">  </w:t>
      </w:r>
      <w:r>
        <w:rPr>
          <w:rFonts w:ascii="Microsoft YaHei" w:hAnsi="Microsoft YaHei" w:eastAsia="Microsoft YaHei" w:cs="Microsoft YaHei"/>
          <w:sz w:val="18"/>
          <w:szCs w:val="18"/>
          <w:color w:val="A8A8A8"/>
          <w:spacing w:val="-2"/>
        </w:rPr>
        <w:t>新型储能助力能源转型</w:t>
      </w:r>
    </w:p>
    <w:p>
      <w:pPr>
        <w:pStyle w:val="BodyText"/>
        <w:spacing w:line="365" w:lineRule="auto"/>
        <w:rPr/>
      </w:pPr>
      <w:r/>
    </w:p>
    <w:p>
      <w:pPr>
        <w:ind w:left="343" w:right="2825" w:firstLine="6"/>
        <w:spacing w:before="90" w:line="218"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color w:val="00B8F5"/>
          <w:spacing w:val="2"/>
        </w:rPr>
        <w:t>收益模式单一引发低价竞争</w:t>
      </w:r>
      <w:r>
        <w:rPr>
          <w:rFonts w:ascii="Microsoft YaHei" w:hAnsi="Microsoft YaHei" w:eastAsia="Microsoft YaHei" w:cs="Microsoft YaHei"/>
          <w:sz w:val="21"/>
          <w:szCs w:val="21"/>
          <w:color w:val="00B8F5"/>
          <w:spacing w:val="-16"/>
        </w:rPr>
        <w:t xml:space="preserve"> </w:t>
      </w:r>
      <w:r>
        <w:rPr>
          <w:rFonts w:ascii="Microsoft YaHei" w:hAnsi="Microsoft YaHei" w:eastAsia="Microsoft YaHei" w:cs="Microsoft YaHei"/>
          <w:sz w:val="21"/>
          <w:szCs w:val="21"/>
          <w:color w:val="00B8F5"/>
          <w:spacing w:val="2"/>
        </w:rPr>
        <w:t>，安全性和可持续发展值得关注。</w:t>
      </w:r>
      <w:r>
        <w:rPr>
          <w:rFonts w:ascii="Microsoft YaHei" w:hAnsi="Microsoft YaHei" w:eastAsia="Microsoft YaHei" w:cs="Microsoft YaHei"/>
          <w:sz w:val="21"/>
          <w:szCs w:val="21"/>
          <w:color w:val="00B8F5"/>
          <w:spacing w:val="-22"/>
        </w:rPr>
        <w:t xml:space="preserve"> </w:t>
      </w:r>
      <w:r>
        <w:rPr>
          <w:rFonts w:ascii="Microsoft YaHei" w:hAnsi="Microsoft YaHei" w:eastAsia="Microsoft YaHei" w:cs="Microsoft YaHei"/>
          <w:sz w:val="21"/>
          <w:szCs w:val="21"/>
          <w:spacing w:val="2"/>
        </w:rPr>
        <w:t>目前新型储能整体处于</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借政策东风快速上升阶段</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2"/>
        </w:rPr>
        <w:t>，市场参与者在产业各环节交织布局</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1"/>
        </w:rPr>
        <w:t>表现在电网下属企业、</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风电光伏设备制造商、</w:t>
      </w:r>
      <w:r>
        <w:rPr>
          <w:rFonts w:ascii="Microsoft YaHei" w:hAnsi="Microsoft YaHei" w:eastAsia="Microsoft YaHei" w:cs="Microsoft YaHei"/>
          <w:sz w:val="21"/>
          <w:szCs w:val="21"/>
          <w:spacing w:val="-38"/>
        </w:rPr>
        <w:t xml:space="preserve"> </w:t>
      </w:r>
      <w:r>
        <w:rPr>
          <w:rFonts w:ascii="Microsoft YaHei" w:hAnsi="Microsoft YaHei" w:eastAsia="Microsoft YaHei" w:cs="Microsoft YaHei"/>
          <w:sz w:val="21"/>
          <w:szCs w:val="21"/>
          <w:spacing w:val="4"/>
        </w:rPr>
        <w:t>电池企业、</w:t>
      </w:r>
      <w:r>
        <w:rPr>
          <w:rFonts w:ascii="Microsoft YaHei" w:hAnsi="Microsoft YaHei" w:eastAsia="Microsoft YaHei" w:cs="Microsoft YaHei"/>
          <w:sz w:val="21"/>
          <w:szCs w:val="21"/>
        </w:rPr>
        <w:t>PCS</w:t>
      </w:r>
      <w:r>
        <w:rPr>
          <w:rFonts w:ascii="Microsoft YaHei" w:hAnsi="Microsoft YaHei" w:eastAsia="Microsoft YaHei" w:cs="Microsoft YaHei"/>
          <w:sz w:val="21"/>
          <w:szCs w:val="21"/>
          <w:spacing w:val="4"/>
        </w:rPr>
        <w:t>企业等几乎都涌向了系统集成赛道</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4"/>
        </w:rPr>
        <w:t>，但从</w:t>
      </w:r>
      <w:r>
        <w:rPr>
          <w:rFonts w:ascii="Microsoft YaHei" w:hAnsi="Microsoft YaHei" w:eastAsia="Microsoft YaHei" w:cs="Microsoft YaHei"/>
          <w:sz w:val="21"/>
          <w:szCs w:val="21"/>
          <w:spacing w:val="3"/>
        </w:rPr>
        <w:t>整体</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竞争策略来看</w:t>
      </w:r>
      <w:r>
        <w:rPr>
          <w:rFonts w:ascii="Microsoft YaHei" w:hAnsi="Microsoft YaHei" w:eastAsia="Microsoft YaHei" w:cs="Microsoft YaHei"/>
          <w:sz w:val="21"/>
          <w:szCs w:val="21"/>
          <w:spacing w:val="-19"/>
        </w:rPr>
        <w:t xml:space="preserve"> </w:t>
      </w:r>
      <w:r>
        <w:rPr>
          <w:rFonts w:ascii="Microsoft YaHei" w:hAnsi="Microsoft YaHei" w:eastAsia="Microsoft YaHei" w:cs="Microsoft YaHei"/>
          <w:sz w:val="21"/>
          <w:szCs w:val="21"/>
          <w:spacing w:val="1"/>
        </w:rPr>
        <w:t>，低价格战愈演愈烈</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1"/>
        </w:rPr>
        <w:t>，根据毕马威咨询调研</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spacing w:val="-38"/>
        </w:rPr>
        <w:t xml:space="preserve"> </w:t>
      </w:r>
      <w:r>
        <w:rPr>
          <w:rFonts w:ascii="Microsoft YaHei" w:hAnsi="Microsoft YaHei" w:eastAsia="Microsoft YaHei" w:cs="Microsoft YaHei"/>
          <w:sz w:val="21"/>
          <w:szCs w:val="21"/>
          <w:spacing w:val="1"/>
        </w:rPr>
        <w:t>当前新型储能产业链各环</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节企业典型毛利水平大多不超过30%（电化学储能电池隔膜环节毛利率在50%左右</w:t>
      </w:r>
      <w:r>
        <w:rPr>
          <w:rFonts w:ascii="Microsoft YaHei" w:hAnsi="Microsoft YaHei" w:eastAsia="Microsoft YaHei" w:cs="Microsoft YaHei"/>
          <w:sz w:val="21"/>
          <w:szCs w:val="21"/>
          <w:spacing w:val="-6"/>
        </w:rPr>
        <w:t>），</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此外</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4"/>
        </w:rPr>
        <w:t>，多家储能上市企业毛利率水平也均出现了</w:t>
      </w:r>
      <w:r>
        <w:rPr>
          <w:rFonts w:ascii="Microsoft YaHei" w:hAnsi="Microsoft YaHei" w:eastAsia="Microsoft YaHei" w:cs="Microsoft YaHei"/>
          <w:sz w:val="21"/>
          <w:szCs w:val="21"/>
          <w:spacing w:val="3"/>
        </w:rPr>
        <w:t>下降趋势。原因是目前新型储能发展</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驱动力主要来自政策端</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，即发电侧强制配储</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，在储能成本主要由发电侧承担</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1"/>
        </w:rPr>
        <w:t>储能收</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益来源相对单一的情况下</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3"/>
        </w:rPr>
        <w:t>，发电企业出于经济性考虑</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，会</w:t>
      </w:r>
      <w:r>
        <w:rPr>
          <w:rFonts w:ascii="Microsoft YaHei" w:hAnsi="Microsoft YaHei" w:eastAsia="Microsoft YaHei" w:cs="Microsoft YaHei"/>
          <w:sz w:val="21"/>
          <w:szCs w:val="21"/>
          <w:spacing w:val="2"/>
        </w:rPr>
        <w:t>更倾向于选择低成本储能项</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目</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，相对忽视性能和安全问题</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，传导到储能供应方就会引发低价竞争</w:t>
      </w:r>
      <w:r>
        <w:rPr>
          <w:rFonts w:ascii="Microsoft YaHei" w:hAnsi="Microsoft YaHei" w:eastAsia="Microsoft YaHei" w:cs="Microsoft YaHei"/>
          <w:sz w:val="21"/>
          <w:szCs w:val="21"/>
          <w:spacing w:val="1"/>
        </w:rPr>
        <w:t>问题</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，长此以往</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将导致整体市场无法实现良性出清</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4"/>
        </w:rPr>
        <w:t>，低成本低性能建设模式也将</w:t>
      </w:r>
      <w:r>
        <w:rPr>
          <w:rFonts w:ascii="Microsoft YaHei" w:hAnsi="Microsoft YaHei" w:eastAsia="Microsoft YaHei" w:cs="Microsoft YaHei"/>
          <w:sz w:val="21"/>
          <w:szCs w:val="21"/>
          <w:spacing w:val="3"/>
        </w:rPr>
        <w:t>给储能产业埋下安全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隐患，破坏行业整体生态，甚至损害人民生命财产安全。</w:t>
      </w:r>
    </w:p>
    <w:p>
      <w:pPr>
        <w:ind w:left="341" w:right="2827" w:firstLine="2"/>
        <w:spacing w:before="250" w:line="218" w:lineRule="auto"/>
        <w:tabs>
          <w:tab w:val="left" w:pos="8449"/>
        </w:tabs>
        <w:jc w:val="both"/>
        <w:rPr>
          <w:rFonts w:ascii="Microsoft YaHei" w:hAnsi="Microsoft YaHei" w:eastAsia="Microsoft YaHei" w:cs="Microsoft YaHei"/>
          <w:sz w:val="21"/>
          <w:szCs w:val="21"/>
        </w:rPr>
      </w:pPr>
      <w:r>
        <w:rPr>
          <w:rFonts w:ascii="Microsoft YaHei" w:hAnsi="Microsoft YaHei" w:eastAsia="Microsoft YaHei" w:cs="Microsoft YaHei"/>
          <w:sz w:val="21"/>
          <w:szCs w:val="21"/>
          <w:color w:val="00B8F5"/>
          <w:spacing w:val="3"/>
        </w:rPr>
        <w:t>独立储能电站长期前景向好</w:t>
      </w:r>
      <w:r>
        <w:rPr>
          <w:rFonts w:ascii="Microsoft YaHei" w:hAnsi="Microsoft YaHei" w:eastAsia="Microsoft YaHei" w:cs="Microsoft YaHei"/>
          <w:sz w:val="21"/>
          <w:szCs w:val="21"/>
          <w:color w:val="00B8F5"/>
          <w:spacing w:val="-31"/>
        </w:rPr>
        <w:t xml:space="preserve"> </w:t>
      </w:r>
      <w:r>
        <w:rPr>
          <w:rFonts w:ascii="Microsoft YaHei" w:hAnsi="Microsoft YaHei" w:eastAsia="Microsoft YaHei" w:cs="Microsoft YaHei"/>
          <w:sz w:val="21"/>
          <w:szCs w:val="21"/>
          <w:color w:val="00B8F5"/>
          <w:spacing w:val="3"/>
        </w:rPr>
        <w:t>，但短期内项目落地经济性不够好。</w:t>
      </w:r>
      <w:r>
        <w:rPr>
          <w:rFonts w:ascii="Microsoft YaHei" w:hAnsi="Microsoft YaHei" w:eastAsia="Microsoft YaHei" w:cs="Microsoft YaHei"/>
          <w:sz w:val="21"/>
          <w:szCs w:val="21"/>
          <w:color w:val="00B8F5"/>
          <w:spacing w:val="-39"/>
        </w:rPr>
        <w:t xml:space="preserve"> </w:t>
      </w:r>
      <w:r>
        <w:rPr>
          <w:rFonts w:ascii="Microsoft YaHei" w:hAnsi="Microsoft YaHei" w:eastAsia="Microsoft YaHei" w:cs="Microsoft YaHei"/>
          <w:sz w:val="21"/>
          <w:szCs w:val="21"/>
          <w:spacing w:val="3"/>
        </w:rPr>
        <w:t>随着政策不断推动独</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立储能项目参与电力市场交易</w:t>
      </w:r>
      <w:r>
        <w:rPr>
          <w:rFonts w:ascii="Microsoft YaHei" w:hAnsi="Microsoft YaHei" w:eastAsia="Microsoft YaHei" w:cs="Microsoft YaHei"/>
          <w:sz w:val="21"/>
          <w:szCs w:val="21"/>
          <w:spacing w:val="-25"/>
        </w:rPr>
        <w:t xml:space="preserve"> </w:t>
      </w:r>
      <w:r>
        <w:rPr>
          <w:rFonts w:ascii="Microsoft YaHei" w:hAnsi="Microsoft YaHei" w:eastAsia="Microsoft YaHei" w:cs="Microsoft YaHei"/>
          <w:sz w:val="21"/>
          <w:szCs w:val="21"/>
          <w:spacing w:val="3"/>
        </w:rPr>
        <w:t>，</w:t>
      </w:r>
      <w:r>
        <w:rPr>
          <w:rFonts w:ascii="Microsoft YaHei" w:hAnsi="Microsoft YaHei" w:eastAsia="Microsoft YaHei" w:cs="Microsoft YaHei"/>
          <w:sz w:val="21"/>
          <w:szCs w:val="21"/>
          <w:spacing w:val="-42"/>
        </w:rPr>
        <w:t xml:space="preserve"> </w:t>
      </w:r>
      <w:r>
        <w:rPr>
          <w:rFonts w:ascii="Microsoft YaHei" w:hAnsi="Microsoft YaHei" w:eastAsia="Microsoft YaHei" w:cs="Microsoft YaHei"/>
          <w:sz w:val="21"/>
          <w:szCs w:val="21"/>
          <w:spacing w:val="3"/>
        </w:rPr>
        <w:t>中国新型储能规模化应用将主要依靠独立储能电站带</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动，未来发展空间广阔。根据CNESA统计</w:t>
      </w:r>
      <w:r>
        <w:rPr>
          <w:rFonts w:ascii="Microsoft YaHei" w:hAnsi="Microsoft YaHei" w:eastAsia="Microsoft YaHei" w:cs="Microsoft YaHei"/>
          <w:sz w:val="13"/>
          <w:szCs w:val="13"/>
          <w:spacing w:val="-1"/>
          <w:position w:val="6"/>
        </w:rPr>
        <w:t>72</w:t>
      </w:r>
      <w:r>
        <w:rPr>
          <w:rFonts w:ascii="Microsoft YaHei" w:hAnsi="Microsoft YaHei" w:eastAsia="Microsoft YaHei" w:cs="Microsoft YaHei"/>
          <w:sz w:val="13"/>
          <w:szCs w:val="13"/>
          <w:spacing w:val="-11"/>
          <w:position w:val="6"/>
        </w:rPr>
        <w:t xml:space="preserve"> </w:t>
      </w:r>
      <w:r>
        <w:rPr>
          <w:rFonts w:ascii="Microsoft YaHei" w:hAnsi="Microsoft YaHei" w:eastAsia="Microsoft YaHei" w:cs="Microsoft YaHei"/>
          <w:sz w:val="21"/>
          <w:szCs w:val="21"/>
          <w:spacing w:val="-1"/>
        </w:rPr>
        <w:t>，2022年上半年中国独立储能电站的规</w:t>
      </w:r>
      <w:r>
        <w:rPr>
          <w:rFonts w:ascii="Microsoft YaHei" w:hAnsi="Microsoft YaHei" w:eastAsia="Microsoft YaHei" w:cs="Microsoft YaHei"/>
          <w:sz w:val="21"/>
          <w:szCs w:val="21"/>
          <w:spacing w:val="-2"/>
        </w:rPr>
        <w:t>划/</w:t>
      </w:r>
      <w:r>
        <w:rPr>
          <w:rFonts w:ascii="Microsoft YaHei" w:hAnsi="Microsoft YaHei" w:eastAsia="Microsoft YaHei" w:cs="Microsoft YaHei"/>
          <w:sz w:val="21"/>
          <w:szCs w:val="21"/>
        </w:rPr>
        <w:tab/>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6"/>
        </w:rPr>
        <w:t>在建规模为45.3</w:t>
      </w:r>
      <w:r>
        <w:rPr>
          <w:rFonts w:ascii="Microsoft YaHei" w:hAnsi="Microsoft YaHei" w:eastAsia="Microsoft YaHei" w:cs="Microsoft YaHei"/>
          <w:sz w:val="21"/>
          <w:szCs w:val="21"/>
        </w:rPr>
        <w:t>GW</w:t>
      </w:r>
      <w:r>
        <w:rPr>
          <w:rFonts w:ascii="Microsoft YaHei" w:hAnsi="Microsoft YaHei" w:eastAsia="Microsoft YaHei" w:cs="Microsoft YaHei"/>
          <w:sz w:val="21"/>
          <w:szCs w:val="21"/>
          <w:spacing w:val="-9"/>
        </w:rPr>
        <w:t xml:space="preserve"> </w:t>
      </w:r>
      <w:r>
        <w:rPr>
          <w:rFonts w:ascii="Microsoft YaHei" w:hAnsi="Microsoft YaHei" w:eastAsia="Microsoft YaHei" w:cs="Microsoft YaHei"/>
          <w:sz w:val="21"/>
          <w:szCs w:val="21"/>
          <w:spacing w:val="6"/>
        </w:rPr>
        <w:t>，在所有规划/在建新型储能项目中占比超过80%。但是</w:t>
      </w:r>
      <w:r>
        <w:rPr>
          <w:rFonts w:ascii="Microsoft YaHei" w:hAnsi="Microsoft YaHei" w:eastAsia="Microsoft YaHei" w:cs="Microsoft YaHei"/>
          <w:sz w:val="21"/>
          <w:szCs w:val="21"/>
          <w:spacing w:val="-24"/>
        </w:rPr>
        <w:t xml:space="preserve"> </w:t>
      </w:r>
      <w:r>
        <w:rPr>
          <w:rFonts w:ascii="Microsoft YaHei" w:hAnsi="Microsoft YaHei" w:eastAsia="Microsoft YaHei" w:cs="Microsoft YaHei"/>
          <w:sz w:val="21"/>
          <w:szCs w:val="21"/>
          <w:spacing w:val="6"/>
        </w:rPr>
        <w:t>，结合</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CNESA</w:t>
      </w:r>
      <w:r>
        <w:rPr>
          <w:rFonts w:ascii="Microsoft YaHei" w:hAnsi="Microsoft YaHei" w:eastAsia="Microsoft YaHei" w:cs="Microsoft YaHei"/>
          <w:sz w:val="21"/>
          <w:szCs w:val="21"/>
          <w:spacing w:val="1"/>
        </w:rPr>
        <w:t>另一份统计数据来看</w:t>
      </w:r>
      <w:r>
        <w:rPr>
          <w:rFonts w:ascii="Microsoft YaHei" w:hAnsi="Microsoft YaHei" w:eastAsia="Microsoft YaHei" w:cs="Microsoft YaHei"/>
          <w:sz w:val="13"/>
          <w:szCs w:val="13"/>
          <w:spacing w:val="1"/>
          <w:position w:val="6"/>
        </w:rPr>
        <w:t>73</w:t>
      </w:r>
      <w:r>
        <w:rPr>
          <w:rFonts w:ascii="Microsoft YaHei" w:hAnsi="Microsoft YaHei" w:eastAsia="Microsoft YaHei" w:cs="Microsoft YaHei"/>
          <w:sz w:val="13"/>
          <w:szCs w:val="13"/>
          <w:spacing w:val="6"/>
          <w:position w:val="6"/>
        </w:rPr>
        <w:t xml:space="preserve"> </w:t>
      </w:r>
      <w:r>
        <w:rPr>
          <w:rFonts w:ascii="Microsoft YaHei" w:hAnsi="Microsoft YaHei" w:eastAsia="Microsoft YaHei" w:cs="Microsoft YaHei"/>
          <w:sz w:val="21"/>
          <w:szCs w:val="21"/>
          <w:spacing w:val="1"/>
        </w:rPr>
        <w:t>，2022年前三季度中国独立储能电站的新增投运规模约</w:t>
      </w:r>
      <w:r>
        <w:rPr>
          <w:rFonts w:ascii="Microsoft YaHei" w:hAnsi="Microsoft YaHei" w:eastAsia="Microsoft YaHei" w:cs="Microsoft YaHei"/>
          <w:sz w:val="21"/>
          <w:szCs w:val="21"/>
        </w:rPr>
        <w:tab/>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为345.5MW，明显低于规划/在建规模，考虑到独立储能电站以电</w:t>
      </w:r>
      <w:r>
        <w:rPr>
          <w:rFonts w:ascii="Microsoft YaHei" w:hAnsi="Microsoft YaHei" w:eastAsia="Microsoft YaHei" w:cs="Microsoft YaHei"/>
          <w:sz w:val="21"/>
          <w:szCs w:val="21"/>
          <w:spacing w:val="-2"/>
        </w:rPr>
        <w:t>化学储能为主，而电</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化学储能建设周期一般为3-6个月，因此，独立储能电站投运量和</w:t>
      </w:r>
      <w:r>
        <w:rPr>
          <w:rFonts w:ascii="Microsoft YaHei" w:hAnsi="Microsoft YaHei" w:eastAsia="Microsoft YaHei" w:cs="Microsoft YaHei"/>
          <w:sz w:val="21"/>
          <w:szCs w:val="21"/>
        </w:rPr>
        <w:t>规划量的差距显然不    </w:t>
      </w:r>
      <w:r>
        <w:rPr>
          <w:rFonts w:ascii="Microsoft YaHei" w:hAnsi="Microsoft YaHei" w:eastAsia="Microsoft YaHei" w:cs="Microsoft YaHei"/>
          <w:sz w:val="21"/>
          <w:szCs w:val="21"/>
          <w:spacing w:val="2"/>
        </w:rPr>
        <w:t>能单以建设周期来解释。</w:t>
      </w:r>
      <w:r>
        <w:rPr>
          <w:rFonts w:ascii="Microsoft YaHei" w:hAnsi="Microsoft YaHei" w:eastAsia="Microsoft YaHei" w:cs="Microsoft YaHei"/>
          <w:sz w:val="21"/>
          <w:szCs w:val="21"/>
          <w:spacing w:val="-39"/>
        </w:rPr>
        <w:t xml:space="preserve"> </w:t>
      </w:r>
      <w:r>
        <w:rPr>
          <w:rFonts w:ascii="Microsoft YaHei" w:hAnsi="Microsoft YaHei" w:eastAsia="Microsoft YaHei" w:cs="Microsoft YaHei"/>
          <w:sz w:val="21"/>
          <w:szCs w:val="21"/>
          <w:spacing w:val="2"/>
        </w:rPr>
        <w:t>实际上</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2"/>
        </w:rPr>
        <w:t>，造成该差距的主要原因可能是投资方建设动力不足，</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其在计算项目投资回报率时</w:t>
      </w:r>
      <w:r>
        <w:rPr>
          <w:rFonts w:ascii="Microsoft YaHei" w:hAnsi="Microsoft YaHei" w:eastAsia="Microsoft YaHei" w:cs="Microsoft YaHei"/>
          <w:sz w:val="21"/>
          <w:szCs w:val="21"/>
          <w:spacing w:val="-35"/>
        </w:rPr>
        <w:t xml:space="preserve"> </w:t>
      </w:r>
      <w:r>
        <w:rPr>
          <w:rFonts w:ascii="Microsoft YaHei" w:hAnsi="Microsoft YaHei" w:eastAsia="Microsoft YaHei" w:cs="Microsoft YaHei"/>
          <w:sz w:val="21"/>
          <w:szCs w:val="21"/>
          <w:spacing w:val="3"/>
        </w:rPr>
        <w:t>，需要考虑多方面因素</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，例如辅助服务补偿费用、现货市</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5"/>
        </w:rPr>
        <w:t>场价差、新能源容量租赁费用、储能电站调</w:t>
      </w:r>
      <w:r>
        <w:rPr>
          <w:rFonts w:ascii="Microsoft YaHei" w:hAnsi="Microsoft YaHei" w:eastAsia="Microsoft YaHei" w:cs="Microsoft YaHei"/>
          <w:sz w:val="21"/>
          <w:szCs w:val="21"/>
          <w:spacing w:val="4"/>
        </w:rPr>
        <w:t>用次数、有效利用时长等。而在中国当前</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的电力市场机制下</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2"/>
        </w:rPr>
        <w:t>，这些考虑因素受政策和市场规则变动影响</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1"/>
        </w:rPr>
        <w:t>波动较大且难以量化，</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由此造成投资方陷入“算不清-不敢投建-</w:t>
      </w:r>
      <w:r>
        <w:rPr>
          <w:rFonts w:ascii="Microsoft YaHei" w:hAnsi="Microsoft YaHei" w:eastAsia="Microsoft YaHei" w:cs="Microsoft YaHei"/>
          <w:sz w:val="21"/>
          <w:szCs w:val="21"/>
          <w:spacing w:val="-1"/>
        </w:rPr>
        <w:t>无法算”的困境，推动独立储能电站项目落地</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还需依靠电力市场机制进一步优化。</w:t>
      </w:r>
    </w:p>
    <w:p>
      <w:pPr>
        <w:ind w:left="341" w:right="2827" w:firstLine="5"/>
        <w:spacing w:before="275" w:line="21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B8F5"/>
          <w:spacing w:val="3"/>
        </w:rPr>
        <w:t>资本热炒急需冷思考</w:t>
      </w:r>
      <w:r>
        <w:rPr>
          <w:rFonts w:ascii="Microsoft YaHei" w:hAnsi="Microsoft YaHei" w:eastAsia="Microsoft YaHei" w:cs="Microsoft YaHei"/>
          <w:sz w:val="21"/>
          <w:szCs w:val="21"/>
          <w:color w:val="00B8F5"/>
          <w:spacing w:val="-29"/>
        </w:rPr>
        <w:t xml:space="preserve"> </w:t>
      </w:r>
      <w:r>
        <w:rPr>
          <w:rFonts w:ascii="Microsoft YaHei" w:hAnsi="Microsoft YaHei" w:eastAsia="Microsoft YaHei" w:cs="Microsoft YaHei"/>
          <w:sz w:val="21"/>
          <w:szCs w:val="21"/>
          <w:color w:val="00B8F5"/>
          <w:spacing w:val="3"/>
        </w:rPr>
        <w:t>，需仔细甄别优质储能赛道</w:t>
      </w:r>
      <w:r>
        <w:rPr>
          <w:rFonts w:ascii="Microsoft YaHei" w:hAnsi="Microsoft YaHei" w:eastAsia="Microsoft YaHei" w:cs="Microsoft YaHei"/>
          <w:sz w:val="21"/>
          <w:szCs w:val="21"/>
          <w:color w:val="00B8F5"/>
          <w:spacing w:val="2"/>
        </w:rPr>
        <w:t>和标的。</w:t>
      </w:r>
      <w:r>
        <w:rPr>
          <w:rFonts w:ascii="Microsoft YaHei" w:hAnsi="Microsoft YaHei" w:eastAsia="Microsoft YaHei" w:cs="Microsoft YaHei"/>
          <w:sz w:val="21"/>
          <w:szCs w:val="21"/>
          <w:spacing w:val="2"/>
        </w:rPr>
        <w:t>近两年来</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，从二级市场到一</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级市场储能受到资本热捧</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2"/>
        </w:rPr>
        <w:t>，主要是行业受到需求端刺激</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，国内</w:t>
      </w:r>
      <w:r>
        <w:rPr>
          <w:rFonts w:ascii="Microsoft YaHei" w:hAnsi="Microsoft YaHei" w:eastAsia="Microsoft YaHei" w:cs="Microsoft YaHei"/>
          <w:sz w:val="21"/>
          <w:szCs w:val="21"/>
          <w:spacing w:val="1"/>
        </w:rPr>
        <w:t>方面储能产业政策不断，</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带动源网侧需求</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4"/>
        </w:rPr>
        <w:t>，海外方面俄乌冲突、能源危机等因</w:t>
      </w:r>
      <w:r>
        <w:rPr>
          <w:rFonts w:ascii="Microsoft YaHei" w:hAnsi="Microsoft YaHei" w:eastAsia="Microsoft YaHei" w:cs="Microsoft YaHei"/>
          <w:sz w:val="21"/>
          <w:szCs w:val="21"/>
          <w:spacing w:val="3"/>
        </w:rPr>
        <w:t>素刺激户用储能需求。预计随着</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国内强配需求逐渐释放</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，欧洲能源价格恢复平稳并采取措施</w:t>
      </w:r>
      <w:r>
        <w:rPr>
          <w:rFonts w:ascii="Microsoft YaHei" w:hAnsi="Microsoft YaHei" w:eastAsia="Microsoft YaHei" w:cs="Microsoft YaHei"/>
          <w:sz w:val="21"/>
          <w:szCs w:val="21"/>
          <w:spacing w:val="2"/>
        </w:rPr>
        <w:t>修复自身供给能力</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，中国</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储能产业将面临增长动力不足风险。从供给端来看</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，尽管储能产业链细分赛道众多，</w:t>
      </w:r>
    </w:p>
    <w:p>
      <w:pPr>
        <w:ind w:left="342" w:right="2996"/>
        <w:spacing w:before="6" w:line="21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但优质机会相对稀缺。赛道方面，</w:t>
      </w:r>
      <w:r>
        <w:rPr>
          <w:rFonts w:ascii="Microsoft YaHei" w:hAnsi="Microsoft YaHei" w:eastAsia="Microsoft YaHei" w:cs="Microsoft YaHei"/>
          <w:sz w:val="21"/>
          <w:szCs w:val="21"/>
          <w:spacing w:val="-39"/>
        </w:rPr>
        <w:t xml:space="preserve"> </w:t>
      </w:r>
      <w:r>
        <w:rPr>
          <w:rFonts w:ascii="Microsoft YaHei" w:hAnsi="Microsoft YaHei" w:eastAsia="Microsoft YaHei" w:cs="Microsoft YaHei"/>
          <w:sz w:val="21"/>
          <w:szCs w:val="21"/>
        </w:rPr>
        <w:t>结合多位投资人的公开观点来看  ，电化学储</w:t>
      </w:r>
      <w:r>
        <w:rPr>
          <w:rFonts w:ascii="Microsoft YaHei" w:hAnsi="Microsoft YaHei" w:eastAsia="Microsoft YaHei" w:cs="Microsoft YaHei"/>
          <w:sz w:val="21"/>
          <w:szCs w:val="21"/>
          <w:spacing w:val="-1"/>
        </w:rPr>
        <w:t>能和配</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套产业等热门赛道</w:t>
      </w:r>
      <w:r>
        <w:rPr>
          <w:rFonts w:ascii="Microsoft YaHei" w:hAnsi="Microsoft YaHei" w:eastAsia="Microsoft YaHei" w:cs="Microsoft YaHei"/>
          <w:sz w:val="21"/>
          <w:szCs w:val="21"/>
          <w:spacing w:val="-25"/>
        </w:rPr>
        <w:t xml:space="preserve"> </w:t>
      </w:r>
      <w:r>
        <w:rPr>
          <w:rFonts w:ascii="Microsoft YaHei" w:hAnsi="Microsoft YaHei" w:eastAsia="Microsoft YaHei" w:cs="Microsoft YaHei"/>
          <w:sz w:val="21"/>
          <w:szCs w:val="21"/>
          <w:spacing w:val="1"/>
        </w:rPr>
        <w:t>，多已有巨头企业提前布局</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，外部投资方进入难度较大。此外</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spacing w:val="-37"/>
        </w:rPr>
        <w:t xml:space="preserve"> </w:t>
      </w:r>
      <w:r>
        <w:rPr>
          <w:rFonts w:ascii="Microsoft YaHei" w:hAnsi="Microsoft YaHei" w:eastAsia="Microsoft YaHei" w:cs="Microsoft YaHei"/>
          <w:sz w:val="21"/>
          <w:szCs w:val="21"/>
          <w:spacing w:val="1"/>
        </w:rPr>
        <w:t>尚</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处于市场培育阶段的下游赛道目前收益较小</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，许多创投机构</w:t>
      </w:r>
      <w:r>
        <w:rPr>
          <w:rFonts w:ascii="Microsoft YaHei" w:hAnsi="Microsoft YaHei" w:eastAsia="Microsoft YaHei" w:cs="Microsoft YaHei"/>
          <w:sz w:val="21"/>
          <w:szCs w:val="21"/>
          <w:spacing w:val="2"/>
        </w:rPr>
        <w:t>被迫涌向上游</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，上游矿产</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资源型企业融资金额规模大</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3"/>
        </w:rPr>
        <w:t>，一般机构有心无力</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，反而是碳酸锂提炼等赛</w:t>
      </w:r>
      <w:r>
        <w:rPr>
          <w:rFonts w:ascii="Microsoft YaHei" w:hAnsi="Microsoft YaHei" w:eastAsia="Microsoft YaHei" w:cs="Microsoft YaHei"/>
          <w:sz w:val="21"/>
          <w:szCs w:val="21"/>
          <w:spacing w:val="2"/>
        </w:rPr>
        <w:t>道比较受此</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类资本青睐，相关企业尽管毛利低（15%-20%</w:t>
      </w:r>
      <w:r>
        <w:rPr>
          <w:rFonts w:ascii="Microsoft YaHei" w:hAnsi="Microsoft YaHei" w:eastAsia="Microsoft YaHei" w:cs="Microsoft YaHei"/>
          <w:sz w:val="21"/>
          <w:szCs w:val="21"/>
        </w:rPr>
        <w:t>），</w:t>
      </w:r>
      <w:r>
        <w:rPr>
          <w:rFonts w:ascii="Microsoft YaHei" w:hAnsi="Microsoft YaHei" w:eastAsia="Microsoft YaHei" w:cs="Microsoft YaHei"/>
          <w:sz w:val="21"/>
          <w:szCs w:val="21"/>
          <w:spacing w:val="1"/>
        </w:rPr>
        <w:t>但资金周转快、产品销路</w:t>
      </w:r>
      <w:r>
        <w:rPr>
          <w:rFonts w:ascii="Microsoft YaHei" w:hAnsi="Microsoft YaHei" w:eastAsia="Microsoft YaHei" w:cs="Microsoft YaHei"/>
          <w:sz w:val="21"/>
          <w:szCs w:val="21"/>
        </w:rPr>
        <w:t>广，因此</w:t>
      </w:r>
      <w:r>
        <w:rPr>
          <w:rFonts w:ascii="Microsoft YaHei" w:hAnsi="Microsoft YaHei" w:eastAsia="Microsoft YaHei" w:cs="Microsoft YaHei"/>
          <w:sz w:val="21"/>
          <w:szCs w:val="21"/>
          <w:spacing w:val="1"/>
        </w:rPr>
        <w:t xml:space="preserve"> </w:t>
      </w:r>
      <w:r>
        <w:rPr>
          <w:rFonts w:ascii="Microsoft YaHei" w:hAnsi="Microsoft YaHei" w:eastAsia="Microsoft YaHei" w:cs="Microsoft YaHei"/>
          <w:sz w:val="21"/>
          <w:szCs w:val="21"/>
          <w:spacing w:val="2"/>
        </w:rPr>
        <w:t>被看好。具体到标的方面</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，高潜力创业投资者相对集中</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，估值偏高</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1"/>
        </w:rPr>
        <w:t>但很多储能企业</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还未形成稳定合理的商业模式，导致投资人鉴别优质项目挑战加大。</w:t>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ict>
          <v:shape id="_x0000_s1698" style="position:absolute;margin-left:16.9366pt;margin-top:4.72836pt;mso-position-vertical-relative:text;mso-position-horizontal-relative:text;width:81.3pt;height:0.5pt;z-index:253936640;" filled="false" strokecolor="#000000" strokeweight="0.50pt" coordsize="1626,10" coordorigin="0,0" path="m0,5l1625,5e">
            <v:stroke joinstyle="miter"/>
          </v:shape>
        </w:pict>
      </w:r>
      <w:r/>
    </w:p>
    <w:p>
      <w:pPr>
        <w:ind w:left="339"/>
        <w:spacing w:before="57" w:line="193"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7"/>
          <w:position w:val="4"/>
        </w:rPr>
        <w:t>72</w:t>
      </w:r>
      <w:r>
        <w:rPr>
          <w:rFonts w:ascii="Microsoft YaHei" w:hAnsi="Microsoft YaHei" w:eastAsia="Microsoft YaHei" w:cs="Microsoft YaHei"/>
          <w:sz w:val="9"/>
          <w:szCs w:val="9"/>
          <w:spacing w:val="14"/>
          <w:w w:val="102"/>
          <w:position w:val="4"/>
        </w:rPr>
        <w:t xml:space="preserve"> </w:t>
      </w:r>
      <w:r>
        <w:rPr>
          <w:rFonts w:ascii="Microsoft YaHei" w:hAnsi="Microsoft YaHei" w:eastAsia="Microsoft YaHei" w:cs="Microsoft YaHei"/>
          <w:sz w:val="13"/>
          <w:szCs w:val="13"/>
          <w:spacing w:val="7"/>
        </w:rPr>
        <w:t>未来5年独立储能年增装机规模平均可达7.2</w:t>
      </w:r>
      <w:r>
        <w:rPr>
          <w:rFonts w:ascii="Microsoft YaHei" w:hAnsi="Microsoft YaHei" w:eastAsia="Microsoft YaHei" w:cs="Microsoft YaHei"/>
          <w:sz w:val="13"/>
          <w:szCs w:val="13"/>
        </w:rPr>
        <w:t>GW</w:t>
      </w:r>
      <w:r>
        <w:rPr>
          <w:rFonts w:ascii="Microsoft YaHei" w:hAnsi="Microsoft YaHei" w:eastAsia="Microsoft YaHei" w:cs="Microsoft YaHei"/>
          <w:sz w:val="13"/>
          <w:szCs w:val="13"/>
          <w:spacing w:val="7"/>
        </w:rPr>
        <w:t>！-北极星储能</w:t>
      </w:r>
      <w:r>
        <w:rPr>
          <w:rFonts w:ascii="Microsoft YaHei" w:hAnsi="Microsoft YaHei" w:eastAsia="Microsoft YaHei" w:cs="Microsoft YaHei"/>
          <w:sz w:val="13"/>
          <w:szCs w:val="13"/>
          <w:spacing w:val="6"/>
        </w:rPr>
        <w:t>网</w:t>
      </w:r>
      <w:r>
        <w:rPr>
          <w:rFonts w:ascii="Microsoft YaHei" w:hAnsi="Microsoft YaHei" w:eastAsia="Microsoft YaHei" w:cs="Microsoft YaHei"/>
          <w:sz w:val="13"/>
          <w:szCs w:val="13"/>
          <w:spacing w:val="32"/>
        </w:rPr>
        <w:t xml:space="preserve"> </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bjx</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com</w:t>
      </w:r>
      <w:r>
        <w:rPr>
          <w:rFonts w:ascii="Microsoft YaHei" w:hAnsi="Microsoft YaHei" w:eastAsia="Microsoft YaHei" w:cs="Microsoft YaHei"/>
          <w:sz w:val="13"/>
          <w:szCs w:val="13"/>
          <w:spacing w:val="6"/>
        </w:rPr>
        <w:t>.</w:t>
      </w:r>
      <w:r>
        <w:rPr>
          <w:rFonts w:ascii="Microsoft YaHei" w:hAnsi="Microsoft YaHei" w:eastAsia="Microsoft YaHei" w:cs="Microsoft YaHei"/>
          <w:sz w:val="13"/>
          <w:szCs w:val="13"/>
        </w:rPr>
        <w:t>cn</w:t>
      </w:r>
      <w:r>
        <w:rPr>
          <w:rFonts w:ascii="Microsoft YaHei" w:hAnsi="Microsoft YaHei" w:eastAsia="Microsoft YaHei" w:cs="Microsoft YaHei"/>
          <w:sz w:val="13"/>
          <w:szCs w:val="13"/>
          <w:spacing w:val="6"/>
        </w:rPr>
        <w:t>)</w:t>
      </w:r>
    </w:p>
    <w:p>
      <w:pPr>
        <w:ind w:left="339"/>
        <w:spacing w:before="51" w:line="193" w:lineRule="auto"/>
        <w:rPr>
          <w:rFonts w:ascii="Microsoft YaHei" w:hAnsi="Microsoft YaHei" w:eastAsia="Microsoft YaHei" w:cs="Microsoft YaHei"/>
          <w:sz w:val="13"/>
          <w:szCs w:val="13"/>
        </w:rPr>
      </w:pPr>
      <w:r>
        <w:rPr>
          <w:rFonts w:ascii="Microsoft YaHei" w:hAnsi="Microsoft YaHei" w:eastAsia="Microsoft YaHei" w:cs="Microsoft YaHei"/>
          <w:sz w:val="9"/>
          <w:szCs w:val="9"/>
          <w:spacing w:val="4"/>
          <w:position w:val="4"/>
        </w:rPr>
        <w:t>73</w:t>
      </w:r>
      <w:r>
        <w:rPr>
          <w:rFonts w:ascii="Microsoft YaHei" w:hAnsi="Microsoft YaHei" w:eastAsia="Microsoft YaHei" w:cs="Microsoft YaHei"/>
          <w:sz w:val="9"/>
          <w:szCs w:val="9"/>
          <w:spacing w:val="26"/>
          <w:w w:val="103"/>
          <w:position w:val="4"/>
        </w:rPr>
        <w:t xml:space="preserve"> </w:t>
      </w:r>
      <w:r>
        <w:rPr>
          <w:rFonts w:ascii="Microsoft YaHei" w:hAnsi="Microsoft YaHei" w:eastAsia="Microsoft YaHei" w:cs="Microsoft YaHei"/>
          <w:sz w:val="13"/>
          <w:szCs w:val="13"/>
          <w:spacing w:val="4"/>
        </w:rPr>
        <w:t>2022前三季度中国新增投运新型储能933.8</w:t>
      </w:r>
      <w:r>
        <w:rPr>
          <w:rFonts w:ascii="Microsoft YaHei" w:hAnsi="Microsoft YaHei" w:eastAsia="Microsoft YaHei" w:cs="Microsoft YaHei"/>
          <w:sz w:val="13"/>
          <w:szCs w:val="13"/>
        </w:rPr>
        <w:t>MW</w:t>
      </w:r>
      <w:r>
        <w:rPr>
          <w:rFonts w:ascii="Microsoft YaHei" w:hAnsi="Microsoft YaHei" w:eastAsia="Microsoft YaHei" w:cs="Microsoft YaHei"/>
          <w:sz w:val="13"/>
          <w:szCs w:val="13"/>
          <w:spacing w:val="4"/>
        </w:rPr>
        <w:t>/1911.0</w:t>
      </w:r>
      <w:r>
        <w:rPr>
          <w:rFonts w:ascii="Microsoft YaHei" w:hAnsi="Microsoft YaHei" w:eastAsia="Microsoft YaHei" w:cs="Microsoft YaHei"/>
          <w:sz w:val="13"/>
          <w:szCs w:val="13"/>
        </w:rPr>
        <w:t>MWh</w:t>
      </w:r>
      <w:r>
        <w:rPr>
          <w:rFonts w:ascii="Microsoft YaHei" w:hAnsi="Microsoft YaHei" w:eastAsia="Microsoft YaHei" w:cs="Microsoft YaHei"/>
          <w:sz w:val="13"/>
          <w:szCs w:val="13"/>
          <w:spacing w:val="4"/>
        </w:rPr>
        <w:t>-北极星储能网</w:t>
      </w:r>
      <w:r>
        <w:rPr>
          <w:rFonts w:ascii="Microsoft YaHei" w:hAnsi="Microsoft YaHei" w:eastAsia="Microsoft YaHei" w:cs="Microsoft YaHei"/>
          <w:sz w:val="13"/>
          <w:szCs w:val="13"/>
          <w:spacing w:val="27"/>
        </w:rPr>
        <w:t xml:space="preserve"> </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bjx</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com</w:t>
      </w:r>
      <w:r>
        <w:rPr>
          <w:rFonts w:ascii="Microsoft YaHei" w:hAnsi="Microsoft YaHei" w:eastAsia="Microsoft YaHei" w:cs="Microsoft YaHei"/>
          <w:sz w:val="13"/>
          <w:szCs w:val="13"/>
          <w:spacing w:val="4"/>
        </w:rPr>
        <w:t>.</w:t>
      </w:r>
      <w:r>
        <w:rPr>
          <w:rFonts w:ascii="Microsoft YaHei" w:hAnsi="Microsoft YaHei" w:eastAsia="Microsoft YaHei" w:cs="Microsoft YaHei"/>
          <w:sz w:val="13"/>
          <w:szCs w:val="13"/>
        </w:rPr>
        <w:t>cn</w:t>
      </w:r>
      <w:r>
        <w:rPr>
          <w:rFonts w:ascii="Microsoft YaHei" w:hAnsi="Microsoft YaHei" w:eastAsia="Microsoft YaHei" w:cs="Microsoft YaHei"/>
          <w:sz w:val="13"/>
          <w:szCs w:val="13"/>
          <w:spacing w:val="4"/>
        </w:rPr>
        <w:t>)</w:t>
      </w:r>
    </w:p>
    <w:p>
      <w:pPr>
        <w:ind w:left="838" w:right="1241" w:hanging="411"/>
        <w:spacing w:before="200"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967" w:header="0" w:footer="0" w:gutter="0"/>
        </w:sectPr>
        <w:rPr>
          <w:rFonts w:ascii="Microsoft YaHei" w:hAnsi="Microsoft YaHei" w:eastAsia="Microsoft YaHei" w:cs="Microsoft YaHei"/>
          <w:sz w:val="11"/>
          <w:szCs w:val="11"/>
        </w:rPr>
      </w:pPr>
    </w:p>
    <w:p>
      <w:pPr>
        <w:ind w:left="7674"/>
        <w:spacing w:before="314" w:line="193" w:lineRule="auto"/>
        <w:outlineLvl w:val="0"/>
        <w:rPr>
          <w:rFonts w:ascii="Microsoft YaHei" w:hAnsi="Microsoft YaHei" w:eastAsia="Microsoft YaHei" w:cs="Microsoft YaHei"/>
          <w:sz w:val="18"/>
          <w:szCs w:val="18"/>
        </w:rPr>
      </w:pPr>
      <w:r>
        <mc:AlternateContent xmlns:mc="http://schemas.openxmlformats.org/markup-compatibility/2006">
          <mc:Choice Requires="wps">
            <w:drawing>
              <wp:anchor distT="0" distB="0" distL="0" distR="0" simplePos="0" relativeHeight="253973504" behindDoc="1" locked="0" layoutInCell="0" allowOverlap="1">
                <wp:simplePos x="0" y="0"/>
                <wp:positionH relativeFrom="page">
                  <wp:posOffset>7772272</wp:posOffset>
                </wp:positionH>
                <wp:positionV relativeFrom="page">
                  <wp:posOffset>0</wp:posOffset>
                </wp:positionV>
                <wp:extent cx="3175" cy="10909300"/>
                <wp:effectExtent l="0" t="0" r="0" b="0"/>
                <wp:wrapNone/>
                <wp:docPr id="876" name="Rect 876"/>
                <wp:cNvGraphicFramePr/>
                <a:graphic>
                  <a:graphicData uri="http://schemas.microsoft.com/office/word/2010/wordprocessingShape">
                    <wps:wsp>
                      <wps:cNvPr id="876" name="Rect 876"/>
                      <wps:cNvSpPr/>
                      <wps:spPr>
                        <a:xfrm>
                          <a:off x="7772272" y="0"/>
                          <a:ext cx="3175" cy="109093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700" style="position:absolute;margin-left:611.99pt;margin-top:0pt;mso-position-vertical-relative:page;mso-position-horizontal-relative:page;width:0.25pt;height:859pt;z-index:-249342976;" o:allowincell="f" fillcolor="#000000" filled="true" stroked="false"/>
            </w:pict>
          </mc:Fallback>
        </mc:AlternateContent>
      </w:r>
      <w:r>
        <w:rPr>
          <w:rFonts w:ascii="Microsoft YaHei" w:hAnsi="Microsoft YaHei" w:eastAsia="Microsoft YaHei" w:cs="Microsoft YaHei"/>
          <w:sz w:val="18"/>
          <w:szCs w:val="18"/>
          <w:color w:val="A8A8A8"/>
          <w:spacing w:val="-1"/>
        </w:rPr>
        <w:t>新型储能助力能源转型</w:t>
      </w:r>
      <w:r>
        <w:rPr>
          <w:rFonts w:ascii="Microsoft YaHei" w:hAnsi="Microsoft YaHei" w:eastAsia="Microsoft YaHei" w:cs="Microsoft YaHei"/>
          <w:sz w:val="18"/>
          <w:szCs w:val="18"/>
          <w:color w:val="A8A8A8"/>
          <w:spacing w:val="25"/>
        </w:rPr>
        <w:t xml:space="preserve">  </w:t>
      </w:r>
      <w:r>
        <w:rPr>
          <w:sz w:val="18"/>
          <w:szCs w:val="18"/>
          <w:position w:val="-4"/>
        </w:rPr>
        <w:drawing>
          <wp:inline distT="0" distB="0" distL="0" distR="0">
            <wp:extent cx="6350" cy="130175"/>
            <wp:effectExtent l="0" t="0" r="0" b="0"/>
            <wp:docPr id="878" name="IM 878"/>
            <wp:cNvGraphicFramePr/>
            <a:graphic>
              <a:graphicData uri="http://schemas.openxmlformats.org/drawingml/2006/picture">
                <pic:pic>
                  <pic:nvPicPr>
                    <pic:cNvPr id="878" name="IM 878"/>
                    <pic:cNvPicPr/>
                  </pic:nvPicPr>
                  <pic:blipFill>
                    <a:blip r:embed="rId415"/>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spacing w:val="17"/>
          <w:w w:val="101"/>
        </w:rPr>
        <w:t xml:space="preserve">  </w:t>
      </w:r>
      <w:r>
        <w:rPr>
          <w:rFonts w:ascii="Microsoft YaHei" w:hAnsi="Microsoft YaHei" w:eastAsia="Microsoft YaHei" w:cs="Microsoft YaHei"/>
          <w:sz w:val="18"/>
          <w:szCs w:val="18"/>
          <w:b/>
          <w:bCs/>
          <w:color w:val="A8A8A8"/>
          <w:spacing w:val="-1"/>
        </w:rPr>
        <w:t>76</w:t>
      </w:r>
    </w:p>
    <w:p>
      <w:pPr>
        <w:pStyle w:val="BodyText"/>
        <w:spacing w:line="365" w:lineRule="auto"/>
        <w:rPr/>
      </w:pPr>
      <w:r/>
    </w:p>
    <w:p>
      <w:pPr>
        <w:ind w:left="7" w:right="2996" w:firstLine="4"/>
        <w:spacing w:before="90" w:line="217"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color w:val="00B8F5"/>
          <w:spacing w:val="4"/>
        </w:rPr>
        <w:t>完善储能成本疏导的市场化机制是储能行业从商业化初期向规模化转变的关键。</w:t>
      </w:r>
      <w:r>
        <w:rPr>
          <w:rFonts w:ascii="Microsoft YaHei" w:hAnsi="Microsoft YaHei" w:eastAsia="Microsoft YaHei" w:cs="Microsoft YaHei"/>
          <w:sz w:val="21"/>
          <w:szCs w:val="21"/>
          <w:spacing w:val="4"/>
        </w:rPr>
        <w:t>储能</w:t>
      </w:r>
      <w:r>
        <w:rPr>
          <w:rFonts w:ascii="Microsoft YaHei" w:hAnsi="Microsoft YaHei" w:eastAsia="Microsoft YaHei" w:cs="Microsoft YaHei"/>
          <w:sz w:val="21"/>
          <w:szCs w:val="21"/>
          <w:spacing w:val="14"/>
        </w:rPr>
        <w:t xml:space="preserve"> </w:t>
      </w:r>
      <w:r>
        <w:rPr>
          <w:rFonts w:ascii="Microsoft YaHei" w:hAnsi="Microsoft YaHei" w:eastAsia="Microsoft YaHei" w:cs="Microsoft YaHei"/>
          <w:sz w:val="21"/>
          <w:szCs w:val="21"/>
          <w:spacing w:val="4"/>
        </w:rPr>
        <w:t>行业正处于从商业化初期向规模化发展转变的关键期</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3"/>
        </w:rPr>
        <w:t>，经济性是储能下一程是否顺利</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的关键，需要完善储能成本疏导的顶层设计，并通</w:t>
      </w:r>
      <w:r>
        <w:rPr>
          <w:rFonts w:ascii="Microsoft YaHei" w:hAnsi="Microsoft YaHei" w:eastAsia="Microsoft YaHei" w:cs="Microsoft YaHei"/>
          <w:sz w:val="21"/>
          <w:szCs w:val="21"/>
          <w:spacing w:val="1"/>
        </w:rPr>
        <w:t>过市场化的方式跑通经济性。</w:t>
      </w:r>
      <w:r>
        <w:rPr>
          <w:rFonts w:ascii="Microsoft YaHei" w:hAnsi="Microsoft YaHei" w:eastAsia="Microsoft YaHei" w:cs="Microsoft YaHei"/>
          <w:sz w:val="21"/>
          <w:szCs w:val="21"/>
          <w:spacing w:val="-42"/>
        </w:rPr>
        <w:t xml:space="preserve"> </w:t>
      </w:r>
      <w:r>
        <w:rPr>
          <w:rFonts w:ascii="Microsoft YaHei" w:hAnsi="Microsoft YaHei" w:eastAsia="Microsoft YaHei" w:cs="Microsoft YaHei"/>
          <w:sz w:val="21"/>
          <w:szCs w:val="21"/>
          <w:spacing w:val="1"/>
        </w:rPr>
        <w:t>2022</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rPr>
        <w:t>年4月，国家发改委价格成本调查中心发布题为《完善储</w:t>
      </w:r>
      <w:r>
        <w:rPr>
          <w:rFonts w:ascii="Microsoft YaHei" w:hAnsi="Microsoft YaHei" w:eastAsia="Microsoft YaHei" w:cs="Microsoft YaHei"/>
          <w:sz w:val="21"/>
          <w:szCs w:val="21"/>
          <w:spacing w:val="-1"/>
        </w:rPr>
        <w:t>能成本补偿机制</w:t>
      </w:r>
      <w:r>
        <w:rPr>
          <w:rFonts w:ascii="Microsoft YaHei" w:hAnsi="Microsoft YaHei" w:eastAsia="Microsoft YaHei" w:cs="Microsoft YaHei"/>
          <w:sz w:val="21"/>
          <w:szCs w:val="21"/>
          <w:spacing w:val="-11"/>
        </w:rPr>
        <w:t xml:space="preserve"> </w:t>
      </w:r>
      <w:r>
        <w:rPr>
          <w:rFonts w:ascii="Microsoft YaHei" w:hAnsi="Microsoft YaHei" w:eastAsia="Microsoft YaHei" w:cs="Microsoft YaHei"/>
          <w:sz w:val="21"/>
          <w:szCs w:val="21"/>
          <w:spacing w:val="-1"/>
        </w:rPr>
        <w:t>助力构建以新</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2"/>
        </w:rPr>
        <w:t>能源为主体的新型电力系统》</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2"/>
        </w:rPr>
        <w:t>的文章</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2"/>
        </w:rPr>
        <w:t>，提出加强储能政策顶层设计</w:t>
      </w:r>
      <w:r>
        <w:rPr>
          <w:rFonts w:ascii="Microsoft YaHei" w:hAnsi="Microsoft YaHei" w:eastAsia="Microsoft YaHei" w:cs="Microsoft YaHei"/>
          <w:sz w:val="21"/>
          <w:szCs w:val="21"/>
          <w:spacing w:val="-29"/>
        </w:rPr>
        <w:t xml:space="preserve"> </w:t>
      </w:r>
      <w:r>
        <w:rPr>
          <w:rFonts w:ascii="Microsoft YaHei" w:hAnsi="Microsoft YaHei" w:eastAsia="Microsoft YaHei" w:cs="Microsoft YaHei"/>
          <w:sz w:val="21"/>
          <w:szCs w:val="21"/>
          <w:spacing w:val="1"/>
        </w:rPr>
        <w:t>，探索解决制约储</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能发展瓶颈的思路和方法</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4"/>
        </w:rPr>
        <w:t>，推动各类储能技术蓬勃</w:t>
      </w:r>
      <w:r>
        <w:rPr>
          <w:rFonts w:ascii="Microsoft YaHei" w:hAnsi="Microsoft YaHei" w:eastAsia="Microsoft YaHei" w:cs="Microsoft YaHei"/>
          <w:sz w:val="21"/>
          <w:szCs w:val="21"/>
          <w:spacing w:val="3"/>
        </w:rPr>
        <w:t>发展。文章提出了三方面的研究方</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向：一是研究确立各类储能在构建新型电力系统中的功能定位和作用价</w:t>
      </w:r>
      <w:r>
        <w:rPr>
          <w:rFonts w:ascii="Microsoft YaHei" w:hAnsi="Microsoft YaHei" w:eastAsia="Microsoft YaHei" w:cs="Microsoft YaHei"/>
          <w:sz w:val="21"/>
          <w:szCs w:val="21"/>
          <w:spacing w:val="3"/>
        </w:rPr>
        <w:t>值；</w:t>
      </w:r>
      <w:r>
        <w:rPr>
          <w:rFonts w:ascii="Microsoft YaHei" w:hAnsi="Microsoft YaHei" w:eastAsia="Microsoft YaHei" w:cs="Microsoft YaHei"/>
          <w:sz w:val="21"/>
          <w:szCs w:val="21"/>
          <w:spacing w:val="-36"/>
        </w:rPr>
        <w:t xml:space="preserve"> </w:t>
      </w:r>
      <w:r>
        <w:rPr>
          <w:rFonts w:ascii="Microsoft YaHei" w:hAnsi="Microsoft YaHei" w:eastAsia="Microsoft YaHei" w:cs="Microsoft YaHei"/>
          <w:sz w:val="21"/>
          <w:szCs w:val="21"/>
          <w:spacing w:val="3"/>
        </w:rPr>
        <w:t>二是加快</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制定各类储能在不同应用场景下的成本疏导机制；</w:t>
      </w:r>
      <w:r>
        <w:rPr>
          <w:rFonts w:ascii="Microsoft YaHei" w:hAnsi="Microsoft YaHei" w:eastAsia="Microsoft YaHei" w:cs="Microsoft YaHei"/>
          <w:sz w:val="21"/>
          <w:szCs w:val="21"/>
          <w:spacing w:val="-28"/>
        </w:rPr>
        <w:t xml:space="preserve"> </w:t>
      </w:r>
      <w:r>
        <w:rPr>
          <w:rFonts w:ascii="Microsoft YaHei" w:hAnsi="Microsoft YaHei" w:eastAsia="Microsoft YaHei" w:cs="Microsoft YaHei"/>
          <w:sz w:val="21"/>
          <w:szCs w:val="21"/>
          <w:spacing w:val="4"/>
        </w:rPr>
        <w:t>三</w:t>
      </w:r>
      <w:r>
        <w:rPr>
          <w:rFonts w:ascii="Microsoft YaHei" w:hAnsi="Microsoft YaHei" w:eastAsia="Microsoft YaHei" w:cs="Microsoft YaHei"/>
          <w:sz w:val="21"/>
          <w:szCs w:val="21"/>
          <w:spacing w:val="3"/>
        </w:rPr>
        <w:t>是开展各类储能技术在新型电力</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1"/>
        </w:rPr>
        <w:t>系统相同应用场景下的经济性比较研究。</w:t>
      </w:r>
    </w:p>
    <w:p>
      <w:pPr>
        <w:pStyle w:val="BodyText"/>
        <w:spacing w:line="306" w:lineRule="auto"/>
        <w:rPr/>
      </w:pPr>
      <w:r/>
    </w:p>
    <w:p>
      <w:pPr>
        <w:spacing w:line="11779" w:lineRule="exact"/>
        <w:rPr/>
      </w:pPr>
      <w:r>
        <w:rPr>
          <w:position w:val="-235"/>
        </w:rPr>
        <w:drawing>
          <wp:inline distT="0" distB="0" distL="0" distR="0">
            <wp:extent cx="6949440" cy="7479790"/>
            <wp:effectExtent l="0" t="0" r="0" b="0"/>
            <wp:docPr id="880" name="IM 880"/>
            <wp:cNvGraphicFramePr/>
            <a:graphic>
              <a:graphicData uri="http://schemas.openxmlformats.org/drawingml/2006/picture">
                <pic:pic>
                  <pic:nvPicPr>
                    <pic:cNvPr id="880" name="IM 880"/>
                    <pic:cNvPicPr/>
                  </pic:nvPicPr>
                  <pic:blipFill>
                    <a:blip r:embed="rId416"/>
                    <a:stretch>
                      <a:fillRect/>
                    </a:stretch>
                  </pic:blipFill>
                  <pic:spPr>
                    <a:xfrm rot="0">
                      <a:off x="0" y="0"/>
                      <a:ext cx="6949440" cy="7479790"/>
                    </a:xfrm>
                    <a:prstGeom prst="rect">
                      <a:avLst/>
                    </a:prstGeom>
                  </pic:spPr>
                </pic:pic>
              </a:graphicData>
            </a:graphic>
          </wp:inline>
        </w:drawing>
      </w:r>
    </w:p>
    <w:p>
      <w:pPr>
        <w:ind w:left="505" w:right="1241" w:hanging="411"/>
        <w:spacing w:before="251"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1300" w:header="0" w:footer="0" w:gutter="0"/>
        </w:sectPr>
        <w:rPr>
          <w:rFonts w:ascii="Microsoft YaHei" w:hAnsi="Microsoft YaHei" w:eastAsia="Microsoft YaHei" w:cs="Microsoft YaHei"/>
          <w:sz w:val="11"/>
          <w:szCs w:val="11"/>
        </w:rPr>
      </w:pPr>
    </w:p>
    <w:p>
      <w:pPr>
        <w:ind w:left="967"/>
        <w:spacing w:before="314" w:line="193" w:lineRule="auto"/>
        <w:rPr>
          <w:rFonts w:ascii="Microsoft YaHei" w:hAnsi="Microsoft YaHei" w:eastAsia="Microsoft YaHei" w:cs="Microsoft YaHei"/>
          <w:sz w:val="18"/>
          <w:szCs w:val="18"/>
        </w:rPr>
      </w:pPr>
      <w:r>
        <mc:AlternateContent xmlns:mc="http://schemas.openxmlformats.org/markup-compatibility/2006">
          <mc:Choice Requires="wps">
            <w:drawing>
              <wp:anchor distT="0" distB="0" distL="0" distR="0" simplePos="0" relativeHeight="254012416" behindDoc="1" locked="0" layoutInCell="0" allowOverlap="1">
                <wp:simplePos x="0" y="0"/>
                <wp:positionH relativeFrom="page">
                  <wp:posOffset>7772272</wp:posOffset>
                </wp:positionH>
                <wp:positionV relativeFrom="page">
                  <wp:posOffset>0</wp:posOffset>
                </wp:positionV>
                <wp:extent cx="3175" cy="10909300"/>
                <wp:effectExtent l="0" t="0" r="0" b="0"/>
                <wp:wrapNone/>
                <wp:docPr id="882" name="Rect 882"/>
                <wp:cNvGraphicFramePr/>
                <a:graphic>
                  <a:graphicData uri="http://schemas.microsoft.com/office/word/2010/wordprocessingShape">
                    <wps:wsp>
                      <wps:cNvPr id="882" name="Rect 882"/>
                      <wps:cNvSpPr/>
                      <wps:spPr>
                        <a:xfrm>
                          <a:off x="7772272" y="0"/>
                          <a:ext cx="3175" cy="109093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702" style="position:absolute;margin-left:611.99pt;margin-top:0pt;mso-position-vertical-relative:page;mso-position-horizontal-relative:page;width:0.25pt;height:859pt;z-index:-249304064;" o:allowincell="f" fillcolor="#000000" filled="true" stroked="false"/>
            </w:pict>
          </mc:Fallback>
        </mc:AlternateContent>
      </w:r>
      <w:r>
        <w:rPr>
          <w:rFonts w:ascii="Microsoft YaHei" w:hAnsi="Microsoft YaHei" w:eastAsia="Microsoft YaHei" w:cs="Microsoft YaHei"/>
          <w:sz w:val="18"/>
          <w:szCs w:val="18"/>
          <w:b/>
          <w:bCs/>
          <w:color w:val="A8A8A8"/>
          <w:spacing w:val="-2"/>
        </w:rPr>
        <w:t>77</w:t>
      </w:r>
      <w:r>
        <w:rPr>
          <w:rFonts w:ascii="Microsoft YaHei" w:hAnsi="Microsoft YaHei" w:eastAsia="Microsoft YaHei" w:cs="Microsoft YaHei"/>
          <w:sz w:val="18"/>
          <w:szCs w:val="18"/>
          <w:b/>
          <w:bCs/>
          <w:color w:val="A8A8A8"/>
          <w:spacing w:val="19"/>
        </w:rPr>
        <w:t xml:space="preserve">  </w:t>
      </w:r>
      <w:r>
        <w:rPr>
          <w:sz w:val="18"/>
          <w:szCs w:val="18"/>
          <w:position w:val="-4"/>
        </w:rPr>
        <w:drawing>
          <wp:inline distT="0" distB="0" distL="0" distR="0">
            <wp:extent cx="6350" cy="130175"/>
            <wp:effectExtent l="0" t="0" r="0" b="0"/>
            <wp:docPr id="884" name="IM 884"/>
            <wp:cNvGraphicFramePr/>
            <a:graphic>
              <a:graphicData uri="http://schemas.openxmlformats.org/drawingml/2006/picture">
                <pic:pic>
                  <pic:nvPicPr>
                    <pic:cNvPr id="884" name="IM 884"/>
                    <pic:cNvPicPr/>
                  </pic:nvPicPr>
                  <pic:blipFill>
                    <a:blip r:embed="rId417"/>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b/>
          <w:bCs/>
          <w:color w:val="A8A8A8"/>
          <w:spacing w:val="26"/>
        </w:rPr>
        <w:t xml:space="preserve">  </w:t>
      </w:r>
      <w:r>
        <w:rPr>
          <w:rFonts w:ascii="Microsoft YaHei" w:hAnsi="Microsoft YaHei" w:eastAsia="Microsoft YaHei" w:cs="Microsoft YaHei"/>
          <w:sz w:val="18"/>
          <w:szCs w:val="18"/>
          <w:color w:val="A8A8A8"/>
          <w:spacing w:val="-2"/>
        </w:rPr>
        <w:t>新型储能助力能源转型</w:t>
      </w:r>
    </w:p>
    <w:p>
      <w:pPr>
        <w:pStyle w:val="BodyText"/>
        <w:spacing w:line="299" w:lineRule="auto"/>
        <w:rPr/>
      </w:pPr>
      <w:r/>
    </w:p>
    <w:p>
      <w:pPr>
        <w:pStyle w:val="BodyText"/>
        <w:spacing w:line="299" w:lineRule="auto"/>
        <w:rPr/>
      </w:pPr>
      <w:r/>
    </w:p>
    <w:p>
      <w:pPr>
        <w:pStyle w:val="BodyText"/>
        <w:spacing w:line="299" w:lineRule="auto"/>
        <w:rPr/>
      </w:pPr>
      <w:r/>
    </w:p>
    <w:p>
      <w:pPr>
        <w:ind w:left="1322"/>
        <w:spacing w:before="270" w:line="181" w:lineRule="auto"/>
        <w:outlineLvl w:val="0"/>
        <w:rPr>
          <w:rFonts w:ascii="Microsoft YaHei" w:hAnsi="Microsoft YaHei" w:eastAsia="Microsoft YaHei" w:cs="Microsoft YaHei"/>
          <w:sz w:val="63"/>
          <w:szCs w:val="63"/>
        </w:rPr>
      </w:pPr>
      <w:r>
        <w:rPr>
          <w:rFonts w:ascii="Microsoft YaHei" w:hAnsi="Microsoft YaHei" w:eastAsia="Microsoft YaHei" w:cs="Microsoft YaHei"/>
          <w:sz w:val="63"/>
          <w:szCs w:val="63"/>
          <w:b/>
          <w:bCs/>
          <w:color w:val="00338D"/>
          <w:spacing w:val="3"/>
        </w:rPr>
        <w:t>联系我们</w:t>
      </w:r>
    </w:p>
    <w:p>
      <w:pPr>
        <w:ind w:left="1310"/>
        <w:spacing w:before="334" w:line="179" w:lineRule="auto"/>
        <w:rPr>
          <w:rFonts w:ascii="Microsoft YaHei" w:hAnsi="Microsoft YaHei" w:eastAsia="Microsoft YaHei" w:cs="Microsoft YaHei"/>
          <w:sz w:val="32"/>
          <w:szCs w:val="32"/>
        </w:rPr>
      </w:pPr>
      <w:r>
        <w:rPr>
          <w:rFonts w:ascii="Microsoft YaHei" w:hAnsi="Microsoft YaHei" w:eastAsia="Microsoft YaHei" w:cs="Microsoft YaHei"/>
          <w:sz w:val="32"/>
          <w:szCs w:val="32"/>
          <w:b/>
          <w:bCs/>
          <w:color w:val="00338D"/>
          <w:spacing w:val="-1"/>
        </w:rPr>
        <w:t>指导委员会</w:t>
      </w:r>
      <w:r>
        <w:rPr>
          <w:rFonts w:ascii="Microsoft YaHei" w:hAnsi="Microsoft YaHei" w:eastAsia="Microsoft YaHei" w:cs="Microsoft YaHei"/>
          <w:sz w:val="32"/>
          <w:szCs w:val="32"/>
          <w:b/>
          <w:bCs/>
          <w:color w:val="00338D"/>
          <w:spacing w:val="30"/>
        </w:rPr>
        <w:t xml:space="preserve">  </w:t>
      </w:r>
      <w:r>
        <w:rPr>
          <w:rFonts w:ascii="Microsoft YaHei" w:hAnsi="Microsoft YaHei" w:eastAsia="Microsoft YaHei" w:cs="Microsoft YaHei"/>
          <w:sz w:val="32"/>
          <w:szCs w:val="32"/>
          <w:b/>
          <w:bCs/>
          <w:strike/>
          <w:color w:val="00338D"/>
          <w:spacing w:val="2"/>
        </w:rPr>
        <w:t xml:space="preserve">                            </w:t>
      </w:r>
      <w:r>
        <w:rPr>
          <w:rFonts w:ascii="Microsoft YaHei" w:hAnsi="Microsoft YaHei" w:eastAsia="Microsoft YaHei" w:cs="Microsoft YaHei"/>
          <w:sz w:val="32"/>
          <w:szCs w:val="32"/>
          <w:b/>
          <w:bCs/>
          <w:color w:val="00338D"/>
          <w:spacing w:val="-1"/>
        </w:rPr>
        <w:t xml:space="preserve">     课题组人员   </w:t>
      </w:r>
      <w:r>
        <w:rPr>
          <w:rFonts w:ascii="Microsoft YaHei" w:hAnsi="Microsoft YaHei" w:eastAsia="Microsoft YaHei" w:cs="Microsoft YaHei"/>
          <w:sz w:val="32"/>
          <w:szCs w:val="32"/>
          <w:b/>
          <w:bCs/>
          <w:strike/>
          <w:color w:val="00338D"/>
          <w:spacing w:val="-1"/>
        </w:rPr>
        <w:t xml:space="preserve">                             </w:t>
      </w:r>
    </w:p>
    <w:p>
      <w:pPr>
        <w:ind w:left="1312"/>
        <w:spacing w:before="312" w:line="170" w:lineRule="auto"/>
        <w:rPr>
          <w:rFonts w:ascii="Microsoft YaHei" w:hAnsi="Microsoft YaHei" w:eastAsia="Microsoft YaHei" w:cs="Microsoft YaHei"/>
          <w:sz w:val="21"/>
          <w:szCs w:val="21"/>
        </w:rPr>
      </w:pPr>
      <w:r>
        <w:pict>
          <v:shape id="_x0000_s1704" style="position:absolute;margin-left:317.659pt;margin-top:15.2405pt;mso-position-vertical-relative:text;mso-position-horizontal-relative:text;width:54.35pt;height:15.5pt;z-index:254019584;" filled="false" stroked="false" type="#_x0000_t202">
            <v:fill on="false"/>
            <v:stroke on="false"/>
            <v:path/>
            <v:imagedata o:title=""/>
            <o:lock v:ext="edit" aspectratio="false"/>
            <v:textbox inset="0mm,0mm,0mm,0mm">
              <w:txbxContent>
                <w:p>
                  <w:pPr>
                    <w:ind w:left="20"/>
                    <w:spacing w:before="20" w:line="17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338D"/>
                      <w:spacing w:val="-1"/>
                    </w:rPr>
                    <w:t>毕马威中国</w:t>
                  </w:r>
                </w:p>
              </w:txbxContent>
            </v:textbox>
          </v:shape>
        </w:pict>
      </w:r>
      <w:r>
        <w:rPr>
          <w:rFonts w:ascii="Microsoft YaHei" w:hAnsi="Microsoft YaHei" w:eastAsia="Microsoft YaHei" w:cs="Microsoft YaHei"/>
          <w:sz w:val="21"/>
          <w:szCs w:val="21"/>
          <w:color w:val="00338D"/>
        </w:rPr>
        <w:t>江立勤   </w:t>
      </w:r>
      <w:r>
        <w:rPr>
          <w:rFonts w:ascii="Microsoft YaHei" w:hAnsi="Microsoft YaHei" w:eastAsia="Microsoft YaHei" w:cs="Microsoft YaHei"/>
          <w:sz w:val="21"/>
          <w:szCs w:val="21"/>
        </w:rPr>
        <w:t>毕马威中国客户与业务发展</w:t>
      </w:r>
    </w:p>
    <w:p>
      <w:pPr>
        <w:ind w:left="2136"/>
        <w:spacing w:before="1" w:line="17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主管合伙人</w:t>
      </w:r>
    </w:p>
    <w:p>
      <w:pPr>
        <w:ind w:left="6370"/>
        <w:spacing w:before="47" w:line="177" w:lineRule="auto"/>
        <w:rPr>
          <w:rFonts w:ascii="Microsoft YaHei" w:hAnsi="Microsoft YaHei" w:eastAsia="Microsoft YaHei" w:cs="Microsoft YaHei"/>
          <w:sz w:val="21"/>
          <w:szCs w:val="21"/>
        </w:rPr>
      </w:pPr>
      <w:r>
        <w:pict>
          <v:shape id="_x0000_s1706" style="position:absolute;margin-left:64.5474pt;margin-top:7.05351pt;mso-position-vertical-relative:text;mso-position-horizontal-relative:text;width:190.5pt;height:14.8pt;z-index:254017536;" filled="false" stroked="false" type="#_x0000_t202">
            <v:fill on="false"/>
            <v:stroke on="false"/>
            <v:path/>
            <v:imagedata o:title=""/>
            <o:lock v:ext="edit" aspectratio="false"/>
            <v:textbox inset="0mm,0mm,0mm,0mm">
              <w:txbxContent>
                <w:p>
                  <w:pPr>
                    <w:ind w:left="20"/>
                    <w:spacing w:before="20" w:line="17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338D"/>
                    </w:rPr>
                    <w:t>蔡忠铨   </w:t>
                  </w:r>
                  <w:r>
                    <w:rPr>
                      <w:rFonts w:ascii="Microsoft YaHei" w:hAnsi="Microsoft YaHei" w:eastAsia="Microsoft YaHei" w:cs="Microsoft YaHei"/>
                      <w:sz w:val="21"/>
                      <w:szCs w:val="21"/>
                    </w:rPr>
                    <w:t>毕马威中国能源及天然资源行业</w:t>
                  </w:r>
                </w:p>
              </w:txbxContent>
            </v:textbox>
          </v:shape>
        </w:pict>
      </w:r>
      <w:r>
        <w:rPr>
          <w:rFonts w:ascii="Microsoft YaHei" w:hAnsi="Microsoft YaHei" w:eastAsia="Microsoft YaHei" w:cs="Microsoft YaHei"/>
          <w:sz w:val="21"/>
          <w:szCs w:val="21"/>
          <w:color w:val="00338D"/>
          <w:spacing w:val="-1"/>
        </w:rPr>
        <w:t>康   勇</w:t>
      </w:r>
      <w:r>
        <w:rPr>
          <w:rFonts w:ascii="Microsoft YaHei" w:hAnsi="Microsoft YaHei" w:eastAsia="Microsoft YaHei" w:cs="Microsoft YaHei"/>
          <w:sz w:val="21"/>
          <w:szCs w:val="21"/>
          <w:color w:val="00338D"/>
          <w:spacing w:val="16"/>
        </w:rPr>
        <w:t xml:space="preserve">   </w:t>
      </w:r>
      <w:r>
        <w:rPr>
          <w:rFonts w:ascii="Microsoft YaHei" w:hAnsi="Microsoft YaHei" w:eastAsia="Microsoft YaHei" w:cs="Microsoft YaHei"/>
          <w:sz w:val="21"/>
          <w:szCs w:val="21"/>
          <w:spacing w:val="-1"/>
        </w:rPr>
        <w:t>毕马威中国首席经济学家</w:t>
      </w:r>
    </w:p>
    <w:p>
      <w:pPr>
        <w:ind w:left="2136"/>
        <w:spacing w:before="103" w:line="16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position w:val="-4"/>
        </w:rPr>
        <w:t>主管合伙人</w:t>
      </w:r>
    </w:p>
    <w:p>
      <w:pPr>
        <w:ind w:left="6375"/>
        <w:spacing w:before="1" w:line="15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338D"/>
          <w:spacing w:val="-1"/>
        </w:rPr>
        <w:t>王   薇</w:t>
      </w:r>
      <w:r>
        <w:rPr>
          <w:rFonts w:ascii="Microsoft YaHei" w:hAnsi="Microsoft YaHei" w:eastAsia="Microsoft YaHei" w:cs="Microsoft YaHei"/>
          <w:sz w:val="21"/>
          <w:szCs w:val="21"/>
          <w:color w:val="00338D"/>
          <w:spacing w:val="14"/>
        </w:rPr>
        <w:t xml:space="preserve">   </w:t>
      </w:r>
      <w:r>
        <w:rPr>
          <w:rFonts w:ascii="Microsoft YaHei" w:hAnsi="Microsoft YaHei" w:eastAsia="Microsoft YaHei" w:cs="Microsoft YaHei"/>
          <w:sz w:val="21"/>
          <w:szCs w:val="21"/>
          <w:spacing w:val="-1"/>
        </w:rPr>
        <w:t>毕马威中国研究副总监</w:t>
      </w:r>
    </w:p>
    <w:p>
      <w:pPr>
        <w:ind w:left="1310"/>
        <w:spacing w:before="19" w:line="22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00338D"/>
        </w:rPr>
        <w:t>梅   放</w:t>
      </w:r>
      <w:r>
        <w:rPr>
          <w:rFonts w:ascii="Microsoft YaHei" w:hAnsi="Microsoft YaHei" w:eastAsia="Microsoft YaHei" w:cs="Microsoft YaHei"/>
          <w:sz w:val="21"/>
          <w:szCs w:val="21"/>
          <w:color w:val="00338D"/>
          <w:spacing w:val="12"/>
        </w:rPr>
        <w:t xml:space="preserve">   </w:t>
      </w:r>
      <w:r>
        <w:rPr>
          <w:rFonts w:ascii="Microsoft YaHei" w:hAnsi="Microsoft YaHei" w:eastAsia="Microsoft YaHei" w:cs="Microsoft YaHei"/>
          <w:sz w:val="21"/>
          <w:szCs w:val="21"/>
        </w:rPr>
        <w:t>毕马威中国电力及公用事业行业</w:t>
      </w:r>
    </w:p>
    <w:p>
      <w:pPr>
        <w:ind w:left="6376"/>
        <w:spacing w:line="177" w:lineRule="auto"/>
        <w:rPr>
          <w:rFonts w:ascii="Microsoft YaHei" w:hAnsi="Microsoft YaHei" w:eastAsia="Microsoft YaHei" w:cs="Microsoft YaHei"/>
          <w:sz w:val="21"/>
          <w:szCs w:val="21"/>
        </w:rPr>
      </w:pPr>
      <w:r>
        <w:pict>
          <v:shape id="_x0000_s1708" style="position:absolute;margin-left:64.6002pt;margin-top:0.438702pt;mso-position-vertical-relative:text;mso-position-horizontal-relative:text;width:190.45pt;height:49.2pt;z-index:254015488;" filled="false" stroked="false" type="#_x0000_t202">
            <v:fill on="false"/>
            <v:stroke on="false"/>
            <v:path/>
            <v:imagedata o:title=""/>
            <o:lock v:ext="edit" aspectratio="false"/>
            <v:textbox inset="0mm,0mm,0mm,0mm">
              <w:txbxContent>
                <w:p>
                  <w:pPr>
                    <w:ind w:left="844"/>
                    <w:spacing w:before="19" w:line="17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主管合伙人</w:t>
                  </w:r>
                </w:p>
                <w:p>
                  <w:pPr>
                    <w:ind w:left="20"/>
                    <w:spacing w:before="161" w:line="16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338D"/>
                    </w:rPr>
                    <w:t>刘永东   </w:t>
                  </w:r>
                  <w:r>
                    <w:rPr>
                      <w:rFonts w:ascii="Microsoft YaHei" w:hAnsi="Microsoft YaHei" w:eastAsia="Microsoft YaHei" w:cs="Microsoft YaHei"/>
                      <w:sz w:val="21"/>
                      <w:szCs w:val="21"/>
                    </w:rPr>
                    <w:t>中国电力企业联合会副秘书长兼</w:t>
                  </w:r>
                </w:p>
                <w:p>
                  <w:pPr>
                    <w:ind w:left="859"/>
                    <w:spacing w:line="17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电动交通与储能分会会长</w:t>
                  </w:r>
                </w:p>
              </w:txbxContent>
            </v:textbox>
          </v:shape>
        </w:pict>
      </w:r>
      <w:r>
        <w:rPr>
          <w:rFonts w:ascii="Microsoft YaHei" w:hAnsi="Microsoft YaHei" w:eastAsia="Microsoft YaHei" w:cs="Microsoft YaHei"/>
          <w:sz w:val="21"/>
          <w:szCs w:val="21"/>
          <w:color w:val="00338D"/>
          <w:spacing w:val="-1"/>
        </w:rPr>
        <w:t>马   曼</w:t>
      </w:r>
      <w:r>
        <w:rPr>
          <w:rFonts w:ascii="Microsoft YaHei" w:hAnsi="Microsoft YaHei" w:eastAsia="Microsoft YaHei" w:cs="Microsoft YaHei"/>
          <w:sz w:val="21"/>
          <w:szCs w:val="21"/>
          <w:color w:val="00338D"/>
          <w:spacing w:val="13"/>
        </w:rPr>
        <w:t xml:space="preserve">   </w:t>
      </w:r>
      <w:r>
        <w:rPr>
          <w:rFonts w:ascii="Microsoft YaHei" w:hAnsi="Microsoft YaHei" w:eastAsia="Microsoft YaHei" w:cs="Microsoft YaHei"/>
          <w:sz w:val="21"/>
          <w:szCs w:val="21"/>
          <w:spacing w:val="-1"/>
        </w:rPr>
        <w:t>毕马威中国研究经理</w:t>
      </w:r>
    </w:p>
    <w:p>
      <w:pPr>
        <w:ind w:left="6371"/>
        <w:spacing w:before="244" w:line="17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338D"/>
        </w:rPr>
        <w:t>程苑芬   </w:t>
      </w:r>
      <w:r>
        <w:rPr>
          <w:rFonts w:ascii="Microsoft YaHei" w:hAnsi="Microsoft YaHei" w:eastAsia="Microsoft YaHei" w:cs="Microsoft YaHei"/>
          <w:sz w:val="21"/>
          <w:szCs w:val="21"/>
        </w:rPr>
        <w:t>毕马威中国研究助理经理</w:t>
      </w:r>
    </w:p>
    <w:p>
      <w:pPr>
        <w:ind w:left="6371"/>
        <w:spacing w:before="245" w:line="17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338D"/>
          <w:spacing w:val="-1"/>
        </w:rPr>
        <w:t>李   鑫</w:t>
      </w:r>
      <w:r>
        <w:rPr>
          <w:rFonts w:ascii="Microsoft YaHei" w:hAnsi="Microsoft YaHei" w:eastAsia="Microsoft YaHei" w:cs="Microsoft YaHei"/>
          <w:sz w:val="21"/>
          <w:szCs w:val="21"/>
          <w:color w:val="00338D"/>
          <w:spacing w:val="18"/>
        </w:rPr>
        <w:t xml:space="preserve">   </w:t>
      </w:r>
      <w:r>
        <w:rPr>
          <w:rFonts w:ascii="Microsoft YaHei" w:hAnsi="Microsoft YaHei" w:eastAsia="Microsoft YaHei" w:cs="Microsoft YaHei"/>
          <w:sz w:val="21"/>
          <w:szCs w:val="21"/>
          <w:spacing w:val="-1"/>
        </w:rPr>
        <w:t>毕马威中国能源及天然资源行业</w:t>
      </w:r>
    </w:p>
    <w:p>
      <w:pPr>
        <w:ind w:left="7192"/>
        <w:spacing w:before="1" w:line="177" w:lineRule="auto"/>
        <w:rPr>
          <w:rFonts w:ascii="Microsoft YaHei" w:hAnsi="Microsoft YaHei" w:eastAsia="Microsoft YaHei" w:cs="Microsoft YaHei"/>
          <w:sz w:val="21"/>
          <w:szCs w:val="21"/>
        </w:rPr>
      </w:pPr>
      <w:r>
        <w:drawing>
          <wp:anchor distT="0" distB="0" distL="0" distR="0" simplePos="0" relativeHeight="254013440" behindDoc="1" locked="0" layoutInCell="1" allowOverlap="1">
            <wp:simplePos x="0" y="0"/>
            <wp:positionH relativeFrom="column">
              <wp:posOffset>0</wp:posOffset>
            </wp:positionH>
            <wp:positionV relativeFrom="paragraph">
              <wp:posOffset>50749</wp:posOffset>
            </wp:positionV>
            <wp:extent cx="7775447" cy="6495288"/>
            <wp:effectExtent l="0" t="0" r="0" b="0"/>
            <wp:wrapNone/>
            <wp:docPr id="886" name="IM 886"/>
            <wp:cNvGraphicFramePr/>
            <a:graphic>
              <a:graphicData uri="http://schemas.openxmlformats.org/drawingml/2006/picture">
                <pic:pic>
                  <pic:nvPicPr>
                    <pic:cNvPr id="886" name="IM 886"/>
                    <pic:cNvPicPr/>
                  </pic:nvPicPr>
                  <pic:blipFill>
                    <a:blip r:embed="rId418"/>
                    <a:stretch>
                      <a:fillRect/>
                    </a:stretch>
                  </pic:blipFill>
                  <pic:spPr>
                    <a:xfrm rot="0">
                      <a:off x="0" y="0"/>
                      <a:ext cx="7775447" cy="6495288"/>
                    </a:xfrm>
                    <a:prstGeom prst="rect">
                      <a:avLst/>
                    </a:prstGeom>
                  </pic:spPr>
                </pic:pic>
              </a:graphicData>
            </a:graphic>
          </wp:anchor>
        </w:drawing>
      </w:r>
      <w:r>
        <w:rPr>
          <w:rFonts w:ascii="Microsoft YaHei" w:hAnsi="Microsoft YaHei" w:eastAsia="Microsoft YaHei" w:cs="Microsoft YaHei"/>
          <w:sz w:val="21"/>
          <w:szCs w:val="21"/>
          <w:spacing w:val="-2"/>
        </w:rPr>
        <w:t>经理</w:t>
      </w:r>
    </w:p>
    <w:p>
      <w:pPr>
        <w:ind w:left="1312"/>
        <w:spacing w:before="150" w:line="285" w:lineRule="exact"/>
        <w:rPr>
          <w:rFonts w:ascii="Microsoft YaHei" w:hAnsi="Microsoft YaHei" w:eastAsia="Microsoft YaHei" w:cs="Microsoft YaHei"/>
          <w:sz w:val="32"/>
          <w:szCs w:val="32"/>
        </w:rPr>
      </w:pPr>
      <w:r>
        <w:pict>
          <v:shape id="_x0000_s1710" style="position:absolute;margin-left:317.511pt;margin-top:6.97553pt;mso-position-vertical-relative:text;mso-position-horizontal-relative:text;width:190.6pt;height:14.75pt;z-index:254018560;" filled="false" stroked="false" type="#_x0000_t202">
            <v:fill on="false"/>
            <v:stroke on="false"/>
            <v:path/>
            <v:imagedata o:title=""/>
            <o:lock v:ext="edit" aspectratio="false"/>
            <v:textbox inset="0mm,0mm,0mm,0mm">
              <w:txbxContent>
                <w:p>
                  <w:pPr>
                    <w:ind w:left="20"/>
                    <w:spacing w:before="20" w:line="16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338D"/>
                    </w:rPr>
                    <w:t>杜   萌</w:t>
                  </w:r>
                  <w:r>
                    <w:rPr>
                      <w:rFonts w:ascii="Microsoft YaHei" w:hAnsi="Microsoft YaHei" w:eastAsia="Microsoft YaHei" w:cs="Microsoft YaHei"/>
                      <w:sz w:val="21"/>
                      <w:szCs w:val="21"/>
                      <w:color w:val="00338D"/>
                      <w:spacing w:val="12"/>
                    </w:rPr>
                    <w:t xml:space="preserve">   </w:t>
                  </w:r>
                  <w:r>
                    <w:rPr>
                      <w:rFonts w:ascii="Microsoft YaHei" w:hAnsi="Microsoft YaHei" w:eastAsia="Microsoft YaHei" w:cs="Microsoft YaHei"/>
                      <w:sz w:val="21"/>
                      <w:szCs w:val="21"/>
                    </w:rPr>
                    <w:t>毕马威中国电力及公用事业行业</w:t>
                  </w:r>
                </w:p>
              </w:txbxContent>
            </v:textbox>
          </v:shape>
        </w:pict>
      </w:r>
      <w:r>
        <w:rPr>
          <w:rFonts w:ascii="Microsoft YaHei" w:hAnsi="Microsoft YaHei" w:eastAsia="Microsoft YaHei" w:cs="Microsoft YaHei"/>
          <w:sz w:val="32"/>
          <w:szCs w:val="32"/>
          <w:b/>
          <w:bCs/>
          <w:color w:val="00338D"/>
          <w:spacing w:val="-4"/>
          <w:position w:val="-1"/>
        </w:rPr>
        <w:t>致谢</w:t>
      </w:r>
      <w:r>
        <w:rPr>
          <w:rFonts w:ascii="Microsoft YaHei" w:hAnsi="Microsoft YaHei" w:eastAsia="Microsoft YaHei" w:cs="Microsoft YaHei"/>
          <w:sz w:val="32"/>
          <w:szCs w:val="32"/>
          <w:b/>
          <w:bCs/>
          <w:color w:val="00338D"/>
          <w:spacing w:val="12"/>
          <w:position w:val="-1"/>
        </w:rPr>
        <w:t xml:space="preserve">  </w:t>
      </w:r>
      <w:r>
        <w:rPr>
          <w:rFonts w:ascii="Microsoft YaHei" w:hAnsi="Microsoft YaHei" w:eastAsia="Microsoft YaHei" w:cs="Microsoft YaHei"/>
          <w:sz w:val="32"/>
          <w:szCs w:val="32"/>
          <w:b/>
          <w:bCs/>
          <w:strike/>
          <w:color w:val="00338D"/>
          <w:position w:val="-1"/>
        </w:rPr>
        <w:t xml:space="preserve">                                        </w:t>
      </w:r>
    </w:p>
    <w:p>
      <w:pPr>
        <w:ind w:left="7192"/>
        <w:spacing w:line="162"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助理经理</w:t>
      </w:r>
    </w:p>
    <w:p>
      <w:pPr>
        <w:ind w:left="1312"/>
        <w:spacing w:before="154" w:line="17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338D"/>
          <w:spacing w:val="-1"/>
        </w:rPr>
        <w:t>毕马威中国</w:t>
      </w:r>
    </w:p>
    <w:p>
      <w:pPr>
        <w:ind w:left="6382"/>
        <w:spacing w:before="26" w:line="172"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338D"/>
          <w:spacing w:val="-1"/>
        </w:rPr>
        <w:t>中国电力企业联合会电动交通与储能分会</w:t>
      </w:r>
    </w:p>
    <w:p>
      <w:pPr>
        <w:ind w:left="1312"/>
        <w:spacing w:before="1" w:line="17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338D"/>
        </w:rPr>
        <w:t>沈   莹</w:t>
      </w:r>
      <w:r>
        <w:rPr>
          <w:rFonts w:ascii="Microsoft YaHei" w:hAnsi="Microsoft YaHei" w:eastAsia="Microsoft YaHei" w:cs="Microsoft YaHei"/>
          <w:sz w:val="21"/>
          <w:szCs w:val="21"/>
          <w:color w:val="00338D"/>
          <w:spacing w:val="12"/>
        </w:rPr>
        <w:t xml:space="preserve">   </w:t>
      </w:r>
      <w:r>
        <w:rPr>
          <w:rFonts w:ascii="Microsoft YaHei" w:hAnsi="Microsoft YaHei" w:eastAsia="Microsoft YaHei" w:cs="Microsoft YaHei"/>
          <w:sz w:val="21"/>
          <w:szCs w:val="21"/>
        </w:rPr>
        <w:t>毕马威中国气候变化和可持续发</w:t>
      </w:r>
      <w:r>
        <w:rPr>
          <w:rFonts w:ascii="Microsoft YaHei" w:hAnsi="Microsoft YaHei" w:eastAsia="Microsoft YaHei" w:cs="Microsoft YaHei"/>
          <w:sz w:val="21"/>
          <w:szCs w:val="21"/>
          <w:spacing w:val="-1"/>
        </w:rPr>
        <w:t>展服务</w:t>
      </w:r>
    </w:p>
    <w:p>
      <w:pPr>
        <w:ind w:left="2136"/>
        <w:spacing w:before="1" w:line="175" w:lineRule="auto"/>
        <w:rPr>
          <w:rFonts w:ascii="Microsoft YaHei" w:hAnsi="Microsoft YaHei" w:eastAsia="Microsoft YaHei" w:cs="Microsoft YaHei"/>
          <w:sz w:val="21"/>
          <w:szCs w:val="21"/>
        </w:rPr>
      </w:pPr>
      <w:r>
        <w:pict>
          <v:shape id="_x0000_s1712" style="position:absolute;margin-left:317.543pt;margin-top:1.14559pt;mso-position-vertical-relative:text;mso-position-horizontal-relative:text;width:211.45pt;height:151.4pt;z-index:254014464;" filled="false" stroked="false" type="#_x0000_t202">
            <v:fill on="false"/>
            <v:stroke on="false"/>
            <v:path/>
            <v:imagedata o:title=""/>
            <o:lock v:ext="edit" aspectratio="false"/>
            <v:textbox inset="0mm,0mm,0mm,0mm">
              <w:txbxContent>
                <w:p>
                  <w:pPr>
                    <w:ind w:left="20"/>
                    <w:spacing w:before="19" w:line="17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338D"/>
                    </w:rPr>
                    <w:t>周丽波   </w:t>
                  </w:r>
                  <w:r>
                    <w:rPr>
                      <w:rFonts w:ascii="Microsoft YaHei" w:hAnsi="Microsoft YaHei" w:eastAsia="Microsoft YaHei" w:cs="Microsoft YaHei"/>
                      <w:sz w:val="21"/>
                      <w:szCs w:val="21"/>
                    </w:rPr>
                    <w:t>中电联电动交通与储能分会</w:t>
                  </w:r>
                </w:p>
                <w:p>
                  <w:pPr>
                    <w:ind w:left="846"/>
                    <w:spacing w:line="17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副秘书长</w:t>
                  </w:r>
                </w:p>
                <w:p>
                  <w:pPr>
                    <w:ind w:left="25"/>
                    <w:spacing w:before="158" w:line="17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338D"/>
                    </w:rPr>
                    <w:t>马晓光   </w:t>
                  </w:r>
                  <w:r>
                    <w:rPr>
                      <w:rFonts w:ascii="Microsoft YaHei" w:hAnsi="Microsoft YaHei" w:eastAsia="Microsoft YaHei" w:cs="Microsoft YaHei"/>
                      <w:sz w:val="21"/>
                      <w:szCs w:val="21"/>
                    </w:rPr>
                    <w:t>中电联电动交通与储能分会</w:t>
                  </w:r>
                </w:p>
                <w:p>
                  <w:pPr>
                    <w:ind w:left="846"/>
                    <w:spacing w:line="17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副秘书长</w:t>
                  </w:r>
                </w:p>
                <w:p>
                  <w:pPr>
                    <w:ind w:left="842" w:right="860" w:hanging="817"/>
                    <w:spacing w:before="159" w:line="173"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338D"/>
                    </w:rPr>
                    <w:t>马小琨   </w:t>
                  </w:r>
                  <w:r>
                    <w:rPr>
                      <w:rFonts w:ascii="Microsoft YaHei" w:hAnsi="Microsoft YaHei" w:eastAsia="Microsoft YaHei" w:cs="Microsoft YaHei"/>
                      <w:sz w:val="21"/>
                      <w:szCs w:val="21"/>
                    </w:rPr>
                    <w:t>中电联电动交通与储能分会</w:t>
                  </w:r>
                  <w:r>
                    <w:rPr>
                      <w:rFonts w:ascii="Microsoft YaHei" w:hAnsi="Microsoft YaHei" w:eastAsia="Microsoft YaHei" w:cs="Microsoft YaHei"/>
                      <w:sz w:val="21"/>
                      <w:szCs w:val="21"/>
                      <w:spacing w:val="5"/>
                    </w:rPr>
                    <w:t xml:space="preserve"> </w:t>
                  </w:r>
                  <w:r>
                    <w:rPr>
                      <w:rFonts w:ascii="Microsoft YaHei" w:hAnsi="Microsoft YaHei" w:eastAsia="Microsoft YaHei" w:cs="Microsoft YaHei"/>
                      <w:sz w:val="21"/>
                      <w:szCs w:val="21"/>
                      <w:spacing w:val="-1"/>
                    </w:rPr>
                    <w:t>综合业务部主任</w:t>
                  </w:r>
                </w:p>
                <w:p>
                  <w:pPr>
                    <w:ind w:left="839" w:right="860" w:hanging="814"/>
                    <w:spacing w:before="161" w:line="173"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338D"/>
                    </w:rPr>
                    <w:t>马海伟   </w:t>
                  </w:r>
                  <w:r>
                    <w:rPr>
                      <w:rFonts w:ascii="Microsoft YaHei" w:hAnsi="Microsoft YaHei" w:eastAsia="Microsoft YaHei" w:cs="Microsoft YaHei"/>
                      <w:sz w:val="21"/>
                      <w:szCs w:val="21"/>
                    </w:rPr>
                    <w:t>中电联电动交通与储能分会</w:t>
                  </w:r>
                  <w:r>
                    <w:rPr>
                      <w:rFonts w:ascii="Microsoft YaHei" w:hAnsi="Microsoft YaHei" w:eastAsia="Microsoft YaHei" w:cs="Microsoft YaHei"/>
                      <w:sz w:val="21"/>
                      <w:szCs w:val="21"/>
                      <w:spacing w:val="5"/>
                    </w:rPr>
                    <w:t xml:space="preserve"> </w:t>
                  </w:r>
                  <w:r>
                    <w:rPr>
                      <w:rFonts w:ascii="Microsoft YaHei" w:hAnsi="Microsoft YaHei" w:eastAsia="Microsoft YaHei" w:cs="Microsoft YaHei"/>
                      <w:sz w:val="21"/>
                      <w:szCs w:val="21"/>
                    </w:rPr>
                    <w:t>储能业务部主任</w:t>
                  </w:r>
                </w:p>
                <w:p>
                  <w:pPr>
                    <w:ind w:left="31"/>
                    <w:spacing w:before="162" w:line="17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338D"/>
                    </w:rPr>
                    <w:t>张会明   </w:t>
                  </w:r>
                  <w:r>
                    <w:rPr>
                      <w:rFonts w:ascii="Microsoft YaHei" w:hAnsi="Microsoft YaHei" w:eastAsia="Microsoft YaHei" w:cs="Microsoft YaHei"/>
                      <w:sz w:val="21"/>
                      <w:szCs w:val="21"/>
                    </w:rPr>
                    <w:t>中电联电动交通与能分会储能业务部</w:t>
                  </w:r>
                </w:p>
              </w:txbxContent>
            </v:textbox>
          </v:shape>
        </w:pict>
      </w:r>
      <w:r>
        <w:rPr>
          <w:rFonts w:ascii="Microsoft YaHei" w:hAnsi="Microsoft YaHei" w:eastAsia="Microsoft YaHei" w:cs="Microsoft YaHei"/>
          <w:sz w:val="21"/>
          <w:szCs w:val="21"/>
          <w:spacing w:val="-2"/>
        </w:rPr>
        <w:t>主管合伙人</w:t>
      </w:r>
    </w:p>
    <w:p>
      <w:pPr>
        <w:ind w:left="1311"/>
        <w:spacing w:before="163" w:line="16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338D"/>
          <w:spacing w:val="-1"/>
        </w:rPr>
        <w:t>付   强</w:t>
      </w:r>
      <w:r>
        <w:rPr>
          <w:rFonts w:ascii="Microsoft YaHei" w:hAnsi="Microsoft YaHei" w:eastAsia="Microsoft YaHei" w:cs="Microsoft YaHei"/>
          <w:sz w:val="21"/>
          <w:szCs w:val="21"/>
          <w:color w:val="00338D"/>
          <w:spacing w:val="18"/>
        </w:rPr>
        <w:t xml:space="preserve">   </w:t>
      </w:r>
      <w:r>
        <w:rPr>
          <w:rFonts w:ascii="Microsoft YaHei" w:hAnsi="Microsoft YaHei" w:eastAsia="Microsoft YaHei" w:cs="Microsoft YaHei"/>
          <w:sz w:val="21"/>
          <w:szCs w:val="21"/>
          <w:spacing w:val="-1"/>
        </w:rPr>
        <w:t>毕马威中国电力及公用事业行业</w:t>
      </w:r>
    </w:p>
    <w:p>
      <w:pPr>
        <w:ind w:left="2142"/>
        <w:spacing w:before="1" w:line="17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审计主管合伙人</w:t>
      </w:r>
    </w:p>
    <w:p>
      <w:pPr>
        <w:ind w:left="1311"/>
        <w:spacing w:before="161" w:line="17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338D"/>
        </w:rPr>
        <w:t>李晓晨   </w:t>
      </w:r>
      <w:r>
        <w:rPr>
          <w:rFonts w:ascii="Microsoft YaHei" w:hAnsi="Microsoft YaHei" w:eastAsia="Microsoft YaHei" w:cs="Microsoft YaHei"/>
          <w:sz w:val="21"/>
          <w:szCs w:val="21"/>
        </w:rPr>
        <w:t>毕马威中国能源及天然资源行业</w:t>
      </w:r>
    </w:p>
    <w:p>
      <w:pPr>
        <w:ind w:left="2137"/>
        <w:spacing w:before="1" w:line="17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业务发展合伙人</w:t>
      </w:r>
    </w:p>
    <w:p>
      <w:pPr>
        <w:ind w:left="1311"/>
        <w:spacing w:before="162" w:line="17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338D"/>
          <w:spacing w:val="-1"/>
        </w:rPr>
        <w:t>李   晶</w:t>
      </w:r>
      <w:r>
        <w:rPr>
          <w:rFonts w:ascii="Microsoft YaHei" w:hAnsi="Microsoft YaHei" w:eastAsia="Microsoft YaHei" w:cs="Microsoft YaHei"/>
          <w:sz w:val="21"/>
          <w:szCs w:val="21"/>
          <w:color w:val="00338D"/>
          <w:spacing w:val="16"/>
          <w:w w:val="101"/>
        </w:rPr>
        <w:t xml:space="preserve">   </w:t>
      </w:r>
      <w:r>
        <w:rPr>
          <w:rFonts w:ascii="Microsoft YaHei" w:hAnsi="Microsoft YaHei" w:eastAsia="Microsoft YaHei" w:cs="Microsoft YaHei"/>
          <w:sz w:val="21"/>
          <w:szCs w:val="21"/>
          <w:spacing w:val="-1"/>
        </w:rPr>
        <w:t>毕马威中国交易战略与并购</w:t>
      </w:r>
    </w:p>
    <w:p>
      <w:pPr>
        <w:ind w:left="2136"/>
        <w:spacing w:before="1" w:line="17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融资合伙人</w:t>
      </w:r>
    </w:p>
    <w:p>
      <w:pPr>
        <w:ind w:left="1310"/>
        <w:spacing w:before="161" w:line="17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338D"/>
        </w:rPr>
        <w:t>周雪梅   </w:t>
      </w:r>
      <w:r>
        <w:rPr>
          <w:rFonts w:ascii="Microsoft YaHei" w:hAnsi="Microsoft YaHei" w:eastAsia="Microsoft YaHei" w:cs="Microsoft YaHei"/>
          <w:sz w:val="21"/>
          <w:szCs w:val="21"/>
        </w:rPr>
        <w:t>毕马威中国交易战略与并购</w:t>
      </w:r>
    </w:p>
    <w:p>
      <w:pPr>
        <w:ind w:left="2136"/>
        <w:spacing w:before="1" w:line="17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融资合伙人</w:t>
      </w:r>
    </w:p>
    <w:p>
      <w:pPr>
        <w:pStyle w:val="BodyText"/>
        <w:spacing w:line="364" w:lineRule="auto"/>
        <w:rPr/>
      </w:pPr>
      <w:r/>
    </w:p>
    <w:p>
      <w:pPr>
        <w:ind w:left="1321"/>
        <w:spacing w:before="91" w:line="180" w:lineRule="auto"/>
        <w:rPr>
          <w:rFonts w:ascii="Microsoft YaHei" w:hAnsi="Microsoft YaHei" w:eastAsia="Microsoft YaHei" w:cs="Microsoft YaHei"/>
          <w:sz w:val="21"/>
          <w:szCs w:val="21"/>
        </w:rPr>
      </w:pPr>
      <w:r>
        <w:pict>
          <v:shape id="_x0000_s1714" style="position:absolute;margin-left:317.437pt;margin-top:9.45168pt;mso-position-vertical-relative:text;mso-position-horizontal-relative:text;width:169.55pt;height:42.9pt;z-index:254016512;" filled="false" stroked="false" type="#_x0000_t202">
            <v:fill on="false"/>
            <v:stroke on="false"/>
            <v:path/>
            <v:imagedata o:title=""/>
            <o:lock v:ext="edit" aspectratio="false"/>
            <v:textbox inset="0mm,0mm,0mm,0mm">
              <w:txbxContent>
                <w:p>
                  <w:pPr>
                    <w:ind w:left="20"/>
                    <w:spacing w:before="20" w:line="17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00338D"/>
                      <w:spacing w:val="-1"/>
                    </w:rPr>
                    <w:t>报告设计</w:t>
                  </w:r>
                </w:p>
                <w:p>
                  <w:pPr>
                    <w:ind w:left="22"/>
                    <w:spacing w:before="284" w:line="17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338D"/>
                    </w:rPr>
                    <w:t>梁晓榆   </w:t>
                  </w:r>
                  <w:r>
                    <w:rPr>
                      <w:rFonts w:ascii="Microsoft YaHei" w:hAnsi="Microsoft YaHei" w:eastAsia="Microsoft YaHei" w:cs="Microsoft YaHei"/>
                      <w:sz w:val="21"/>
                      <w:szCs w:val="21"/>
                    </w:rPr>
                    <w:t>毕马威中国市场部设计专员</w:t>
                  </w:r>
                </w:p>
              </w:txbxContent>
            </v:textbox>
          </v:shape>
        </w:pict>
      </w:r>
      <w:r>
        <w:rPr>
          <w:rFonts w:ascii="Microsoft YaHei" w:hAnsi="Microsoft YaHei" w:eastAsia="Microsoft YaHei" w:cs="Microsoft YaHei"/>
          <w:sz w:val="21"/>
          <w:szCs w:val="21"/>
          <w:b/>
          <w:bCs/>
          <w:color w:val="00338D"/>
          <w:spacing w:val="-1"/>
        </w:rPr>
        <w:t>中国电力企业联合会</w:t>
      </w:r>
    </w:p>
    <w:p>
      <w:pPr>
        <w:ind w:left="1312"/>
        <w:spacing w:before="286" w:line="17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338D"/>
        </w:rPr>
        <w:t>许光滨   </w:t>
      </w:r>
      <w:r>
        <w:rPr>
          <w:rFonts w:ascii="Microsoft YaHei" w:hAnsi="Microsoft YaHei" w:eastAsia="Microsoft YaHei" w:cs="Microsoft YaHei"/>
          <w:sz w:val="21"/>
          <w:szCs w:val="21"/>
        </w:rPr>
        <w:t>中电联国际合作部主任</w:t>
      </w:r>
    </w:p>
    <w:p>
      <w:pPr>
        <w:ind w:left="1321"/>
        <w:spacing w:before="244" w:line="17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338D"/>
          <w:spacing w:val="-1"/>
        </w:rPr>
        <w:t>张凌燕   </w:t>
      </w:r>
      <w:r>
        <w:rPr>
          <w:rFonts w:ascii="Microsoft YaHei" w:hAnsi="Microsoft YaHei" w:eastAsia="Microsoft YaHei" w:cs="Microsoft YaHei"/>
          <w:sz w:val="21"/>
          <w:szCs w:val="21"/>
          <w:spacing w:val="-1"/>
        </w:rPr>
        <w:t>中电联国际合作部副主任</w:t>
      </w:r>
    </w:p>
    <w:p>
      <w:pPr>
        <w:ind w:left="1312"/>
        <w:spacing w:before="245" w:line="17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338D"/>
        </w:rPr>
        <w:t>刘冬野   </w:t>
      </w:r>
      <w:r>
        <w:rPr>
          <w:rFonts w:ascii="Microsoft YaHei" w:hAnsi="Microsoft YaHei" w:eastAsia="Microsoft YaHei" w:cs="Microsoft YaHei"/>
          <w:sz w:val="21"/>
          <w:szCs w:val="21"/>
        </w:rPr>
        <w:t>中电联国际合作部副主任</w:t>
      </w:r>
    </w:p>
    <w:p>
      <w:pPr>
        <w:ind w:left="1309"/>
        <w:spacing w:before="246" w:line="17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00338D"/>
          <w:spacing w:val="-2"/>
        </w:rPr>
        <w:t>魏   武    </w:t>
      </w:r>
      <w:r>
        <w:rPr>
          <w:rFonts w:ascii="Microsoft YaHei" w:hAnsi="Microsoft YaHei" w:eastAsia="Microsoft YaHei" w:cs="Microsoft YaHei"/>
          <w:sz w:val="21"/>
          <w:szCs w:val="21"/>
          <w:spacing w:val="-2"/>
        </w:rPr>
        <w:t>电力贸促会副秘书长</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pStyle w:val="BodyText"/>
        <w:spacing w:line="258" w:lineRule="auto"/>
        <w:rPr/>
      </w:pPr>
      <w:r/>
    </w:p>
    <w:p>
      <w:pPr>
        <w:ind w:left="1805" w:right="1241" w:hanging="411"/>
        <w:spacing w:before="48"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中国合伙制会计师事务所，毕马威企业咨询</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(中国)有限公司 — 中国有限责任公司，毕马威会计师事务所</w:t>
      </w:r>
      <w:r>
        <w:rPr>
          <w:rFonts w:ascii="Microsoft YaHei" w:hAnsi="Microsoft YaHei" w:eastAsia="Microsoft YaHei" w:cs="Microsoft YaHei"/>
          <w:sz w:val="11"/>
          <w:szCs w:val="11"/>
          <w:color w:val="BFBFBF"/>
          <w:spacing w:val="-8"/>
        </w:rPr>
        <w:t xml:space="preserve"> </w:t>
      </w:r>
      <w:r>
        <w:rPr>
          <w:rFonts w:ascii="Microsoft YaHei" w:hAnsi="Microsoft YaHei" w:eastAsia="Microsoft YaHei" w:cs="Microsoft YaHei"/>
          <w:sz w:val="11"/>
          <w:szCs w:val="11"/>
          <w:color w:val="BFBFBF"/>
          <w:spacing w:val="-1"/>
        </w:rPr>
        <w:t>— 澳门特别行政区合伙制事务所，</w:t>
      </w:r>
      <w:r>
        <w:rPr>
          <w:rFonts w:ascii="Microsoft YaHei" w:hAnsi="Microsoft YaHei" w:eastAsia="Microsoft YaHei" w:cs="Microsoft YaHei"/>
          <w:sz w:val="11"/>
          <w:szCs w:val="11"/>
          <w:color w:val="BFBFBF"/>
          <w:spacing w:val="-2"/>
        </w:rPr>
        <w:t>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6"/>
        </w:rPr>
        <w:t xml:space="preserve"> </w:t>
      </w:r>
      <w:r>
        <w:rPr>
          <w:rFonts w:ascii="Microsoft YaHei" w:hAnsi="Microsoft YaHei" w:eastAsia="Microsoft YaHei" w:cs="Microsoft YaHei"/>
          <w:sz w:val="11"/>
          <w:szCs w:val="11"/>
          <w:color w:val="BFBFBF"/>
        </w:rPr>
        <w:t>香港特别行政区合伙制事务所，</w:t>
      </w:r>
      <w:r>
        <w:rPr>
          <w:rFonts w:ascii="Microsoft YaHei" w:hAnsi="Microsoft YaHei" w:eastAsia="Microsoft YaHei" w:cs="Microsoft YaHei"/>
          <w:sz w:val="11"/>
          <w:szCs w:val="11"/>
          <w:color w:val="BFBFBF"/>
          <w:spacing w:val="-1"/>
        </w:rPr>
        <w:t>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毕马威国际有限公司相关联的独立成员所全球性组织中的成员。版权所有，不得转载。在中国印刷。</w:t>
      </w:r>
    </w:p>
    <w:p>
      <w:pPr>
        <w:spacing w:line="172" w:lineRule="auto"/>
        <w:sectPr>
          <w:pgSz w:w="12245" w:h="17180"/>
          <w:pgMar w:top="400" w:right="0" w:bottom="0" w:left="0" w:header="0" w:footer="0" w:gutter="0"/>
        </w:sectPr>
        <w:rPr>
          <w:rFonts w:ascii="Microsoft YaHei" w:hAnsi="Microsoft YaHei" w:eastAsia="Microsoft YaHei" w:cs="Microsoft YaHei"/>
          <w:sz w:val="11"/>
          <w:szCs w:val="11"/>
        </w:rPr>
      </w:pPr>
    </w:p>
    <w:p>
      <w:pPr>
        <w:ind w:left="8975"/>
        <w:spacing w:before="314" w:line="193" w:lineRule="auto"/>
        <w:rPr>
          <w:rFonts w:ascii="Microsoft YaHei" w:hAnsi="Microsoft YaHei" w:eastAsia="Microsoft YaHei" w:cs="Microsoft YaHei"/>
          <w:sz w:val="18"/>
          <w:szCs w:val="18"/>
        </w:rPr>
      </w:pPr>
      <w:r>
        <mc:AlternateContent xmlns:mc="http://schemas.openxmlformats.org/markup-compatibility/2006">
          <mc:Choice Requires="wps">
            <w:drawing>
              <wp:anchor distT="0" distB="0" distL="0" distR="0" simplePos="0" relativeHeight="254052352" behindDoc="1" locked="0" layoutInCell="0" allowOverlap="1">
                <wp:simplePos x="0" y="0"/>
                <wp:positionH relativeFrom="page">
                  <wp:posOffset>7772272</wp:posOffset>
                </wp:positionH>
                <wp:positionV relativeFrom="page">
                  <wp:posOffset>0</wp:posOffset>
                </wp:positionV>
                <wp:extent cx="3175" cy="10909300"/>
                <wp:effectExtent l="0" t="0" r="0" b="0"/>
                <wp:wrapNone/>
                <wp:docPr id="888" name="Rect 888"/>
                <wp:cNvGraphicFramePr/>
                <a:graphic>
                  <a:graphicData uri="http://schemas.microsoft.com/office/word/2010/wordprocessingShape">
                    <wps:wsp>
                      <wps:cNvPr id="888" name="Rect 888"/>
                      <wps:cNvSpPr/>
                      <wps:spPr>
                        <a:xfrm>
                          <a:off x="7772272" y="0"/>
                          <a:ext cx="3175" cy="109093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716" style="position:absolute;margin-left:611.99pt;margin-top:0pt;mso-position-vertical-relative:page;mso-position-horizontal-relative:page;width:0.25pt;height:859pt;z-index:-249264128;" o:allowincell="f" fillcolor="#000000" filled="true" stroked="false"/>
            </w:pict>
          </mc:Fallback>
        </mc:AlternateContent>
      </w:r>
      <w:r>
        <w:rPr>
          <w:rFonts w:ascii="Microsoft YaHei" w:hAnsi="Microsoft YaHei" w:eastAsia="Microsoft YaHei" w:cs="Microsoft YaHei"/>
          <w:sz w:val="18"/>
          <w:szCs w:val="18"/>
          <w:color w:val="A8A8A8"/>
          <w:spacing w:val="-1"/>
        </w:rPr>
        <w:t>新型储能助力能源转型</w:t>
      </w:r>
      <w:r>
        <w:rPr>
          <w:rFonts w:ascii="Microsoft YaHei" w:hAnsi="Microsoft YaHei" w:eastAsia="Microsoft YaHei" w:cs="Microsoft YaHei"/>
          <w:sz w:val="18"/>
          <w:szCs w:val="18"/>
          <w:color w:val="A8A8A8"/>
          <w:spacing w:val="25"/>
        </w:rPr>
        <w:t xml:space="preserve">  </w:t>
      </w:r>
      <w:r>
        <w:rPr>
          <w:sz w:val="18"/>
          <w:szCs w:val="18"/>
          <w:position w:val="-4"/>
        </w:rPr>
        <w:drawing>
          <wp:inline distT="0" distB="0" distL="0" distR="0">
            <wp:extent cx="6350" cy="130175"/>
            <wp:effectExtent l="0" t="0" r="0" b="0"/>
            <wp:docPr id="890" name="IM 890"/>
            <wp:cNvGraphicFramePr/>
            <a:graphic>
              <a:graphicData uri="http://schemas.openxmlformats.org/drawingml/2006/picture">
                <pic:pic>
                  <pic:nvPicPr>
                    <pic:cNvPr id="890" name="IM 890"/>
                    <pic:cNvPicPr/>
                  </pic:nvPicPr>
                  <pic:blipFill>
                    <a:blip r:embed="rId419"/>
                    <a:stretch>
                      <a:fillRect/>
                    </a:stretch>
                  </pic:blipFill>
                  <pic:spPr>
                    <a:xfrm rot="0">
                      <a:off x="0" y="0"/>
                      <a:ext cx="6350" cy="130175"/>
                    </a:xfrm>
                    <a:prstGeom prst="rect">
                      <a:avLst/>
                    </a:prstGeom>
                  </pic:spPr>
                </pic:pic>
              </a:graphicData>
            </a:graphic>
          </wp:inline>
        </w:drawing>
      </w:r>
      <w:r>
        <w:rPr>
          <w:rFonts w:ascii="Microsoft YaHei" w:hAnsi="Microsoft YaHei" w:eastAsia="Microsoft YaHei" w:cs="Microsoft YaHei"/>
          <w:sz w:val="18"/>
          <w:szCs w:val="18"/>
          <w:color w:val="A8A8A8"/>
          <w:spacing w:val="17"/>
          <w:w w:val="101"/>
        </w:rPr>
        <w:t xml:space="preserve">  </w:t>
      </w:r>
      <w:r>
        <w:rPr>
          <w:rFonts w:ascii="Microsoft YaHei" w:hAnsi="Microsoft YaHei" w:eastAsia="Microsoft YaHei" w:cs="Microsoft YaHei"/>
          <w:sz w:val="18"/>
          <w:szCs w:val="18"/>
          <w:b/>
          <w:bCs/>
          <w:color w:val="A8A8A8"/>
          <w:spacing w:val="-1"/>
        </w:rPr>
        <w:t>78</w:t>
      </w:r>
    </w:p>
    <w:p>
      <w:pPr>
        <w:pStyle w:val="BodyText"/>
        <w:spacing w:line="298" w:lineRule="auto"/>
        <w:rPr/>
      </w:pPr>
      <w:r/>
    </w:p>
    <w:p>
      <w:pPr>
        <w:pStyle w:val="BodyText"/>
        <w:spacing w:line="298" w:lineRule="auto"/>
        <w:rPr/>
      </w:pPr>
      <w:r/>
    </w:p>
    <w:p>
      <w:pPr>
        <w:pStyle w:val="BodyText"/>
        <w:spacing w:line="298" w:lineRule="auto"/>
        <w:rPr/>
      </w:pPr>
      <w:r/>
    </w:p>
    <w:p>
      <w:pPr>
        <w:ind w:left="1322"/>
        <w:spacing w:before="270" w:line="180" w:lineRule="auto"/>
        <w:outlineLvl w:val="0"/>
        <w:rPr>
          <w:rFonts w:ascii="Microsoft YaHei" w:hAnsi="Microsoft YaHei" w:eastAsia="Microsoft YaHei" w:cs="Microsoft YaHei"/>
          <w:sz w:val="63"/>
          <w:szCs w:val="63"/>
        </w:rPr>
      </w:pPr>
      <w:r>
        <w:rPr>
          <w:rFonts w:ascii="Microsoft YaHei" w:hAnsi="Microsoft YaHei" w:eastAsia="Microsoft YaHei" w:cs="Microsoft YaHei"/>
          <w:sz w:val="63"/>
          <w:szCs w:val="63"/>
          <w:b/>
          <w:bCs/>
          <w:color w:val="00338D"/>
          <w:spacing w:val="5"/>
        </w:rPr>
        <w:t>关于毕马威中国</w:t>
      </w:r>
    </w:p>
    <w:p>
      <w:pPr>
        <w:pStyle w:val="BodyText"/>
        <w:spacing w:line="244" w:lineRule="auto"/>
        <w:rPr/>
      </w:pPr>
      <w:r/>
    </w:p>
    <w:p>
      <w:pPr>
        <w:ind w:left="1310" w:right="3003" w:firstLine="3"/>
        <w:spacing w:before="86" w:line="218"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毕马威中国在三十一个城市设有办事机构，合伙人及员</w:t>
      </w:r>
      <w:r>
        <w:rPr>
          <w:rFonts w:ascii="Microsoft YaHei" w:hAnsi="Microsoft YaHei" w:eastAsia="Microsoft YaHei" w:cs="Microsoft YaHei"/>
          <w:sz w:val="20"/>
          <w:szCs w:val="20"/>
          <w:spacing w:val="1"/>
        </w:rPr>
        <w:t>工超过15,000名，分布在北京、</w:t>
      </w:r>
      <w:r>
        <w:rPr>
          <w:rFonts w:ascii="Microsoft YaHei" w:hAnsi="Microsoft YaHei" w:eastAsia="Microsoft YaHei" w:cs="Microsoft YaHei"/>
          <w:sz w:val="20"/>
          <w:szCs w:val="20"/>
          <w:spacing w:val="-33"/>
        </w:rPr>
        <w:t xml:space="preserve"> </w:t>
      </w:r>
      <w:r>
        <w:rPr>
          <w:rFonts w:ascii="Microsoft YaHei" w:hAnsi="Microsoft YaHei" w:eastAsia="Microsoft YaHei" w:cs="Microsoft YaHei"/>
          <w:sz w:val="20"/>
          <w:szCs w:val="20"/>
          <w:spacing w:val="1"/>
        </w:rPr>
        <w:t>长</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春、长沙、成都、重庆、大连、东莞、佛山、福州、广州</w:t>
      </w:r>
      <w:r>
        <w:rPr>
          <w:rFonts w:ascii="Microsoft YaHei" w:hAnsi="Microsoft YaHei" w:eastAsia="Microsoft YaHei" w:cs="Microsoft YaHei"/>
          <w:sz w:val="20"/>
          <w:szCs w:val="20"/>
          <w:spacing w:val="-19"/>
        </w:rPr>
        <w:t xml:space="preserve"> </w:t>
      </w:r>
      <w:r>
        <w:rPr>
          <w:rFonts w:ascii="Microsoft YaHei" w:hAnsi="Microsoft YaHei" w:eastAsia="Microsoft YaHei" w:cs="Microsoft YaHei"/>
          <w:sz w:val="20"/>
          <w:szCs w:val="20"/>
          <w:spacing w:val="2"/>
        </w:rPr>
        <w:t>、海口、杭州、合肥、济南、南</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京、南通、</w:t>
      </w:r>
      <w:r>
        <w:rPr>
          <w:rFonts w:ascii="Microsoft YaHei" w:hAnsi="Microsoft YaHei" w:eastAsia="Microsoft YaHei" w:cs="Microsoft YaHei"/>
          <w:sz w:val="20"/>
          <w:szCs w:val="20"/>
          <w:spacing w:val="-37"/>
        </w:rPr>
        <w:t xml:space="preserve"> </w:t>
      </w:r>
      <w:r>
        <w:rPr>
          <w:rFonts w:ascii="Microsoft YaHei" w:hAnsi="Microsoft YaHei" w:eastAsia="Microsoft YaHei" w:cs="Microsoft YaHei"/>
          <w:sz w:val="20"/>
          <w:szCs w:val="20"/>
          <w:spacing w:val="2"/>
        </w:rPr>
        <w:t>宁波、青岛、上海、沈阳、深圳、苏州、太原</w:t>
      </w:r>
      <w:r>
        <w:rPr>
          <w:rFonts w:ascii="Microsoft YaHei" w:hAnsi="Microsoft YaHei" w:eastAsia="Microsoft YaHei" w:cs="Microsoft YaHei"/>
          <w:sz w:val="20"/>
          <w:szCs w:val="20"/>
          <w:spacing w:val="-32"/>
        </w:rPr>
        <w:t xml:space="preserve"> </w:t>
      </w:r>
      <w:r>
        <w:rPr>
          <w:rFonts w:ascii="Microsoft YaHei" w:hAnsi="Microsoft YaHei" w:eastAsia="Microsoft YaHei" w:cs="Microsoft YaHei"/>
          <w:sz w:val="20"/>
          <w:szCs w:val="20"/>
          <w:spacing w:val="2"/>
        </w:rPr>
        <w:t>、天津、</w:t>
      </w:r>
      <w:r>
        <w:rPr>
          <w:rFonts w:ascii="Microsoft YaHei" w:hAnsi="Microsoft YaHei" w:eastAsia="Microsoft YaHei" w:cs="Microsoft YaHei"/>
          <w:sz w:val="20"/>
          <w:szCs w:val="20"/>
          <w:spacing w:val="1"/>
        </w:rPr>
        <w:t>武汉、无锡、厦门、西</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3"/>
        </w:rPr>
        <w:t>安、郑州、香港特别行政区和澳门特别行政区。在这些办事机构紧密合作下，毕马威中国</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1"/>
        </w:rPr>
        <w:t>能够高效和迅速地调动各方面的资源，为客户提供高质量的服务。</w:t>
      </w:r>
    </w:p>
    <w:p>
      <w:pPr>
        <w:ind w:left="1311" w:right="2831" w:firstLine="3"/>
        <w:spacing w:before="260" w:line="217"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毕马威是一个由独立的专业成员所组成的全球性组织</w:t>
      </w:r>
      <w:r>
        <w:rPr>
          <w:rFonts w:ascii="Microsoft YaHei" w:hAnsi="Microsoft YaHei" w:eastAsia="Microsoft YaHei" w:cs="Microsoft YaHei"/>
          <w:sz w:val="20"/>
          <w:szCs w:val="20"/>
          <w:spacing w:val="-28"/>
        </w:rPr>
        <w:t xml:space="preserve"> </w:t>
      </w:r>
      <w:r>
        <w:rPr>
          <w:rFonts w:ascii="Microsoft YaHei" w:hAnsi="Microsoft YaHei" w:eastAsia="Microsoft YaHei" w:cs="Microsoft YaHei"/>
          <w:sz w:val="20"/>
          <w:szCs w:val="20"/>
          <w:spacing w:val="2"/>
        </w:rPr>
        <w:t>，提</w:t>
      </w:r>
      <w:r>
        <w:rPr>
          <w:rFonts w:ascii="Microsoft YaHei" w:hAnsi="Microsoft YaHei" w:eastAsia="Microsoft YaHei" w:cs="Microsoft YaHei"/>
          <w:sz w:val="20"/>
          <w:szCs w:val="20"/>
          <w:spacing w:val="1"/>
        </w:rPr>
        <w:t>供审计、税务和咨询等专业服务。</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3"/>
        </w:rPr>
        <w:t>毕马威国际有限公司（“毕马威国际”）的成员所以毕马威为品牌开展业务运营，并提供    </w:t>
      </w:r>
      <w:r>
        <w:rPr>
          <w:rFonts w:ascii="Microsoft YaHei" w:hAnsi="Microsoft YaHei" w:eastAsia="Microsoft YaHei" w:cs="Microsoft YaHei"/>
          <w:sz w:val="20"/>
          <w:szCs w:val="20"/>
          <w:spacing w:val="3"/>
        </w:rPr>
        <w:t>专业服务。“毕马威”</w:t>
      </w:r>
      <w:r>
        <w:rPr>
          <w:rFonts w:ascii="Microsoft YaHei" w:hAnsi="Microsoft YaHei" w:eastAsia="Microsoft YaHei" w:cs="Microsoft YaHei"/>
          <w:sz w:val="20"/>
          <w:szCs w:val="20"/>
          <w:spacing w:val="-42"/>
        </w:rPr>
        <w:t xml:space="preserve"> </w:t>
      </w:r>
      <w:r>
        <w:rPr>
          <w:rFonts w:ascii="Microsoft YaHei" w:hAnsi="Microsoft YaHei" w:eastAsia="Microsoft YaHei" w:cs="Microsoft YaHei"/>
          <w:sz w:val="20"/>
          <w:szCs w:val="20"/>
          <w:spacing w:val="3"/>
        </w:rPr>
        <w:t>可以指毕马威全球网络内的独立成员所，也可以指一家或多</w:t>
      </w:r>
      <w:r>
        <w:rPr>
          <w:rFonts w:ascii="Microsoft YaHei" w:hAnsi="Microsoft YaHei" w:eastAsia="Microsoft YaHei" w:cs="Microsoft YaHei"/>
          <w:sz w:val="20"/>
          <w:szCs w:val="20"/>
          <w:spacing w:val="2"/>
        </w:rPr>
        <w:t>家毕马</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5"/>
        </w:rPr>
        <w:t>威成员所。</w:t>
      </w:r>
    </w:p>
    <w:p>
      <w:pPr>
        <w:ind w:left="1321"/>
        <w:spacing w:before="269"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1992年，毕马威在中国内地成为首家获准中外合作开业的国际会计师事务所。2012年8</w:t>
      </w:r>
      <w:r>
        <w:rPr>
          <w:rFonts w:ascii="Microsoft YaHei" w:hAnsi="Microsoft YaHei" w:eastAsia="Microsoft YaHei" w:cs="Microsoft YaHei"/>
          <w:sz w:val="20"/>
          <w:szCs w:val="20"/>
          <w:spacing w:val="-2"/>
        </w:rPr>
        <w:t>月1</w:t>
      </w:r>
    </w:p>
    <w:p>
      <w:pPr>
        <w:ind w:left="1313" w:right="3001" w:firstLine="26"/>
        <w:spacing w:before="52" w:line="217" w:lineRule="auto"/>
        <w:jc w:val="both"/>
        <w:rPr>
          <w:rFonts w:ascii="Microsoft YaHei" w:hAnsi="Microsoft YaHei" w:eastAsia="Microsoft YaHei" w:cs="Microsoft YaHei"/>
          <w:sz w:val="20"/>
          <w:szCs w:val="20"/>
        </w:rPr>
      </w:pPr>
      <w:r>
        <w:drawing>
          <wp:anchor distT="0" distB="0" distL="0" distR="0" simplePos="0" relativeHeight="254053376" behindDoc="1" locked="0" layoutInCell="1" allowOverlap="1">
            <wp:simplePos x="0" y="0"/>
            <wp:positionH relativeFrom="column">
              <wp:posOffset>0</wp:posOffset>
            </wp:positionH>
            <wp:positionV relativeFrom="paragraph">
              <wp:posOffset>55011</wp:posOffset>
            </wp:positionV>
            <wp:extent cx="7775447" cy="6495288"/>
            <wp:effectExtent l="0" t="0" r="0" b="0"/>
            <wp:wrapNone/>
            <wp:docPr id="892" name="IM 892"/>
            <wp:cNvGraphicFramePr/>
            <a:graphic>
              <a:graphicData uri="http://schemas.openxmlformats.org/drawingml/2006/picture">
                <pic:pic>
                  <pic:nvPicPr>
                    <pic:cNvPr id="892" name="IM 892"/>
                    <pic:cNvPicPr/>
                  </pic:nvPicPr>
                  <pic:blipFill>
                    <a:blip r:embed="rId420"/>
                    <a:stretch>
                      <a:fillRect/>
                    </a:stretch>
                  </pic:blipFill>
                  <pic:spPr>
                    <a:xfrm rot="0">
                      <a:off x="0" y="0"/>
                      <a:ext cx="7775447" cy="6495288"/>
                    </a:xfrm>
                    <a:prstGeom prst="rect">
                      <a:avLst/>
                    </a:prstGeom>
                  </pic:spPr>
                </pic:pic>
              </a:graphicData>
            </a:graphic>
          </wp:anchor>
        </w:drawing>
      </w:r>
      <w:r>
        <w:rPr>
          <w:rFonts w:ascii="Microsoft YaHei" w:hAnsi="Microsoft YaHei" w:eastAsia="Microsoft YaHei" w:cs="Microsoft YaHei"/>
          <w:sz w:val="20"/>
          <w:szCs w:val="20"/>
          <w:spacing w:val="2"/>
        </w:rPr>
        <w:t>日，毕马威成为四大会计师事务所之中首家从中外合作制转为特殊普通合伙的事务所。毕</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1"/>
        </w:rPr>
        <w:t>马威香港的成立更早在1945年。率先打入市场的先机以及对质量的不懈追求，使我们积累</w:t>
      </w:r>
      <w:r>
        <w:rPr>
          <w:rFonts w:ascii="Microsoft YaHei" w:hAnsi="Microsoft YaHei" w:eastAsia="Microsoft YaHei" w:cs="Microsoft YaHei"/>
          <w:sz w:val="20"/>
          <w:szCs w:val="20"/>
          <w:spacing w:val="18"/>
        </w:rPr>
        <w:t xml:space="preserve"> </w:t>
      </w:r>
      <w:r>
        <w:rPr>
          <w:rFonts w:ascii="Microsoft YaHei" w:hAnsi="Microsoft YaHei" w:eastAsia="Microsoft YaHei" w:cs="Microsoft YaHei"/>
          <w:sz w:val="20"/>
          <w:szCs w:val="20"/>
          <w:spacing w:val="3"/>
        </w:rPr>
        <w:t>了丰富的行业经验，中国多家知名企业长期聘请毕马威提供广泛领域的专业服务（包括审</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1"/>
        </w:rPr>
        <w:t>计、税务和咨询</w:t>
      </w:r>
      <w:r>
        <w:rPr>
          <w:rFonts w:ascii="Microsoft YaHei" w:hAnsi="Microsoft YaHei" w:eastAsia="Microsoft YaHei" w:cs="Microsoft YaHei"/>
          <w:sz w:val="20"/>
          <w:szCs w:val="20"/>
          <w:spacing w:val="4"/>
        </w:rPr>
        <w:t>），</w:t>
      </w:r>
      <w:r>
        <w:rPr>
          <w:rFonts w:ascii="Microsoft YaHei" w:hAnsi="Microsoft YaHei" w:eastAsia="Microsoft YaHei" w:cs="Microsoft YaHei"/>
          <w:sz w:val="20"/>
          <w:szCs w:val="20"/>
          <w:spacing w:val="-1"/>
        </w:rPr>
        <w:t>也反映了毕马威的领导地位。</w:t>
      </w:r>
    </w:p>
    <w:p>
      <w:pPr>
        <w:pStyle w:val="BodyText"/>
        <w:spacing w:line="329" w:lineRule="auto"/>
        <w:rPr/>
      </w:pPr>
      <w:r/>
    </w:p>
    <w:p>
      <w:pPr>
        <w:ind w:left="1368" w:right="3925" w:hanging="51"/>
        <w:spacing w:before="271" w:line="175" w:lineRule="auto"/>
        <w:rPr>
          <w:rFonts w:ascii="Microsoft YaHei" w:hAnsi="Microsoft YaHei" w:eastAsia="Microsoft YaHei" w:cs="Microsoft YaHei"/>
          <w:sz w:val="63"/>
          <w:szCs w:val="63"/>
        </w:rPr>
      </w:pPr>
      <w:r>
        <w:rPr>
          <w:rFonts w:ascii="Microsoft YaHei" w:hAnsi="Microsoft YaHei" w:eastAsia="Microsoft YaHei" w:cs="Microsoft YaHei"/>
          <w:sz w:val="63"/>
          <w:szCs w:val="63"/>
          <w:b/>
          <w:bCs/>
          <w:color w:val="00338D"/>
          <w:spacing w:val="6"/>
        </w:rPr>
        <w:t>关于中国电力企业联合会</w:t>
      </w:r>
      <w:r>
        <w:rPr>
          <w:rFonts w:ascii="Microsoft YaHei" w:hAnsi="Microsoft YaHei" w:eastAsia="Microsoft YaHei" w:cs="Microsoft YaHei"/>
          <w:sz w:val="63"/>
          <w:szCs w:val="63"/>
          <w:b/>
          <w:bCs/>
          <w:color w:val="00338D"/>
          <w:spacing w:val="4"/>
        </w:rPr>
        <w:t xml:space="preserve"> </w:t>
      </w:r>
      <w:r>
        <w:rPr>
          <w:rFonts w:ascii="Microsoft YaHei" w:hAnsi="Microsoft YaHei" w:eastAsia="Microsoft YaHei" w:cs="Microsoft YaHei"/>
          <w:sz w:val="63"/>
          <w:szCs w:val="63"/>
          <w:b/>
          <w:bCs/>
          <w:color w:val="00338D"/>
        </w:rPr>
        <w:t>电动交通与储能分会</w:t>
      </w:r>
    </w:p>
    <w:p>
      <w:pPr>
        <w:ind w:left="1342" w:right="2968" w:firstLine="14"/>
        <w:spacing w:before="174" w:line="21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中国电力企业联合会电动交通与储能分会是中国电力企业联合会（以下</w:t>
      </w:r>
      <w:r>
        <w:rPr>
          <w:rFonts w:ascii="Microsoft YaHei" w:hAnsi="Microsoft YaHei" w:eastAsia="Microsoft YaHei" w:cs="Microsoft YaHei"/>
          <w:sz w:val="20"/>
          <w:szCs w:val="20"/>
          <w:spacing w:val="2"/>
        </w:rPr>
        <w:t>简称“中电联”）</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3"/>
        </w:rPr>
        <w:t>的分支机构，经中电联理事会决定成立，执行</w:t>
      </w:r>
      <w:r>
        <w:rPr>
          <w:rFonts w:ascii="Microsoft YaHei" w:hAnsi="Microsoft YaHei" w:eastAsia="Microsoft YaHei" w:cs="Microsoft YaHei"/>
          <w:sz w:val="20"/>
          <w:szCs w:val="20"/>
          <w:spacing w:val="-35"/>
        </w:rPr>
        <w:t xml:space="preserve"> </w:t>
      </w:r>
      <w:r>
        <w:rPr>
          <w:rFonts w:ascii="Microsoft YaHei" w:hAnsi="Microsoft YaHei" w:eastAsia="Microsoft YaHei" w:cs="Microsoft YaHei"/>
          <w:sz w:val="20"/>
          <w:szCs w:val="20"/>
          <w:spacing w:val="3"/>
        </w:rPr>
        <w:t>《中国电力企业联合会</w:t>
      </w:r>
      <w:r>
        <w:rPr>
          <w:rFonts w:ascii="Microsoft YaHei" w:hAnsi="Microsoft YaHei" w:eastAsia="Microsoft YaHei" w:cs="Microsoft YaHei"/>
          <w:sz w:val="20"/>
          <w:szCs w:val="20"/>
          <w:spacing w:val="2"/>
        </w:rPr>
        <w:t>章程》。电动交通与</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储能分会现有会员单位80余家，</w:t>
      </w:r>
      <w:r>
        <w:rPr>
          <w:rFonts w:ascii="Microsoft YaHei" w:hAnsi="Microsoft YaHei" w:eastAsia="Microsoft YaHei" w:cs="Microsoft YaHei"/>
          <w:sz w:val="20"/>
          <w:szCs w:val="20"/>
          <w:spacing w:val="-33"/>
        </w:rPr>
        <w:t xml:space="preserve"> </w:t>
      </w:r>
      <w:r>
        <w:rPr>
          <w:rFonts w:ascii="Microsoft YaHei" w:hAnsi="Microsoft YaHei" w:eastAsia="Microsoft YaHei" w:cs="Microsoft YaHei"/>
          <w:sz w:val="20"/>
          <w:szCs w:val="20"/>
          <w:spacing w:val="2"/>
        </w:rPr>
        <w:t>国网智慧车联网技术有限公司、协鑫</w:t>
      </w:r>
      <w:r>
        <w:rPr>
          <w:rFonts w:ascii="Microsoft YaHei" w:hAnsi="Microsoft YaHei" w:eastAsia="Microsoft YaHei" w:cs="Microsoft YaHei"/>
          <w:sz w:val="20"/>
          <w:szCs w:val="20"/>
          <w:spacing w:val="1"/>
        </w:rPr>
        <w:t>（集团）控股有限公</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司为执行副会长单位。</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2"/>
        </w:rPr>
        <w:t>电动交通与储能分会以市</w:t>
      </w:r>
      <w:r>
        <w:rPr>
          <w:rFonts w:ascii="Microsoft YaHei" w:hAnsi="Microsoft YaHei" w:eastAsia="Microsoft YaHei" w:cs="Microsoft YaHei"/>
          <w:sz w:val="20"/>
          <w:szCs w:val="20"/>
          <w:spacing w:val="1"/>
        </w:rPr>
        <w:t>场需求为动力、以会员诉求为根本、</w:t>
      </w:r>
      <w:r>
        <w:rPr>
          <w:rFonts w:ascii="Microsoft YaHei" w:hAnsi="Microsoft YaHei" w:eastAsia="Microsoft YaHei" w:cs="Microsoft YaHei"/>
          <w:sz w:val="20"/>
          <w:szCs w:val="20"/>
          <w:spacing w:val="-25"/>
        </w:rPr>
        <w:t xml:space="preserve"> </w:t>
      </w:r>
      <w:r>
        <w:rPr>
          <w:rFonts w:ascii="Microsoft YaHei" w:hAnsi="Microsoft YaHei" w:eastAsia="Microsoft YaHei" w:cs="Microsoft YaHei"/>
          <w:sz w:val="20"/>
          <w:szCs w:val="20"/>
          <w:spacing w:val="1"/>
        </w:rPr>
        <w:t>以行</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3"/>
        </w:rPr>
        <w:t>业发展为目标、以政府要求为导向，致力于推动我国交通运输行业清洁高效、创新协调发</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rPr>
        <w:t>展，为确保国家电力能源保障安全，服务经济社会发展发挥协会</w:t>
      </w:r>
      <w:r>
        <w:rPr>
          <w:rFonts w:ascii="Microsoft YaHei" w:hAnsi="Microsoft YaHei" w:eastAsia="Microsoft YaHei" w:cs="Microsoft YaHei"/>
          <w:sz w:val="20"/>
          <w:szCs w:val="20"/>
          <w:spacing w:val="-1"/>
        </w:rPr>
        <w:t>应有的贡献。</w:t>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1805" w:right="1241" w:hanging="411"/>
        <w:spacing w:before="47" w:line="172"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 2023</w:t>
      </w:r>
      <w:r>
        <w:rPr>
          <w:rFonts w:ascii="Microsoft YaHei" w:hAnsi="Microsoft YaHei" w:eastAsia="Microsoft YaHei" w:cs="Microsoft YaHei"/>
          <w:sz w:val="11"/>
          <w:szCs w:val="11"/>
          <w:color w:val="BFBFBF"/>
          <w:spacing w:val="-7"/>
        </w:rPr>
        <w:t xml:space="preserve"> </w:t>
      </w:r>
      <w:r>
        <w:rPr>
          <w:rFonts w:ascii="Microsoft YaHei" w:hAnsi="Microsoft YaHei" w:eastAsia="Microsoft YaHei" w:cs="Microsoft YaHei"/>
          <w:sz w:val="11"/>
          <w:szCs w:val="11"/>
          <w:color w:val="BFBFBF"/>
          <w:spacing w:val="-1"/>
        </w:rPr>
        <w:t>毕马威华振会计师事务所(特殊普通合伙)</w:t>
      </w:r>
      <w:r>
        <w:rPr>
          <w:rFonts w:ascii="Microsoft YaHei" w:hAnsi="Microsoft YaHei" w:eastAsia="Microsoft YaHei" w:cs="Microsoft YaHei"/>
          <w:sz w:val="11"/>
          <w:szCs w:val="11"/>
          <w:color w:val="BFBFBF"/>
          <w:spacing w:val="-12"/>
        </w:rPr>
        <w:t xml:space="preserve"> </w:t>
      </w:r>
      <w:r>
        <w:rPr>
          <w:rFonts w:ascii="Microsoft YaHei" w:hAnsi="Microsoft YaHei" w:eastAsia="Microsoft YaHei" w:cs="Microsoft YaHei"/>
          <w:sz w:val="11"/>
          <w:szCs w:val="11"/>
          <w:color w:val="BFBFBF"/>
          <w:spacing w:val="-1"/>
        </w:rPr>
        <w:t>— 中国合伙制会计师事务所</w:t>
      </w:r>
      <w:r>
        <w:rPr>
          <w:rFonts w:ascii="Microsoft YaHei" w:hAnsi="Microsoft YaHei" w:eastAsia="Microsoft YaHei" w:cs="Microsoft YaHei"/>
          <w:sz w:val="11"/>
          <w:szCs w:val="11"/>
          <w:color w:val="BFBFBF"/>
          <w:spacing w:val="-17"/>
        </w:rPr>
        <w:t xml:space="preserve"> </w:t>
      </w:r>
      <w:r>
        <w:rPr>
          <w:rFonts w:ascii="Microsoft YaHei" w:hAnsi="Microsoft YaHei" w:eastAsia="Microsoft YaHei" w:cs="Microsoft YaHei"/>
          <w:sz w:val="11"/>
          <w:szCs w:val="11"/>
          <w:color w:val="BFBFBF"/>
          <w:spacing w:val="-1"/>
        </w:rPr>
        <w:t>，毕马威企业咨询(中国) 有限公司 — 中国有限责任公司</w:t>
      </w:r>
      <w:r>
        <w:rPr>
          <w:rFonts w:ascii="Microsoft YaHei" w:hAnsi="Microsoft YaHei" w:eastAsia="Microsoft YaHei" w:cs="Microsoft YaHei"/>
          <w:sz w:val="11"/>
          <w:szCs w:val="11"/>
          <w:color w:val="BFBFBF"/>
          <w:spacing w:val="-18"/>
        </w:rPr>
        <w:t xml:space="preserve"> </w:t>
      </w:r>
      <w:r>
        <w:rPr>
          <w:rFonts w:ascii="Microsoft YaHei" w:hAnsi="Microsoft YaHei" w:eastAsia="Microsoft YaHei" w:cs="Microsoft YaHei"/>
          <w:sz w:val="11"/>
          <w:szCs w:val="11"/>
          <w:color w:val="BFBFBF"/>
          <w:spacing w:val="-1"/>
        </w:rPr>
        <w:t>，毕马威会计师事务所— 澳门</w:t>
      </w:r>
      <w:r>
        <w:rPr>
          <w:rFonts w:ascii="Microsoft YaHei" w:hAnsi="Microsoft YaHei" w:eastAsia="Microsoft YaHei" w:cs="Microsoft YaHei"/>
          <w:sz w:val="11"/>
          <w:szCs w:val="11"/>
          <w:color w:val="BFBFBF"/>
          <w:spacing w:val="-2"/>
        </w:rPr>
        <w:t>特别行政区合伙制事务所，及毕马威</w:t>
      </w:r>
      <w:r>
        <w:rPr>
          <w:rFonts w:ascii="Microsoft YaHei" w:hAnsi="Microsoft YaHei" w:eastAsia="Microsoft YaHei" w:cs="Microsoft YaHei"/>
          <w:sz w:val="11"/>
          <w:szCs w:val="11"/>
          <w:color w:val="BFBFBF"/>
        </w:rPr>
        <w:t xml:space="preserve"> </w:t>
      </w:r>
      <w:r>
        <w:rPr>
          <w:rFonts w:ascii="Microsoft YaHei" w:hAnsi="Microsoft YaHei" w:eastAsia="Microsoft YaHei" w:cs="Microsoft YaHei"/>
          <w:sz w:val="11"/>
          <w:szCs w:val="11"/>
          <w:color w:val="BFBFBF"/>
        </w:rPr>
        <w:t>会计师事务所 —</w:t>
      </w:r>
      <w:r>
        <w:rPr>
          <w:rFonts w:ascii="Microsoft YaHei" w:hAnsi="Microsoft YaHei" w:eastAsia="Microsoft YaHei" w:cs="Microsoft YaHei"/>
          <w:sz w:val="11"/>
          <w:szCs w:val="11"/>
          <w:color w:val="BFBFBF"/>
          <w:spacing w:val="-7"/>
        </w:rPr>
        <w:t xml:space="preserve"> </w:t>
      </w:r>
      <w:r>
        <w:rPr>
          <w:rFonts w:ascii="Microsoft YaHei" w:hAnsi="Microsoft YaHei" w:eastAsia="Microsoft YaHei" w:cs="Microsoft YaHei"/>
          <w:sz w:val="11"/>
          <w:szCs w:val="11"/>
          <w:color w:val="BFBFBF"/>
        </w:rPr>
        <w:t>香港特别行政区合伙制事务</w:t>
      </w:r>
      <w:r>
        <w:rPr>
          <w:rFonts w:ascii="Microsoft YaHei" w:hAnsi="Microsoft YaHei" w:eastAsia="Microsoft YaHei" w:cs="Microsoft YaHei"/>
          <w:sz w:val="11"/>
          <w:szCs w:val="11"/>
          <w:color w:val="BFBFBF"/>
          <w:spacing w:val="-1"/>
        </w:rPr>
        <w:t>所，均是与英国私营担保有限公司</w:t>
      </w:r>
      <w:r>
        <w:rPr>
          <w:rFonts w:ascii="Microsoft YaHei" w:hAnsi="Microsoft YaHei" w:eastAsia="Microsoft YaHei" w:cs="Microsoft YaHei"/>
          <w:sz w:val="11"/>
          <w:szCs w:val="11"/>
          <w:color w:val="BFBFBF"/>
          <w:spacing w:val="-13"/>
        </w:rPr>
        <w:t xml:space="preserve"> </w:t>
      </w:r>
      <w:r>
        <w:rPr>
          <w:rFonts w:ascii="Microsoft YaHei" w:hAnsi="Microsoft YaHei" w:eastAsia="Microsoft YaHei" w:cs="Microsoft YaHei"/>
          <w:sz w:val="11"/>
          <w:szCs w:val="11"/>
          <w:color w:val="BFBFBF"/>
          <w:spacing w:val="-1"/>
        </w:rPr>
        <w:t>— 毕马威国际有限公司相关联的独立成员所全球性组织中的成员。版权所有</w:t>
      </w:r>
      <w:r>
        <w:rPr>
          <w:rFonts w:ascii="Microsoft YaHei" w:hAnsi="Microsoft YaHei" w:eastAsia="Microsoft YaHei" w:cs="Microsoft YaHei"/>
          <w:sz w:val="11"/>
          <w:szCs w:val="11"/>
          <w:color w:val="BFBFBF"/>
          <w:spacing w:val="-17"/>
        </w:rPr>
        <w:t xml:space="preserve"> </w:t>
      </w:r>
      <w:r>
        <w:rPr>
          <w:rFonts w:ascii="Microsoft YaHei" w:hAnsi="Microsoft YaHei" w:eastAsia="Microsoft YaHei" w:cs="Microsoft YaHei"/>
          <w:sz w:val="11"/>
          <w:szCs w:val="11"/>
          <w:color w:val="BFBFBF"/>
          <w:spacing w:val="-1"/>
        </w:rPr>
        <w:t>，不得转载。在中国印刷。</w:t>
      </w:r>
    </w:p>
    <w:p>
      <w:pPr>
        <w:spacing w:line="172" w:lineRule="auto"/>
        <w:sectPr>
          <w:pgSz w:w="12245" w:h="17180"/>
          <w:pgMar w:top="400" w:right="0" w:bottom="0" w:left="0" w:header="0" w:footer="0" w:gutter="0"/>
        </w:sectPr>
        <w:rPr>
          <w:rFonts w:ascii="Microsoft YaHei" w:hAnsi="Microsoft YaHei" w:eastAsia="Microsoft YaHei" w:cs="Microsoft YaHei"/>
          <w:sz w:val="11"/>
          <w:szCs w:val="11"/>
        </w:rPr>
      </w:pPr>
    </w:p>
    <w:p>
      <w:pPr>
        <w:pStyle w:val="BodyText"/>
        <w:spacing w:line="244" w:lineRule="auto"/>
        <w:rPr/>
      </w:pPr>
      <w:r>
        <w:drawing>
          <wp:anchor distT="0" distB="0" distL="0" distR="0" simplePos="0" relativeHeight="254093312" behindDoc="0" locked="0" layoutInCell="0" allowOverlap="1">
            <wp:simplePos x="0" y="0"/>
            <wp:positionH relativeFrom="page">
              <wp:posOffset>7772272</wp:posOffset>
            </wp:positionH>
            <wp:positionV relativeFrom="page">
              <wp:posOffset>0</wp:posOffset>
            </wp:positionV>
            <wp:extent cx="6350" cy="10908792"/>
            <wp:effectExtent l="0" t="0" r="0" b="0"/>
            <wp:wrapNone/>
            <wp:docPr id="894" name="IM 894"/>
            <wp:cNvGraphicFramePr/>
            <a:graphic>
              <a:graphicData uri="http://schemas.openxmlformats.org/drawingml/2006/picture">
                <pic:pic>
                  <pic:nvPicPr>
                    <pic:cNvPr id="894" name="IM 894"/>
                    <pic:cNvPicPr/>
                  </pic:nvPicPr>
                  <pic:blipFill>
                    <a:blip r:embed="rId421"/>
                    <a:stretch>
                      <a:fillRect/>
                    </a:stretch>
                  </pic:blipFill>
                  <pic:spPr>
                    <a:xfrm rot="0">
                      <a:off x="0" y="0"/>
                      <a:ext cx="6350" cy="10908792"/>
                    </a:xfrm>
                    <a:prstGeom prst="rect">
                      <a:avLst/>
                    </a:prstGeom>
                  </pic:spPr>
                </pic:pic>
              </a:graphicData>
            </a:graphic>
          </wp:anchor>
        </w:drawing>
      </w: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ind w:left="161"/>
        <w:spacing w:before="57" w:line="240" w:lineRule="exact"/>
        <w:outlineLvl w:val="0"/>
        <w:rPr>
          <w:sz w:val="20"/>
          <w:szCs w:val="20"/>
        </w:rPr>
      </w:pPr>
      <w:r>
        <w:drawing>
          <wp:anchor distT="0" distB="0" distL="0" distR="0" simplePos="0" relativeHeight="254092288" behindDoc="0" locked="0" layoutInCell="1" allowOverlap="1">
            <wp:simplePos x="0" y="0"/>
            <wp:positionH relativeFrom="column">
              <wp:posOffset>1801371</wp:posOffset>
            </wp:positionH>
            <wp:positionV relativeFrom="paragraph">
              <wp:posOffset>282850</wp:posOffset>
            </wp:positionV>
            <wp:extent cx="822955" cy="402335"/>
            <wp:effectExtent l="0" t="0" r="0" b="0"/>
            <wp:wrapNone/>
            <wp:docPr id="896" name="IM 896"/>
            <wp:cNvGraphicFramePr/>
            <a:graphic>
              <a:graphicData uri="http://schemas.openxmlformats.org/drawingml/2006/picture">
                <pic:pic>
                  <pic:nvPicPr>
                    <pic:cNvPr id="896" name="IM 896"/>
                    <pic:cNvPicPr/>
                  </pic:nvPicPr>
                  <pic:blipFill>
                    <a:blip r:embed="rId422"/>
                    <a:stretch>
                      <a:fillRect/>
                    </a:stretch>
                  </pic:blipFill>
                  <pic:spPr>
                    <a:xfrm rot="0">
                      <a:off x="0" y="0"/>
                      <a:ext cx="822955" cy="402335"/>
                    </a:xfrm>
                    <a:prstGeom prst="rect">
                      <a:avLst/>
                    </a:prstGeom>
                  </pic:spPr>
                </pic:pic>
              </a:graphicData>
            </a:graphic>
          </wp:anchor>
        </w:drawing>
      </w:r>
      <w:r>
        <w:rPr>
          <w:sz w:val="20"/>
          <w:szCs w:val="20"/>
          <w:b/>
          <w:bCs/>
          <w:color w:val="00338D"/>
          <w:spacing w:val="2"/>
          <w:position w:val="2"/>
        </w:rPr>
        <w:t>kpmg.com/cn/socialmedia</w:t>
      </w:r>
    </w:p>
    <w:p>
      <w:pPr>
        <w:ind w:firstLine="148"/>
        <w:spacing w:before="153" w:line="614" w:lineRule="exact"/>
        <w:rPr/>
      </w:pPr>
      <w:r>
        <w:rPr>
          <w:position w:val="-12"/>
        </w:rPr>
        <w:pict>
          <v:group id="_x0000_s1718" style="mso-position-vertical-relative:line;mso-position-horizontal-relative:char;width:131.55pt;height:30.75pt;" filled="false" stroked="false" coordsize="2631,615" coordorigin="0,0">
            <v:shape id="_x0000_s1720" style="position:absolute;left:2016;top:0;width:615;height:615;" fillcolor="#7BB330" filled="true" stroked="false" coordsize="615,615" coordorigin="0,0" path="m580,614l580,614l588,614l595,612l605,605l612,595l614,588l614,580l614,34l614,27l612,21l605,10l595,4l588,2l580,0l34,0l27,2l21,4l10,10l2,21l2,27l0,34l0,580l2,588l2,595l10,605l21,612l27,614l34,614l580,614xe"/>
            <v:shape id="_x0000_s1722" style="position:absolute;left:2054;top:81;width:532;height:455;" fillcolor="#FFFFFF" filled="true" stroked="false" coordsize="532,455" coordorigin="0,0" path="m483,455m483,455l483,455l459,445l449,441l436,436l425,438l412,441l401,445l388,447l371,447l354,447l337,445l320,441l305,434l290,426l274,415l262,404l249,392l238,379l232,366l225,353l219,338l216,323l214,311l216,296l219,281l223,266l227,253l236,240l244,227l255,215l268,204l281,193l296,187l309,181l324,174l339,172l354,168l369,168l386,168l401,170l416,172l431,176l444,183l459,189l472,198l483,206l494,217l504,227l519,249l528,272l532,296l532,319l530,340l519,364l507,383l489,402l481,413l474,421l474,432l479,445l481,449l483,455xm302,285m302,285l302,285l311,283l315,279l320,274l322,268l320,259l317,253l311,249l302,249l296,249l290,253l285,259l285,266l285,274l290,279l296,283l302,285xm418,249m418,249l418,249l412,249l406,253l401,259l399,266l401,272l406,279l410,283l418,285l425,283l431,279l436,274l436,268l436,259l431,253l425,249l418,249xm262,106m262,106l262,106l253,108l244,115l240,121l238,129l240,138l247,144l253,149l262,151l270,149l277,144l283,138l283,129l283,121l277,112l270,108l262,106xm371,149m371,149l371,149l352,151l335,153l317,157l300,164l285,170l270,178l257,189l242,200l229,215l221,227l210,242l204,257l199,274l197,291l195,308l195,328l141,321l131,321l122,326l68,357l75,334l79,313l81,306l79,302l77,296l70,291l51,274l34,257l19,236l8,217l2,193l0,170l0,147l6,123l12,102l23,83l36,66l49,51l66,38l83,27l103,17l124,8l154,2l184,0l214,2l242,8l270,19l296,31l320,51l339,72l352,89l360,108l367,127l371,149xm141,129m141,129l141,129l141,121l137,115l128,108l120,106l111,108l105,112l98,119l96,127l98,136l103,144l109,149l120,151l128,149l135,144l139,138l141,129xe"/>
            <v:shape id="_x0000_s1724" style="position:absolute;left:671;top:0;width:615;height:615;" fillcolor="#3EBCED" filled="true" stroked="false" coordsize="615,615" coordorigin="0,0" path="m614,575l614,575l614,584l612,590l607,597l603,603l597,607l590,612l584,614l576,614l38,614l29,614l23,612l17,607l10,603l6,597l2,590l0,584l0,575l0,38l0,31l2,23l6,17l10,12l17,6l23,4l29,2l38,0l576,0l584,2l590,4l597,6l603,12l607,17l612,23l614,31l614,38l614,575xe"/>
            <v:shape id="_x0000_s1726" style="position:absolute;left:748;top:110;width:490;height:399;" fillcolor="#FFFFFF" filled="true" stroked="false" coordsize="490,399" coordorigin="0,0" path="m489,48l489,48l481,63l470,74l459,84l446,95l442,99l440,105l438,141l433,175l425,207l412,237l397,264l377,292l354,317l328,341l313,351l298,362l281,370l264,377l229,387l193,394l169,396l146,398l122,396l100,392l77,387l55,379l34,370l12,360l0,353l21,353l40,353l60,351l79,347l96,341l113,332l130,322l148,311l130,309l115,305l103,298l90,290l79,279l68,269l62,256l55,241l96,241l79,233l64,224l51,214l42,203l34,190l27,175l21,158l19,141l60,154l62,150l45,135l34,116l25,97l21,74l21,61l23,46l27,33l36,19l55,42l79,61l103,78l126,93l154,103l182,114l210,120l240,122l240,103l242,86l244,72l249,59l255,46l261,36l272,27l283,19l294,10l309,6l322,2l334,0l350,0l362,2l373,6l386,10l397,19l410,27l414,31l420,29l476,10l470,25l461,38l450,50l438,61l438,63l489,48xe"/>
            <v:shape id="_x0000_s1728" style="position:absolute;left:1343;top:0;width:615;height:615;" fillcolor="#3F5293" filled="true" stroked="false" coordsize="615,615" coordorigin="0,0" path="m614,575l614,575l614,584l612,590l607,597l603,603l597,607l590,612l584,614l576,614l38,614l32,614l23,612l17,607l10,603l6,597l4,590l2,584l0,575l0,38l2,31l4,23l6,17l10,12l17,6l23,4l32,2l38,0l576,0l584,2l590,4l597,6l603,12l607,17l612,23l614,31l614,38l614,575xe"/>
            <v:shape id="_x0000_s1730" style="position:absolute;left:1593;top:96;width:268;height:519;" fillcolor="#FFFFFF" filled="true" stroked="false" coordsize="268,519" coordorigin="0,0" path="m172,518l172,288l249,288l268,192l172,192l172,153l174,140l177,130l181,119l187,110l196,104l204,100l217,98l230,96l268,96l268,0l192,0l179,2l166,4l155,6l145,10l134,17l125,23l108,38l96,57l85,81l78,106l76,134l76,192l0,192l0,288l76,288l76,518l172,518xe"/>
            <v:shape id="_x0000_s1732" style="position:absolute;left:0;top:0;width:615;height:615;" fillcolor="#0076B3" filled="true" stroked="false" coordsize="615,615" coordorigin="0,0" path="m569,0l44,0l36,2l27,4l19,8l12,12l8,21l4,27l0,36l0,44l0,571l0,580l4,588l8,595l12,601l19,607l27,612l36,614l44,614l569,614l578,614l586,612l595,607l601,601l605,595l610,588l614,580l614,571l614,44l614,36l610,27l605,21l601,12l595,8l586,4l578,2l569,0xe"/>
            <v:shape id="_x0000_s1734" style="position:absolute;left:81;top:86;width:442;height:442;" fillcolor="#FFFFFF" filled="true" stroked="false" coordsize="442,442" coordorigin="0,0" path="m8,145l97,145l97,441l8,441l8,145xm52,0l52,0l63,2l73,4l82,8l90,15l97,23l101,32l103,42l105,53l103,64l101,72l97,83l90,90l82,96l73,102l63,105l52,107l42,105l31,102l23,96l16,90l10,83l4,72l2,64l0,53l2,42l4,32l10,23l16,15l23,8l31,4l42,2l52,0xem158,145l245,145l245,186l247,186l252,177l260,169l269,160l277,154l290,147l303,143l318,139l332,139l350,139l364,141l377,145l388,149l399,156l407,162l416,171l422,179l428,188l433,199l437,224l441,250l441,278l441,441l352,441l352,297l350,272l347,257l345,246l339,235l330,227l320,220l305,220l288,220l275,227l266,233l258,242l254,255l252,267l249,295l249,441l158,441l158,145xe"/>
          </v:group>
        </w:pict>
      </w:r>
    </w:p>
    <w:p>
      <w:pPr>
        <w:pStyle w:val="BodyText"/>
        <w:spacing w:line="419" w:lineRule="auto"/>
        <w:rPr/>
      </w:pPr>
      <w:r/>
    </w:p>
    <w:p>
      <w:pPr>
        <w:spacing w:line="1426" w:lineRule="exact"/>
        <w:rPr/>
      </w:pPr>
      <w:r>
        <w:rPr>
          <w:position w:val="-28"/>
        </w:rPr>
        <w:drawing>
          <wp:inline distT="0" distB="0" distL="0" distR="0">
            <wp:extent cx="905255" cy="905255"/>
            <wp:effectExtent l="0" t="0" r="0" b="0"/>
            <wp:docPr id="898" name="IM 898"/>
            <wp:cNvGraphicFramePr/>
            <a:graphic>
              <a:graphicData uri="http://schemas.openxmlformats.org/drawingml/2006/picture">
                <pic:pic>
                  <pic:nvPicPr>
                    <pic:cNvPr id="898" name="IM 898"/>
                    <pic:cNvPicPr/>
                  </pic:nvPicPr>
                  <pic:blipFill>
                    <a:blip r:embed="rId423"/>
                    <a:stretch>
                      <a:fillRect/>
                    </a:stretch>
                  </pic:blipFill>
                  <pic:spPr>
                    <a:xfrm rot="0">
                      <a:off x="0" y="0"/>
                      <a:ext cx="905255" cy="905255"/>
                    </a:xfrm>
                    <a:prstGeom prst="rect">
                      <a:avLst/>
                    </a:prstGeom>
                  </pic:spPr>
                </pic:pic>
              </a:graphicData>
            </a:graphic>
          </wp:inline>
        </w:drawing>
      </w:r>
    </w:p>
    <w:p>
      <w:pPr>
        <w:ind w:left="166" w:right="4740" w:hanging="8"/>
        <w:spacing w:before="193"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如需获取毕马威中国各办公室信息，请扫描二维码或登陆我们的网站：</w:t>
      </w:r>
      <w:r>
        <w:rPr>
          <w:rFonts w:ascii="Microsoft YaHei" w:hAnsi="Microsoft YaHei" w:eastAsia="Microsoft YaHei" w:cs="Microsoft YaHei"/>
          <w:sz w:val="20"/>
          <w:szCs w:val="20"/>
        </w:rPr>
        <w:t xml:space="preserve"> </w:t>
      </w:r>
      <w:hyperlink w:history="true" r:id="rId424">
        <w:r>
          <w:rPr>
            <w:rFonts w:ascii="Microsoft YaHei" w:hAnsi="Microsoft YaHei" w:eastAsia="Microsoft YaHei" w:cs="Microsoft YaHei"/>
            <w:sz w:val="20"/>
            <w:szCs w:val="20"/>
            <w:spacing w:val="-2"/>
          </w:rPr>
          <w:t>https://home.kpmg.com/cn/en/home/abo</w:t>
        </w:r>
        <w:r>
          <w:rPr>
            <w:rFonts w:ascii="Microsoft YaHei" w:hAnsi="Microsoft YaHei" w:eastAsia="Microsoft YaHei" w:cs="Microsoft YaHei"/>
            <w:sz w:val="20"/>
            <w:szCs w:val="20"/>
            <w:spacing w:val="-3"/>
          </w:rPr>
          <w:t>ut/offices.html</w:t>
        </w:r>
      </w:hyperlink>
    </w:p>
    <w:p>
      <w:pPr>
        <w:pStyle w:val="BodyText"/>
        <w:spacing w:line="364" w:lineRule="auto"/>
        <w:rPr/>
      </w:pPr>
      <w:r/>
    </w:p>
    <w:p>
      <w:pPr>
        <w:ind w:left="152" w:right="1666" w:firstLine="2"/>
        <w:spacing w:before="64" w:line="187" w:lineRule="auto"/>
        <w:jc w:val="both"/>
        <w:rPr>
          <w:rFonts w:ascii="Microsoft YaHei" w:hAnsi="Microsoft YaHei" w:eastAsia="Microsoft YaHei" w:cs="Microsoft YaHei"/>
          <w:sz w:val="15"/>
          <w:szCs w:val="15"/>
        </w:rPr>
      </w:pPr>
      <w:r>
        <w:rPr>
          <w:rFonts w:ascii="Microsoft YaHei" w:hAnsi="Microsoft YaHei" w:eastAsia="Microsoft YaHei" w:cs="Microsoft YaHei"/>
          <w:sz w:val="15"/>
          <w:szCs w:val="15"/>
          <w:spacing w:val="10"/>
        </w:rPr>
        <w:t>本刊物所载资料仅供一般参考用，并非针对任何个人或</w:t>
      </w:r>
      <w:r>
        <w:rPr>
          <w:rFonts w:ascii="Microsoft YaHei" w:hAnsi="Microsoft YaHei" w:eastAsia="Microsoft YaHei" w:cs="Microsoft YaHei"/>
          <w:sz w:val="15"/>
          <w:szCs w:val="15"/>
          <w:spacing w:val="9"/>
        </w:rPr>
        <w:t>团体的个别情况而提供。虽然本所已致力提供准确和及时的数据，但本所不能</w:t>
      </w:r>
      <w:r>
        <w:rPr>
          <w:rFonts w:ascii="Microsoft YaHei" w:hAnsi="Microsoft YaHei" w:eastAsia="Microsoft YaHei" w:cs="Microsoft YaHei"/>
          <w:sz w:val="15"/>
          <w:szCs w:val="15"/>
        </w:rPr>
        <w:t xml:space="preserve"> </w:t>
      </w:r>
      <w:r>
        <w:rPr>
          <w:rFonts w:ascii="Microsoft YaHei" w:hAnsi="Microsoft YaHei" w:eastAsia="Microsoft YaHei" w:cs="Microsoft YaHei"/>
          <w:sz w:val="15"/>
          <w:szCs w:val="15"/>
          <w:spacing w:val="10"/>
        </w:rPr>
        <w:t>保证这些数据在阁下收取本刊物时或日后仍然准确。任何人士</w:t>
      </w:r>
      <w:r>
        <w:rPr>
          <w:rFonts w:ascii="Microsoft YaHei" w:hAnsi="Microsoft YaHei" w:eastAsia="Microsoft YaHei" w:cs="Microsoft YaHei"/>
          <w:sz w:val="15"/>
          <w:szCs w:val="15"/>
          <w:spacing w:val="9"/>
        </w:rPr>
        <w:t>不应在没有详细考虑相关的情况及获取适当的专业意见下依据本刊物所</w:t>
      </w:r>
      <w:r>
        <w:rPr>
          <w:rFonts w:ascii="Microsoft YaHei" w:hAnsi="Microsoft YaHei" w:eastAsia="Microsoft YaHei" w:cs="Microsoft YaHei"/>
          <w:sz w:val="15"/>
          <w:szCs w:val="15"/>
        </w:rPr>
        <w:t xml:space="preserve"> </w:t>
      </w:r>
      <w:r>
        <w:rPr>
          <w:rFonts w:ascii="Microsoft YaHei" w:hAnsi="Microsoft YaHei" w:eastAsia="Microsoft YaHei" w:cs="Microsoft YaHei"/>
          <w:sz w:val="15"/>
          <w:szCs w:val="15"/>
          <w:spacing w:val="2"/>
        </w:rPr>
        <w:t>载资料行事。</w:t>
      </w:r>
    </w:p>
    <w:p>
      <w:pPr>
        <w:ind w:left="151" w:right="1520" w:firstLine="4"/>
        <w:spacing w:before="117" w:line="188"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5"/>
        </w:rPr>
        <w:t>© 2023 毕马威华振会计师事务所(特殊普通合伙) — 中国合伙制会计师</w:t>
      </w:r>
      <w:r>
        <w:rPr>
          <w:rFonts w:ascii="Microsoft YaHei" w:hAnsi="Microsoft YaHei" w:eastAsia="Microsoft YaHei" w:cs="Microsoft YaHei"/>
          <w:sz w:val="15"/>
          <w:szCs w:val="15"/>
          <w:spacing w:val="4"/>
        </w:rPr>
        <w:t>事务所， 毕马威企业咨询 (中国) 有限公司 — 中国有限责任公司，</w:t>
      </w:r>
      <w:r>
        <w:rPr>
          <w:rFonts w:ascii="Microsoft YaHei" w:hAnsi="Microsoft YaHei" w:eastAsia="Microsoft YaHei" w:cs="Microsoft YaHei"/>
          <w:sz w:val="15"/>
          <w:szCs w:val="15"/>
        </w:rPr>
        <w:t xml:space="preserve"> </w:t>
      </w:r>
      <w:r>
        <w:rPr>
          <w:rFonts w:ascii="Microsoft YaHei" w:hAnsi="Microsoft YaHei" w:eastAsia="Microsoft YaHei" w:cs="Microsoft YaHei"/>
          <w:sz w:val="15"/>
          <w:szCs w:val="15"/>
          <w:spacing w:val="7"/>
        </w:rPr>
        <w:t>毕马威会计师事务所 — 澳门特别行政区合伙制事务所，及毕马威会计师事务所</w:t>
      </w:r>
      <w:r>
        <w:rPr>
          <w:rFonts w:ascii="Microsoft YaHei" w:hAnsi="Microsoft YaHei" w:eastAsia="Microsoft YaHei" w:cs="Microsoft YaHei"/>
          <w:sz w:val="15"/>
          <w:szCs w:val="15"/>
          <w:spacing w:val="25"/>
        </w:rPr>
        <w:t xml:space="preserve"> </w:t>
      </w:r>
      <w:r>
        <w:rPr>
          <w:rFonts w:ascii="Microsoft YaHei" w:hAnsi="Microsoft YaHei" w:eastAsia="Microsoft YaHei" w:cs="Microsoft YaHei"/>
          <w:sz w:val="15"/>
          <w:szCs w:val="15"/>
          <w:spacing w:val="7"/>
        </w:rPr>
        <w:t>— 香港特别行政区合伙制事务所，均是与英国私营担</w:t>
      </w:r>
      <w:r>
        <w:rPr>
          <w:rFonts w:ascii="Microsoft YaHei" w:hAnsi="Microsoft YaHei" w:eastAsia="Microsoft YaHei" w:cs="Microsoft YaHei"/>
          <w:sz w:val="15"/>
          <w:szCs w:val="15"/>
        </w:rPr>
        <w:t xml:space="preserve">     </w:t>
      </w:r>
      <w:r>
        <w:rPr>
          <w:rFonts w:ascii="Microsoft YaHei" w:hAnsi="Microsoft YaHei" w:eastAsia="Microsoft YaHei" w:cs="Microsoft YaHei"/>
          <w:sz w:val="15"/>
          <w:szCs w:val="15"/>
          <w:spacing w:val="8"/>
        </w:rPr>
        <w:t>保有限公司 — 毕马威国际有限公司相关联的独立成员所全球性组织中的成员。版权所有，不得转载。在</w:t>
      </w:r>
      <w:r>
        <w:rPr>
          <w:rFonts w:ascii="Microsoft YaHei" w:hAnsi="Microsoft YaHei" w:eastAsia="Microsoft YaHei" w:cs="Microsoft YaHei"/>
          <w:sz w:val="15"/>
          <w:szCs w:val="15"/>
          <w:spacing w:val="7"/>
        </w:rPr>
        <w:t>中国印刷。</w:t>
      </w:r>
    </w:p>
    <w:p>
      <w:pPr>
        <w:ind w:left="156"/>
        <w:spacing w:before="116" w:line="184"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8"/>
        </w:rPr>
        <w:t>毕马威的名称和标识均为毕马威全球性组织中的独立成员所经许可后使用的商标。</w:t>
      </w:r>
    </w:p>
    <w:sectPr>
      <w:pgSz w:w="12245" w:h="17180"/>
      <w:pgMar w:top="400" w:right="0" w:bottom="0" w:left="1175"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drawing>
        <wp:anchor distT="0" distB="0" distL="0" distR="0" simplePos="0" relativeHeight="251658240" behindDoc="1" locked="0" layoutInCell="0" allowOverlap="1">
          <wp:simplePos x="0" y="0"/>
          <wp:positionH relativeFrom="page">
            <wp:posOffset>0</wp:posOffset>
          </wp:positionH>
          <wp:positionV relativeFrom="page">
            <wp:posOffset>0</wp:posOffset>
          </wp:positionV>
          <wp:extent cx="7775447" cy="10908792"/>
          <wp:effectExtent l="0" t="0" r="0" b="0"/>
          <wp:wrapNone/>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7775447" cy="10908792"/>
                  </a:xfrm>
                  <a:prstGeom prst="rect">
                    <a:avLst/>
                  </a:prstGeom>
                </pic:spPr>
              </pic:pic>
            </a:graphicData>
          </a:graphic>
        </wp:anchor>
      </w:drawing>
    </w:r>
    <w:r>
      <w:drawing>
        <wp:anchor distT="0" distB="0" distL="0" distR="0" simplePos="0" relativeHeight="251659264" behindDoc="1" locked="0" layoutInCell="0" allowOverlap="1">
          <wp:simplePos x="0" y="0"/>
          <wp:positionH relativeFrom="page">
            <wp:posOffset>0</wp:posOffset>
          </wp:positionH>
          <wp:positionV relativeFrom="page">
            <wp:posOffset>3048</wp:posOffset>
          </wp:positionV>
          <wp:extent cx="7775447" cy="10902682"/>
          <wp:effectExtent l="0" t="0" r="0" b="0"/>
          <wp:wrapNone/>
          <wp:docPr id="4" name="IM 4"/>
          <wp:cNvGraphicFramePr/>
          <a:graphic>
            <a:graphicData uri="http://schemas.openxmlformats.org/drawingml/2006/picture">
              <pic:pic>
                <pic:nvPicPr>
                  <pic:cNvPr id="4" name="IM 4"/>
                  <pic:cNvPicPr/>
                </pic:nvPicPr>
                <pic:blipFill>
                  <a:blip r:embed="rId2"/>
                  <a:stretch>
                    <a:fillRect/>
                  </a:stretch>
                </pic:blipFill>
                <pic:spPr>
                  <a:xfrm rot="0">
                    <a:off x="0" y="0"/>
                    <a:ext cx="7775447" cy="10902682"/>
                  </a:xfrm>
                  <a:prstGeom prst="rect">
                    <a:avLst/>
                  </a:prstGeom>
                </pic:spPr>
              </pic:pic>
            </a:graphicData>
          </a:graphic>
        </wp:anchor>
      </w:drawing>
    </w: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rect id="_x0000_s80" style="position:absolute;margin-left:0pt;margin-top:0pt;mso-position-vertical-relative:page;mso-position-horizontal-relative:page;width:612.25pt;height:859pt;z-index:251660288;" o:allowincell="f" fillcolor="#00C0AE" filled="true" stroked="false"/>
      </w:pict>
    </w:r>
    <w:r>
      <w:pict>
        <v:shape id="_x0000_s82" style="position:absolute;margin-left:129.61pt;margin-top:833.561pt;mso-position-vertical-relative:page;mso-position-horizontal-relative:page;width:421.55pt;height:15.6pt;z-index:251661312;" o:allowincell="f" filled="false" stroked="false" type="#_x0000_t202">
          <v:fill on="false"/>
          <v:stroke on="false"/>
          <v:path/>
          <v:imagedata o:title=""/>
          <o:lock v:ext="edit" aspectratio="false"/>
          <v:textbox inset="0mm,0mm,0mm,0mm">
            <w:txbxContent>
              <w:p>
                <w:pPr>
                  <w:ind w:left="1284"/>
                  <w:spacing w:before="19" w:line="165"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rPr>
                  <w:t>中国合伙制会计师事务所，毕马威企业咨询</w:t>
                </w:r>
                <w:r>
                  <w:rPr>
                    <w:rFonts w:ascii="Microsoft YaHei" w:hAnsi="Microsoft YaHei" w:eastAsia="Microsoft YaHei" w:cs="Microsoft YaHei"/>
                    <w:sz w:val="11"/>
                    <w:szCs w:val="11"/>
                    <w:color w:val="BFBFBF"/>
                    <w:spacing w:val="-3"/>
                  </w:rPr>
                  <w:t xml:space="preserve"> </w:t>
                </w:r>
                <w:r>
                  <w:rPr>
                    <w:rFonts w:ascii="Microsoft YaHei" w:hAnsi="Microsoft YaHei" w:eastAsia="Microsoft YaHei" w:cs="Microsoft YaHei"/>
                    <w:sz w:val="11"/>
                    <w:szCs w:val="11"/>
                    <w:color w:val="BFBFBF"/>
                  </w:rPr>
                  <w:t>(                           中国有限责任公司，毕马威会计师事务所    澳门特别行政区合伙制事务所，及毕马威</w:t>
                </w:r>
              </w:p>
              <w:p>
                <w:pPr>
                  <w:ind w:left="20"/>
                  <w:spacing w:line="180"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rPr>
                  <w:t>香港特别行政区合伙制事务所，均是与英国私营担保有限公司    毕马威国际有限公司相关联的独立成员所全球性组织中的成员。版权所有，不得转载。在中国印刷。</w:t>
                </w:r>
              </w:p>
            </w:txbxContent>
          </v:textbox>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_x0000_s98" style="position:absolute;margin-left:447.783pt;margin-top:35.1079pt;mso-position-vertical-relative:page;mso-position-horizontal-relative:page;width:92.55pt;height:13.45pt;z-index:251662336;" o:allowincell="f" filled="false" stroked="false" type="#_x0000_t202">
          <v:fill on="false"/>
          <v:stroke on="false"/>
          <v:path/>
          <v:imagedata o:title=""/>
          <o:lock v:ext="edit" aspectratio="false"/>
          <v:textbox inset="0mm,0mm,0mm,0mm">
            <w:txbxContent>
              <w:p>
                <w:pPr>
                  <w:ind w:left="20"/>
                  <w:spacing w:before="19" w:line="178" w:lineRule="auto"/>
                  <w:outlineLvl w:val="0"/>
                  <w:rPr>
                    <w:rFonts w:ascii="Microsoft YaHei" w:hAnsi="Microsoft YaHei" w:eastAsia="Microsoft YaHei" w:cs="Microsoft YaHei"/>
                    <w:sz w:val="18"/>
                    <w:szCs w:val="18"/>
                  </w:rPr>
                </w:pPr>
                <w:r>
                  <w:rPr>
                    <w:rFonts w:ascii="Microsoft YaHei" w:hAnsi="Microsoft YaHei" w:eastAsia="Microsoft YaHei" w:cs="Microsoft YaHei"/>
                    <w:sz w:val="18"/>
                    <w:szCs w:val="18"/>
                    <w:color w:val="A8A8A8"/>
                    <w:spacing w:val="1"/>
                  </w:rPr>
                  <w:t>新型储能助力能源转型</w:t>
                </w:r>
              </w:p>
            </w:txbxContent>
          </v:textbox>
        </v:shape>
      </w:pict>
    </w:r>
    <w:r>
      <w:pict>
        <v:shape id="_x0000_s100" style="position:absolute;margin-left:129.61pt;margin-top:833.561pt;mso-position-vertical-relative:page;mso-position-horizontal-relative:page;width:399.6pt;height:15.6pt;z-index:251663360;" o:allowincell="f" filled="false" stroked="false" type="#_x0000_t202">
          <v:fill on="false"/>
          <v:stroke on="false"/>
          <v:path/>
          <v:imagedata o:title=""/>
          <o:lock v:ext="edit" aspectratio="false"/>
          <v:textbox inset="0mm,0mm,0mm,0mm">
            <w:txbxContent>
              <w:p>
                <w:pPr>
                  <w:ind w:left="1284"/>
                  <w:spacing w:before="19" w:line="165"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spacing w:val="-1"/>
                  </w:rPr>
                  <w:t>中国合伙制会计师事务所，毕马威企业咨询</w:t>
                </w:r>
              </w:p>
              <w:p>
                <w:pPr>
                  <w:ind w:left="20"/>
                  <w:spacing w:line="180" w:lineRule="auto"/>
                  <w:rPr>
                    <w:rFonts w:ascii="Microsoft YaHei" w:hAnsi="Microsoft YaHei" w:eastAsia="Microsoft YaHei" w:cs="Microsoft YaHei"/>
                    <w:sz w:val="11"/>
                    <w:szCs w:val="11"/>
                  </w:rPr>
                </w:pPr>
                <w:r>
                  <w:rPr>
                    <w:rFonts w:ascii="Microsoft YaHei" w:hAnsi="Microsoft YaHei" w:eastAsia="Microsoft YaHei" w:cs="Microsoft YaHei"/>
                    <w:sz w:val="11"/>
                    <w:szCs w:val="11"/>
                    <w:color w:val="BFBFBF"/>
                  </w:rPr>
                  <w:t>香港特别行政区合伙制事务所，均是与英国私营担保有限公司    毕马威国际有限公司相关联的独立成员所全球性组织中的成员。版权所有，不得转载。在中国印刷。</w:t>
                </w:r>
              </w:p>
            </w:txbxContent>
          </v:textbox>
        </v:shape>
      </w:pict>
    </w: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Microsoft YaHei" w:hAnsi="Microsoft YaHei" w:eastAsia="Microsoft YaHei" w:cs="Microsoft YaHei"/>
      <w:sz w:val="22"/>
      <w:szCs w:val="22"/>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jpeg"/><Relationship Id="rId92" Type="http://schemas.openxmlformats.org/officeDocument/2006/relationships/image" Target="media/image83.jpeg"/><Relationship Id="rId91" Type="http://schemas.openxmlformats.org/officeDocument/2006/relationships/image" Target="media/image82.jpeg"/><Relationship Id="rId90" Type="http://schemas.openxmlformats.org/officeDocument/2006/relationships/image" Target="media/image81.jpeg"/><Relationship Id="rId9" Type="http://schemas.openxmlformats.org/officeDocument/2006/relationships/image" Target="media/image9.png"/><Relationship Id="rId89" Type="http://schemas.openxmlformats.org/officeDocument/2006/relationships/image" Target="media/image80.jpe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image" Target="media/image8.png"/><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hyperlink" Target="https://chuneng.in-en.com/html/chunengy-8682.shtml" TargetMode="External"/><Relationship Id="rId73" Type="http://schemas.openxmlformats.org/officeDocument/2006/relationships/hyperlink" Target="https://www.gg-lb.com/art-44652.html" TargetMode="External"/><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header" Target="header2.xml"/><Relationship Id="rId69" Type="http://schemas.openxmlformats.org/officeDocument/2006/relationships/image" Target="media/image62.png"/><Relationship Id="rId68" Type="http://schemas.openxmlformats.org/officeDocument/2006/relationships/hyperlink" Target="https://cn.solarbe.com/news/20221101/57114.html" TargetMode="External"/><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hyperlink" Target="http://www.nea.gov.cn/2022-02/11/c" TargetMode="External"/><Relationship Id="rId61" Type="http://schemas.openxmlformats.org/officeDocument/2006/relationships/hyperlink" Target="http://www.nea.gov.cn/2021-12/31/c" TargetMode="External"/><Relationship Id="rId60" Type="http://schemas.openxmlformats.org/officeDocument/2006/relationships/hyperlink" Target="http://www.hydropower.org.cn/showNewsDetail.asp?nsId=32550" TargetMode="External"/><Relationship Id="rId6" Type="http://schemas.openxmlformats.org/officeDocument/2006/relationships/image" Target="media/image7.png"/><Relationship Id="rId59" Type="http://schemas.openxmlformats.org/officeDocument/2006/relationships/hyperlink" Target="https://news.bjx.com.cn/html/20220627/1236247.shtml" TargetMode="External"/><Relationship Id="rId58" Type="http://schemas.openxmlformats.org/officeDocument/2006/relationships/image" Target="media/image56.png"/><Relationship Id="rId57" Type="http://schemas.openxmlformats.org/officeDocument/2006/relationships/image" Target="media/image55.png"/><Relationship Id="rId56" Type="http://schemas.openxmlformats.org/officeDocument/2006/relationships/image" Target="media/image54.png"/><Relationship Id="rId55" Type="http://schemas.openxmlformats.org/officeDocument/2006/relationships/image" Target="media/image53.png"/><Relationship Id="rId54" Type="http://schemas.openxmlformats.org/officeDocument/2006/relationships/image" Target="media/image52.png"/><Relationship Id="rId53" Type="http://schemas.openxmlformats.org/officeDocument/2006/relationships/image" Target="media/image51.png"/><Relationship Id="rId52" Type="http://schemas.openxmlformats.org/officeDocument/2006/relationships/image" Target="media/image50.png"/><Relationship Id="rId51" Type="http://schemas.openxmlformats.org/officeDocument/2006/relationships/image" Target="media/image49.png"/><Relationship Id="rId50" Type="http://schemas.openxmlformats.org/officeDocument/2006/relationships/image" Target="media/image48.png"/><Relationship Id="rId5" Type="http://schemas.openxmlformats.org/officeDocument/2006/relationships/image" Target="media/image6.png"/><Relationship Id="rId49" Type="http://schemas.openxmlformats.org/officeDocument/2006/relationships/image" Target="media/image47.png"/><Relationship Id="rId48" Type="http://schemas.openxmlformats.org/officeDocument/2006/relationships/image" Target="media/image46.png"/><Relationship Id="rId47" Type="http://schemas.openxmlformats.org/officeDocument/2006/relationships/image" Target="media/image45.png"/><Relationship Id="rId46" Type="http://schemas.openxmlformats.org/officeDocument/2006/relationships/image" Target="media/image44.png"/><Relationship Id="rId45" Type="http://schemas.openxmlformats.org/officeDocument/2006/relationships/image" Target="media/image43.png"/><Relationship Id="rId44" Type="http://schemas.openxmlformats.org/officeDocument/2006/relationships/header" Target="header4.xml"/><Relationship Id="rId43" Type="http://schemas.openxmlformats.org/officeDocument/2006/relationships/image" Target="media/image42.png"/><Relationship Id="rId427" Type="http://schemas.openxmlformats.org/officeDocument/2006/relationships/fontTable" Target="fontTable.xml"/><Relationship Id="rId426" Type="http://schemas.openxmlformats.org/officeDocument/2006/relationships/styles" Target="styles.xml"/><Relationship Id="rId425" Type="http://schemas.openxmlformats.org/officeDocument/2006/relationships/settings" Target="settings.xml"/><Relationship Id="rId424" Type="http://schemas.openxmlformats.org/officeDocument/2006/relationships/hyperlink" Target="https://home.kpmg.com/cn/en/home/about/offices.html" TargetMode="External"/><Relationship Id="rId423" Type="http://schemas.openxmlformats.org/officeDocument/2006/relationships/image" Target="media/image387.jpeg"/><Relationship Id="rId422" Type="http://schemas.openxmlformats.org/officeDocument/2006/relationships/image" Target="media/image386.png"/><Relationship Id="rId421" Type="http://schemas.openxmlformats.org/officeDocument/2006/relationships/image" Target="media/image385.jpeg"/><Relationship Id="rId420" Type="http://schemas.openxmlformats.org/officeDocument/2006/relationships/image" Target="media/image384.png"/><Relationship Id="rId42" Type="http://schemas.openxmlformats.org/officeDocument/2006/relationships/image" Target="media/image41.png"/><Relationship Id="rId419" Type="http://schemas.openxmlformats.org/officeDocument/2006/relationships/image" Target="media/image383.png"/><Relationship Id="rId418" Type="http://schemas.openxmlformats.org/officeDocument/2006/relationships/image" Target="media/image382.png"/><Relationship Id="rId417" Type="http://schemas.openxmlformats.org/officeDocument/2006/relationships/image" Target="media/image381.png"/><Relationship Id="rId416" Type="http://schemas.openxmlformats.org/officeDocument/2006/relationships/image" Target="media/image380.png"/><Relationship Id="rId415" Type="http://schemas.openxmlformats.org/officeDocument/2006/relationships/image" Target="media/image379.png"/><Relationship Id="rId414" Type="http://schemas.openxmlformats.org/officeDocument/2006/relationships/image" Target="media/image378.png"/><Relationship Id="rId413" Type="http://schemas.openxmlformats.org/officeDocument/2006/relationships/image" Target="media/image377.png"/><Relationship Id="rId412" Type="http://schemas.openxmlformats.org/officeDocument/2006/relationships/image" Target="media/image376.png"/><Relationship Id="rId411" Type="http://schemas.openxmlformats.org/officeDocument/2006/relationships/image" Target="media/image375.png"/><Relationship Id="rId410" Type="http://schemas.openxmlformats.org/officeDocument/2006/relationships/image" Target="media/image374.png"/><Relationship Id="rId41" Type="http://schemas.openxmlformats.org/officeDocument/2006/relationships/header" Target="header3.xml"/><Relationship Id="rId409" Type="http://schemas.openxmlformats.org/officeDocument/2006/relationships/image" Target="media/image373.png"/><Relationship Id="rId408" Type="http://schemas.openxmlformats.org/officeDocument/2006/relationships/image" Target="media/image372.png"/><Relationship Id="rId407" Type="http://schemas.openxmlformats.org/officeDocument/2006/relationships/image" Target="media/image371.png"/><Relationship Id="rId406" Type="http://schemas.openxmlformats.org/officeDocument/2006/relationships/image" Target="media/image370.png"/><Relationship Id="rId405" Type="http://schemas.openxmlformats.org/officeDocument/2006/relationships/image" Target="media/image369.png"/><Relationship Id="rId404" Type="http://schemas.openxmlformats.org/officeDocument/2006/relationships/image" Target="media/image368.png"/><Relationship Id="rId403" Type="http://schemas.openxmlformats.org/officeDocument/2006/relationships/image" Target="media/image367.png"/><Relationship Id="rId402" Type="http://schemas.openxmlformats.org/officeDocument/2006/relationships/image" Target="media/image366.png"/><Relationship Id="rId401" Type="http://schemas.openxmlformats.org/officeDocument/2006/relationships/image" Target="media/image365.png"/><Relationship Id="rId400" Type="http://schemas.openxmlformats.org/officeDocument/2006/relationships/image" Target="media/image364.png"/><Relationship Id="rId40" Type="http://schemas.openxmlformats.org/officeDocument/2006/relationships/image" Target="media/image40.png"/><Relationship Id="rId4" Type="http://schemas.openxmlformats.org/officeDocument/2006/relationships/image" Target="media/image5.png"/><Relationship Id="rId399" Type="http://schemas.openxmlformats.org/officeDocument/2006/relationships/image" Target="media/image363.png"/><Relationship Id="rId398" Type="http://schemas.openxmlformats.org/officeDocument/2006/relationships/image" Target="media/image362.png"/><Relationship Id="rId397" Type="http://schemas.openxmlformats.org/officeDocument/2006/relationships/image" Target="media/image361.png"/><Relationship Id="rId396" Type="http://schemas.openxmlformats.org/officeDocument/2006/relationships/image" Target="media/image360.png"/><Relationship Id="rId395" Type="http://schemas.openxmlformats.org/officeDocument/2006/relationships/image" Target="media/image359.png"/><Relationship Id="rId394" Type="http://schemas.openxmlformats.org/officeDocument/2006/relationships/image" Target="media/image358.png"/><Relationship Id="rId393" Type="http://schemas.openxmlformats.org/officeDocument/2006/relationships/image" Target="media/image357.png"/><Relationship Id="rId392" Type="http://schemas.openxmlformats.org/officeDocument/2006/relationships/image" Target="media/image356.png"/><Relationship Id="rId391" Type="http://schemas.openxmlformats.org/officeDocument/2006/relationships/image" Target="media/image355.png"/><Relationship Id="rId390" Type="http://schemas.openxmlformats.org/officeDocument/2006/relationships/image" Target="media/image354.png"/><Relationship Id="rId39" Type="http://schemas.openxmlformats.org/officeDocument/2006/relationships/image" Target="media/image39.png"/><Relationship Id="rId389" Type="http://schemas.openxmlformats.org/officeDocument/2006/relationships/image" Target="media/image353.png"/><Relationship Id="rId388" Type="http://schemas.openxmlformats.org/officeDocument/2006/relationships/hyperlink" Target="https://new.qq.com/rain/a/20220318A0BS0F00" TargetMode="External"/><Relationship Id="rId387" Type="http://schemas.openxmlformats.org/officeDocument/2006/relationships/image" Target="media/image352.png"/><Relationship Id="rId386" Type="http://schemas.openxmlformats.org/officeDocument/2006/relationships/image" Target="media/image351.png"/><Relationship Id="rId385" Type="http://schemas.openxmlformats.org/officeDocument/2006/relationships/image" Target="media/image350.png"/><Relationship Id="rId384" Type="http://schemas.openxmlformats.org/officeDocument/2006/relationships/image" Target="media/image349.png"/><Relationship Id="rId383" Type="http://schemas.openxmlformats.org/officeDocument/2006/relationships/image" Target="media/image348.png"/><Relationship Id="rId382" Type="http://schemas.openxmlformats.org/officeDocument/2006/relationships/image" Target="media/image347.png"/><Relationship Id="rId381" Type="http://schemas.openxmlformats.org/officeDocument/2006/relationships/image" Target="media/image346.png"/><Relationship Id="rId380" Type="http://schemas.openxmlformats.org/officeDocument/2006/relationships/image" Target="media/image345.png"/><Relationship Id="rId38" Type="http://schemas.openxmlformats.org/officeDocument/2006/relationships/image" Target="media/image38.png"/><Relationship Id="rId379" Type="http://schemas.openxmlformats.org/officeDocument/2006/relationships/image" Target="media/image344.png"/><Relationship Id="rId378" Type="http://schemas.openxmlformats.org/officeDocument/2006/relationships/image" Target="media/image343.png"/><Relationship Id="rId377" Type="http://schemas.openxmlformats.org/officeDocument/2006/relationships/image" Target="media/image342.png"/><Relationship Id="rId376" Type="http://schemas.openxmlformats.org/officeDocument/2006/relationships/image" Target="media/image341.png"/><Relationship Id="rId375" Type="http://schemas.openxmlformats.org/officeDocument/2006/relationships/image" Target="media/image340.png"/><Relationship Id="rId374" Type="http://schemas.openxmlformats.org/officeDocument/2006/relationships/image" Target="media/image339.png"/><Relationship Id="rId373" Type="http://schemas.openxmlformats.org/officeDocument/2006/relationships/image" Target="media/image338.png"/><Relationship Id="rId372" Type="http://schemas.openxmlformats.org/officeDocument/2006/relationships/image" Target="media/image337.png"/><Relationship Id="rId371" Type="http://schemas.openxmlformats.org/officeDocument/2006/relationships/image" Target="media/image336.png"/><Relationship Id="rId370" Type="http://schemas.openxmlformats.org/officeDocument/2006/relationships/image" Target="media/image335.png"/><Relationship Id="rId37" Type="http://schemas.openxmlformats.org/officeDocument/2006/relationships/image" Target="media/image37.png"/><Relationship Id="rId369" Type="http://schemas.openxmlformats.org/officeDocument/2006/relationships/image" Target="media/image334.png"/><Relationship Id="rId368" Type="http://schemas.openxmlformats.org/officeDocument/2006/relationships/image" Target="media/image333.png"/><Relationship Id="rId367" Type="http://schemas.openxmlformats.org/officeDocument/2006/relationships/image" Target="media/image332.png"/><Relationship Id="rId366" Type="http://schemas.openxmlformats.org/officeDocument/2006/relationships/image" Target="media/image331.png"/><Relationship Id="rId365" Type="http://schemas.openxmlformats.org/officeDocument/2006/relationships/image" Target="media/image330.png"/><Relationship Id="rId364" Type="http://schemas.openxmlformats.org/officeDocument/2006/relationships/image" Target="media/image329.png"/><Relationship Id="rId363" Type="http://schemas.openxmlformats.org/officeDocument/2006/relationships/image" Target="media/image328.png"/><Relationship Id="rId362" Type="http://schemas.openxmlformats.org/officeDocument/2006/relationships/image" Target="media/image327.png"/><Relationship Id="rId361" Type="http://schemas.openxmlformats.org/officeDocument/2006/relationships/image" Target="media/image326.png"/><Relationship Id="rId360" Type="http://schemas.openxmlformats.org/officeDocument/2006/relationships/image" Target="media/image325.png"/><Relationship Id="rId36" Type="http://schemas.openxmlformats.org/officeDocument/2006/relationships/image" Target="media/image36.png"/><Relationship Id="rId359" Type="http://schemas.openxmlformats.org/officeDocument/2006/relationships/image" Target="media/image324.png"/><Relationship Id="rId358" Type="http://schemas.openxmlformats.org/officeDocument/2006/relationships/image" Target="media/image323.png"/><Relationship Id="rId357" Type="http://schemas.openxmlformats.org/officeDocument/2006/relationships/image" Target="media/image322.png"/><Relationship Id="rId356" Type="http://schemas.openxmlformats.org/officeDocument/2006/relationships/image" Target="media/image321.png"/><Relationship Id="rId355" Type="http://schemas.openxmlformats.org/officeDocument/2006/relationships/image" Target="media/image320.png"/><Relationship Id="rId354" Type="http://schemas.openxmlformats.org/officeDocument/2006/relationships/image" Target="media/image319.png"/><Relationship Id="rId353" Type="http://schemas.openxmlformats.org/officeDocument/2006/relationships/image" Target="media/image318.png"/><Relationship Id="rId352" Type="http://schemas.openxmlformats.org/officeDocument/2006/relationships/image" Target="media/image317.png"/><Relationship Id="rId351" Type="http://schemas.openxmlformats.org/officeDocument/2006/relationships/image" Target="media/image316.png"/><Relationship Id="rId350" Type="http://schemas.openxmlformats.org/officeDocument/2006/relationships/image" Target="media/image315.png"/><Relationship Id="rId35" Type="http://schemas.openxmlformats.org/officeDocument/2006/relationships/image" Target="media/image35.png"/><Relationship Id="rId349" Type="http://schemas.openxmlformats.org/officeDocument/2006/relationships/image" Target="media/image314.png"/><Relationship Id="rId348" Type="http://schemas.openxmlformats.org/officeDocument/2006/relationships/image" Target="media/image313.png"/><Relationship Id="rId347" Type="http://schemas.openxmlformats.org/officeDocument/2006/relationships/image" Target="media/image312.png"/><Relationship Id="rId346" Type="http://schemas.openxmlformats.org/officeDocument/2006/relationships/image" Target="media/image311.png"/><Relationship Id="rId345" Type="http://schemas.openxmlformats.org/officeDocument/2006/relationships/image" Target="media/image310.jpeg"/><Relationship Id="rId344" Type="http://schemas.openxmlformats.org/officeDocument/2006/relationships/image" Target="media/image309.png"/><Relationship Id="rId343" Type="http://schemas.openxmlformats.org/officeDocument/2006/relationships/image" Target="media/image308.png"/><Relationship Id="rId342" Type="http://schemas.openxmlformats.org/officeDocument/2006/relationships/image" Target="media/image307.png"/><Relationship Id="rId341" Type="http://schemas.openxmlformats.org/officeDocument/2006/relationships/image" Target="media/image306.png"/><Relationship Id="rId340" Type="http://schemas.openxmlformats.org/officeDocument/2006/relationships/image" Target="media/image305.png"/><Relationship Id="rId34" Type="http://schemas.openxmlformats.org/officeDocument/2006/relationships/image" Target="media/image34.png"/><Relationship Id="rId339" Type="http://schemas.openxmlformats.org/officeDocument/2006/relationships/image" Target="media/image304.png"/><Relationship Id="rId338" Type="http://schemas.openxmlformats.org/officeDocument/2006/relationships/image" Target="media/image303.png"/><Relationship Id="rId337" Type="http://schemas.openxmlformats.org/officeDocument/2006/relationships/image" Target="media/image302.png"/><Relationship Id="rId336" Type="http://schemas.openxmlformats.org/officeDocument/2006/relationships/image" Target="media/image301.png"/><Relationship Id="rId335" Type="http://schemas.openxmlformats.org/officeDocument/2006/relationships/image" Target="media/image300.png"/><Relationship Id="rId334" Type="http://schemas.openxmlformats.org/officeDocument/2006/relationships/image" Target="media/image299.png"/><Relationship Id="rId333" Type="http://schemas.openxmlformats.org/officeDocument/2006/relationships/image" Target="media/image298.png"/><Relationship Id="rId332" Type="http://schemas.openxmlformats.org/officeDocument/2006/relationships/image" Target="media/image297.png"/><Relationship Id="rId331" Type="http://schemas.openxmlformats.org/officeDocument/2006/relationships/hyperlink" Target="http://de.escn.com.cn/news/show-1456093.html" TargetMode="External"/><Relationship Id="rId330" Type="http://schemas.openxmlformats.org/officeDocument/2006/relationships/image" Target="media/image296.png"/><Relationship Id="rId33" Type="http://schemas.openxmlformats.org/officeDocument/2006/relationships/image" Target="media/image33.png"/><Relationship Id="rId329" Type="http://schemas.openxmlformats.org/officeDocument/2006/relationships/image" Target="media/image295.png"/><Relationship Id="rId328" Type="http://schemas.openxmlformats.org/officeDocument/2006/relationships/hyperlink" Target="http://www.ce.cn/xwzx/gnsz/gdxw/202203/23/t20220323" TargetMode="External"/><Relationship Id="rId327" Type="http://schemas.openxmlformats.org/officeDocument/2006/relationships/image" Target="media/image294.png"/><Relationship Id="rId326" Type="http://schemas.openxmlformats.org/officeDocument/2006/relationships/image" Target="media/image293.png"/><Relationship Id="rId325" Type="http://schemas.openxmlformats.org/officeDocument/2006/relationships/image" Target="media/image292.png"/><Relationship Id="rId324" Type="http://schemas.openxmlformats.org/officeDocument/2006/relationships/image" Target="media/image291.png"/><Relationship Id="rId323" Type="http://schemas.openxmlformats.org/officeDocument/2006/relationships/image" Target="media/image290.png"/><Relationship Id="rId322" Type="http://schemas.openxmlformats.org/officeDocument/2006/relationships/image" Target="media/image289.png"/><Relationship Id="rId321" Type="http://schemas.openxmlformats.org/officeDocument/2006/relationships/image" Target="media/image288.png"/><Relationship Id="rId320" Type="http://schemas.openxmlformats.org/officeDocument/2006/relationships/image" Target="media/image287.png"/><Relationship Id="rId32" Type="http://schemas.openxmlformats.org/officeDocument/2006/relationships/image" Target="media/image32.png"/><Relationship Id="rId319" Type="http://schemas.openxmlformats.org/officeDocument/2006/relationships/image" Target="media/image286.png"/><Relationship Id="rId318" Type="http://schemas.openxmlformats.org/officeDocument/2006/relationships/image" Target="media/image285.png"/><Relationship Id="rId317" Type="http://schemas.openxmlformats.org/officeDocument/2006/relationships/image" Target="media/image284.png"/><Relationship Id="rId316" Type="http://schemas.openxmlformats.org/officeDocument/2006/relationships/hyperlink" Target="https://www.163.com/dy/article/DTJMD7NV0525VCKR.html" TargetMode="External"/><Relationship Id="rId315" Type="http://schemas.openxmlformats.org/officeDocument/2006/relationships/image" Target="media/image283.png"/><Relationship Id="rId314" Type="http://schemas.openxmlformats.org/officeDocument/2006/relationships/image" Target="media/image282.png"/><Relationship Id="rId313" Type="http://schemas.openxmlformats.org/officeDocument/2006/relationships/image" Target="media/image281.png"/><Relationship Id="rId312" Type="http://schemas.openxmlformats.org/officeDocument/2006/relationships/image" Target="media/image280.png"/><Relationship Id="rId311" Type="http://schemas.openxmlformats.org/officeDocument/2006/relationships/image" Target="media/image279.png"/><Relationship Id="rId310" Type="http://schemas.openxmlformats.org/officeDocument/2006/relationships/image" Target="media/image278.png"/><Relationship Id="rId31" Type="http://schemas.openxmlformats.org/officeDocument/2006/relationships/image" Target="media/image31.png"/><Relationship Id="rId309" Type="http://schemas.openxmlformats.org/officeDocument/2006/relationships/image" Target="media/image277.png"/><Relationship Id="rId308" Type="http://schemas.openxmlformats.org/officeDocument/2006/relationships/image" Target="media/image276.png"/><Relationship Id="rId307" Type="http://schemas.openxmlformats.org/officeDocument/2006/relationships/image" Target="media/image275.png"/><Relationship Id="rId306" Type="http://schemas.openxmlformats.org/officeDocument/2006/relationships/image" Target="media/image274.png"/><Relationship Id="rId305" Type="http://schemas.openxmlformats.org/officeDocument/2006/relationships/image" Target="media/image273.png"/><Relationship Id="rId304" Type="http://schemas.openxmlformats.org/officeDocument/2006/relationships/image" Target="media/image272.png"/><Relationship Id="rId303" Type="http://schemas.openxmlformats.org/officeDocument/2006/relationships/image" Target="media/image271.png"/><Relationship Id="rId302" Type="http://schemas.openxmlformats.org/officeDocument/2006/relationships/image" Target="media/image270.png"/><Relationship Id="rId301" Type="http://schemas.openxmlformats.org/officeDocument/2006/relationships/image" Target="media/image269.png"/><Relationship Id="rId300" Type="http://schemas.openxmlformats.org/officeDocument/2006/relationships/image" Target="media/image268.png"/><Relationship Id="rId30" Type="http://schemas.openxmlformats.org/officeDocument/2006/relationships/image" Target="media/image30.png"/><Relationship Id="rId3" Type="http://schemas.openxmlformats.org/officeDocument/2006/relationships/image" Target="media/image4.png"/><Relationship Id="rId299" Type="http://schemas.openxmlformats.org/officeDocument/2006/relationships/image" Target="media/image267.png"/><Relationship Id="rId298" Type="http://schemas.openxmlformats.org/officeDocument/2006/relationships/image" Target="media/image266.png"/><Relationship Id="rId297" Type="http://schemas.openxmlformats.org/officeDocument/2006/relationships/image" Target="media/image265.png"/><Relationship Id="rId296" Type="http://schemas.openxmlformats.org/officeDocument/2006/relationships/image" Target="media/image264.png"/><Relationship Id="rId295" Type="http://schemas.openxmlformats.org/officeDocument/2006/relationships/image" Target="media/image263.png"/><Relationship Id="rId294" Type="http://schemas.openxmlformats.org/officeDocument/2006/relationships/image" Target="media/image262.png"/><Relationship Id="rId293" Type="http://schemas.openxmlformats.org/officeDocument/2006/relationships/image" Target="media/image261.png"/><Relationship Id="rId292" Type="http://schemas.openxmlformats.org/officeDocument/2006/relationships/hyperlink" Target="https://zecar.com/resources/do-home-battery-storage-systems-make-financial-sense" TargetMode="External"/><Relationship Id="rId291" Type="http://schemas.openxmlformats.org/officeDocument/2006/relationships/image" Target="media/image260.png"/><Relationship Id="rId290" Type="http://schemas.openxmlformats.org/officeDocument/2006/relationships/image" Target="media/image259.png"/><Relationship Id="rId29" Type="http://schemas.openxmlformats.org/officeDocument/2006/relationships/image" Target="media/image29.png"/><Relationship Id="rId289" Type="http://schemas.openxmlformats.org/officeDocument/2006/relationships/image" Target="media/image258.png"/><Relationship Id="rId288" Type="http://schemas.openxmlformats.org/officeDocument/2006/relationships/image" Target="media/image257.png"/><Relationship Id="rId287" Type="http://schemas.openxmlformats.org/officeDocument/2006/relationships/image" Target="media/image256.png"/><Relationship Id="rId286" Type="http://schemas.openxmlformats.org/officeDocument/2006/relationships/image" Target="media/image255.png"/><Relationship Id="rId285" Type="http://schemas.openxmlformats.org/officeDocument/2006/relationships/image" Target="media/image254.png"/><Relationship Id="rId284" Type="http://schemas.openxmlformats.org/officeDocument/2006/relationships/image" Target="media/image253.png"/><Relationship Id="rId283" Type="http://schemas.openxmlformats.org/officeDocument/2006/relationships/image" Target="media/image252.jpeg"/><Relationship Id="rId282" Type="http://schemas.openxmlformats.org/officeDocument/2006/relationships/image" Target="media/image251.png"/><Relationship Id="rId281" Type="http://schemas.openxmlformats.org/officeDocument/2006/relationships/image" Target="media/image250.png"/><Relationship Id="rId280" Type="http://schemas.openxmlformats.org/officeDocument/2006/relationships/image" Target="media/image249.png"/><Relationship Id="rId28" Type="http://schemas.openxmlformats.org/officeDocument/2006/relationships/image" Target="media/image28.png"/><Relationship Id="rId279" Type="http://schemas.openxmlformats.org/officeDocument/2006/relationships/image" Target="media/image248.jpeg"/><Relationship Id="rId278" Type="http://schemas.openxmlformats.org/officeDocument/2006/relationships/image" Target="media/image247.png"/><Relationship Id="rId277" Type="http://schemas.openxmlformats.org/officeDocument/2006/relationships/image" Target="media/image246.png"/><Relationship Id="rId276" Type="http://schemas.openxmlformats.org/officeDocument/2006/relationships/image" Target="media/image245.png"/><Relationship Id="rId275" Type="http://schemas.openxmlformats.org/officeDocument/2006/relationships/image" Target="media/image244.png"/><Relationship Id="rId274" Type="http://schemas.openxmlformats.org/officeDocument/2006/relationships/hyperlink" Target="https://www.cpnn.com.cn/news/gj/202209/t20220920" TargetMode="External"/><Relationship Id="rId273" Type="http://schemas.openxmlformats.org/officeDocument/2006/relationships/image" Target="media/image243.png"/><Relationship Id="rId272" Type="http://schemas.openxmlformats.org/officeDocument/2006/relationships/image" Target="media/image242.png"/><Relationship Id="rId271" Type="http://schemas.openxmlformats.org/officeDocument/2006/relationships/image" Target="media/image241.png"/><Relationship Id="rId270" Type="http://schemas.openxmlformats.org/officeDocument/2006/relationships/image" Target="media/image240.png"/><Relationship Id="rId27" Type="http://schemas.openxmlformats.org/officeDocument/2006/relationships/image" Target="media/image27.png"/><Relationship Id="rId269" Type="http://schemas.openxmlformats.org/officeDocument/2006/relationships/image" Target="media/image239.png"/><Relationship Id="rId268" Type="http://schemas.openxmlformats.org/officeDocument/2006/relationships/image" Target="media/image238.png"/><Relationship Id="rId267" Type="http://schemas.openxmlformats.org/officeDocument/2006/relationships/image" Target="media/image237.png"/><Relationship Id="rId266" Type="http://schemas.openxmlformats.org/officeDocument/2006/relationships/image" Target="media/image236.png"/><Relationship Id="rId265" Type="http://schemas.openxmlformats.org/officeDocument/2006/relationships/image" Target="media/image235.png"/><Relationship Id="rId264" Type="http://schemas.openxmlformats.org/officeDocument/2006/relationships/hyperlink" Target="https://power.in-en.com/html/power-" TargetMode="External"/><Relationship Id="rId263" Type="http://schemas.openxmlformats.org/officeDocument/2006/relationships/image" Target="media/image234.png"/><Relationship Id="rId262" Type="http://schemas.openxmlformats.org/officeDocument/2006/relationships/image" Target="media/image233.png"/><Relationship Id="rId261" Type="http://schemas.openxmlformats.org/officeDocument/2006/relationships/hyperlink" Target="https://news.solarbe.com/202210/25/360696.html" TargetMode="External"/><Relationship Id="rId260" Type="http://schemas.openxmlformats.org/officeDocument/2006/relationships/image" Target="media/image232.png"/><Relationship Id="rId26" Type="http://schemas.openxmlformats.org/officeDocument/2006/relationships/image" Target="media/image26.png"/><Relationship Id="rId259" Type="http://schemas.openxmlformats.org/officeDocument/2006/relationships/image" Target="media/image231.png"/><Relationship Id="rId258" Type="http://schemas.openxmlformats.org/officeDocument/2006/relationships/image" Target="media/image230.png"/><Relationship Id="rId257" Type="http://schemas.openxmlformats.org/officeDocument/2006/relationships/hyperlink" Target="http://de.escn.com.cn/news/show-1445347.html" TargetMode="External"/><Relationship Id="rId256" Type="http://schemas.openxmlformats.org/officeDocument/2006/relationships/image" Target="media/image229.png"/><Relationship Id="rId255" Type="http://schemas.openxmlformats.org/officeDocument/2006/relationships/hyperlink" Target="https://www.163.com/dy/article/HFEMPOU30519X2P5.html" TargetMode="External"/><Relationship Id="rId254" Type="http://schemas.openxmlformats.org/officeDocument/2006/relationships/hyperlink" Target="http://www.shandong.gov.cn/art/2022/4/22/art" TargetMode="External"/><Relationship Id="rId253" Type="http://schemas.openxmlformats.org/officeDocument/2006/relationships/image" Target="media/image228.png"/><Relationship Id="rId252" Type="http://schemas.openxmlformats.org/officeDocument/2006/relationships/hyperlink" Target="https://news.bjx.com.cn/html/20220609/1231867.shtml" TargetMode="External"/><Relationship Id="rId251" Type="http://schemas.openxmlformats.org/officeDocument/2006/relationships/image" Target="media/image227.png"/><Relationship Id="rId250" Type="http://schemas.openxmlformats.org/officeDocument/2006/relationships/image" Target="media/image226.png"/><Relationship Id="rId25" Type="http://schemas.openxmlformats.org/officeDocument/2006/relationships/image" Target="media/image25.png"/><Relationship Id="rId249" Type="http://schemas.openxmlformats.org/officeDocument/2006/relationships/hyperlink" Target="https://news.bjx.com.cn/html/20220809/1247142.shtml" TargetMode="External"/><Relationship Id="rId248" Type="http://schemas.openxmlformats.org/officeDocument/2006/relationships/hyperlink" Target="http://drc.gd.gov.cn/ywtz/content/post" TargetMode="External"/><Relationship Id="rId247" Type="http://schemas.openxmlformats.org/officeDocument/2006/relationships/image" Target="media/image225.png"/><Relationship Id="rId246" Type="http://schemas.openxmlformats.org/officeDocument/2006/relationships/hyperlink" Target="https://news.bjx.com.cn/html/20221028/1264679.shtml" TargetMode="External"/><Relationship Id="rId245" Type="http://schemas.openxmlformats.org/officeDocument/2006/relationships/image" Target="media/image224.png"/><Relationship Id="rId244" Type="http://schemas.openxmlformats.org/officeDocument/2006/relationships/hyperlink" Target="https://news.bjx.com.cn/html/20190104/954016.shtml" TargetMode="External"/><Relationship Id="rId243" Type="http://schemas.openxmlformats.org/officeDocument/2006/relationships/hyperlink" Target="https://cn.solarbe.com/news/20220621/46719.html" TargetMode="External"/><Relationship Id="rId242" Type="http://schemas.openxmlformats.org/officeDocument/2006/relationships/hyperlink" Target="http://nyj.shandong.gov.cn/art/2022/2/22/art" TargetMode="External"/><Relationship Id="rId241" Type="http://schemas.openxmlformats.org/officeDocument/2006/relationships/image" Target="media/image223.png"/><Relationship Id="rId240" Type="http://schemas.openxmlformats.org/officeDocument/2006/relationships/image" Target="media/image222.png"/><Relationship Id="rId24" Type="http://schemas.openxmlformats.org/officeDocument/2006/relationships/image" Target="media/image24.png"/><Relationship Id="rId239" Type="http://schemas.openxmlformats.org/officeDocument/2006/relationships/image" Target="media/image221.png"/><Relationship Id="rId238" Type="http://schemas.openxmlformats.org/officeDocument/2006/relationships/image" Target="media/image220.png"/><Relationship Id="rId237" Type="http://schemas.openxmlformats.org/officeDocument/2006/relationships/image" Target="media/image219.png"/><Relationship Id="rId236" Type="http://schemas.openxmlformats.org/officeDocument/2006/relationships/image" Target="media/image218.png"/><Relationship Id="rId235" Type="http://schemas.openxmlformats.org/officeDocument/2006/relationships/image" Target="media/image217.png"/><Relationship Id="rId234" Type="http://schemas.openxmlformats.org/officeDocument/2006/relationships/image" Target="media/image216.png"/><Relationship Id="rId233" Type="http://schemas.openxmlformats.org/officeDocument/2006/relationships/image" Target="media/image215.png"/><Relationship Id="rId232" Type="http://schemas.openxmlformats.org/officeDocument/2006/relationships/image" Target="media/image214.png"/><Relationship Id="rId231" Type="http://schemas.openxmlformats.org/officeDocument/2006/relationships/image" Target="media/image213.png"/><Relationship Id="rId230" Type="http://schemas.openxmlformats.org/officeDocument/2006/relationships/image" Target="media/image212.png"/><Relationship Id="rId23" Type="http://schemas.openxmlformats.org/officeDocument/2006/relationships/image" Target="media/image23.png"/><Relationship Id="rId229" Type="http://schemas.openxmlformats.org/officeDocument/2006/relationships/image" Target="media/image211.png"/><Relationship Id="rId228" Type="http://schemas.openxmlformats.org/officeDocument/2006/relationships/image" Target="media/image210.png"/><Relationship Id="rId227" Type="http://schemas.openxmlformats.org/officeDocument/2006/relationships/image" Target="media/image209.png"/><Relationship Id="rId226" Type="http://schemas.openxmlformats.org/officeDocument/2006/relationships/image" Target="media/image208.png"/><Relationship Id="rId225" Type="http://schemas.openxmlformats.org/officeDocument/2006/relationships/image" Target="media/image207.png"/><Relationship Id="rId224" Type="http://schemas.openxmlformats.org/officeDocument/2006/relationships/image" Target="media/image206.png"/><Relationship Id="rId223" Type="http://schemas.openxmlformats.org/officeDocument/2006/relationships/image" Target="media/image205.png"/><Relationship Id="rId222" Type="http://schemas.openxmlformats.org/officeDocument/2006/relationships/image" Target="media/image204.png"/><Relationship Id="rId221" Type="http://schemas.openxmlformats.org/officeDocument/2006/relationships/image" Target="media/image203.png"/><Relationship Id="rId220" Type="http://schemas.openxmlformats.org/officeDocument/2006/relationships/image" Target="media/image202.png"/><Relationship Id="rId22" Type="http://schemas.openxmlformats.org/officeDocument/2006/relationships/image" Target="media/image22.png"/><Relationship Id="rId219" Type="http://schemas.openxmlformats.org/officeDocument/2006/relationships/image" Target="media/image201.png"/><Relationship Id="rId218" Type="http://schemas.openxmlformats.org/officeDocument/2006/relationships/hyperlink" Target="http://www.cnesa.org/policy/detail/?column" TargetMode="External"/><Relationship Id="rId217" Type="http://schemas.openxmlformats.org/officeDocument/2006/relationships/image" Target="media/image200.png"/><Relationship Id="rId216" Type="http://schemas.openxmlformats.org/officeDocument/2006/relationships/image" Target="media/image199.png"/><Relationship Id="rId215" Type="http://schemas.openxmlformats.org/officeDocument/2006/relationships/hyperlink" Target="https://news.solarbe.com/202211/30/362481.html" TargetMode="External"/><Relationship Id="rId214" Type="http://schemas.openxmlformats.org/officeDocument/2006/relationships/hyperlink" Target="http://www.urumqi.gov.cn/fjbm/fgw/zcfg/505168.htm" TargetMode="External"/><Relationship Id="rId213" Type="http://schemas.openxmlformats.org/officeDocument/2006/relationships/image" Target="media/image198.png"/><Relationship Id="rId212" Type="http://schemas.openxmlformats.org/officeDocument/2006/relationships/hyperlink" Target="http://www.chinapower.com.cn/xw/gnxw/20210225/54306.html" TargetMode="External"/><Relationship Id="rId211" Type="http://schemas.openxmlformats.org/officeDocument/2006/relationships/image" Target="media/image197.png"/><Relationship Id="rId210" Type="http://schemas.openxmlformats.org/officeDocument/2006/relationships/image" Target="media/image196.png"/><Relationship Id="rId21" Type="http://schemas.openxmlformats.org/officeDocument/2006/relationships/image" Target="media/image21.png"/><Relationship Id="rId209" Type="http://schemas.openxmlformats.org/officeDocument/2006/relationships/image" Target="media/image195.png"/><Relationship Id="rId208" Type="http://schemas.openxmlformats.org/officeDocument/2006/relationships/image" Target="media/image194.png"/><Relationship Id="rId207" Type="http://schemas.openxmlformats.org/officeDocument/2006/relationships/image" Target="media/image193.png"/><Relationship Id="rId206" Type="http://schemas.openxmlformats.org/officeDocument/2006/relationships/hyperlink" Target="https://cn.solarbe.com/news/20220729/49862.html" TargetMode="External"/><Relationship Id="rId205" Type="http://schemas.openxmlformats.org/officeDocument/2006/relationships/image" Target="media/image192.png"/><Relationship Id="rId204" Type="http://schemas.openxmlformats.org/officeDocument/2006/relationships/image" Target="media/image191.png"/><Relationship Id="rId203" Type="http://schemas.openxmlformats.org/officeDocument/2006/relationships/image" Target="media/image190.png"/><Relationship Id="rId202" Type="http://schemas.openxmlformats.org/officeDocument/2006/relationships/image" Target="media/image189.png"/><Relationship Id="rId201" Type="http://schemas.openxmlformats.org/officeDocument/2006/relationships/image" Target="media/image188.png"/><Relationship Id="rId200" Type="http://schemas.openxmlformats.org/officeDocument/2006/relationships/image" Target="media/image187.png"/><Relationship Id="rId20" Type="http://schemas.openxmlformats.org/officeDocument/2006/relationships/image" Target="media/image20.png"/><Relationship Id="rId2" Type="http://schemas.openxmlformats.org/officeDocument/2006/relationships/image" Target="media/image3.png"/><Relationship Id="rId199" Type="http://schemas.openxmlformats.org/officeDocument/2006/relationships/hyperlink" Target="http://xjdrc.xinjiang.gov.cn/xjfgw/c108361/202006/eaaa9a77fbe34d8d98c020fa9cd38ef2.shtml" TargetMode="External"/><Relationship Id="rId198" Type="http://schemas.openxmlformats.org/officeDocument/2006/relationships/image" Target="media/image186.png"/><Relationship Id="rId197" Type="http://schemas.openxmlformats.org/officeDocument/2006/relationships/image" Target="media/image185.png"/><Relationship Id="rId196" Type="http://schemas.openxmlformats.org/officeDocument/2006/relationships/image" Target="media/image184.png"/><Relationship Id="rId195" Type="http://schemas.openxmlformats.org/officeDocument/2006/relationships/image" Target="media/image183.png"/><Relationship Id="rId194" Type="http://schemas.openxmlformats.org/officeDocument/2006/relationships/image" Target="media/image182.png"/><Relationship Id="rId193" Type="http://schemas.openxmlformats.org/officeDocument/2006/relationships/image" Target="media/image181.png"/><Relationship Id="rId192" Type="http://schemas.openxmlformats.org/officeDocument/2006/relationships/image" Target="media/image180.png"/><Relationship Id="rId191" Type="http://schemas.openxmlformats.org/officeDocument/2006/relationships/image" Target="media/image179.png"/><Relationship Id="rId190" Type="http://schemas.openxmlformats.org/officeDocument/2006/relationships/image" Target="media/image178.png"/><Relationship Id="rId19" Type="http://schemas.openxmlformats.org/officeDocument/2006/relationships/image" Target="media/image19.png"/><Relationship Id="rId189" Type="http://schemas.openxmlformats.org/officeDocument/2006/relationships/image" Target="media/image177.png"/><Relationship Id="rId188" Type="http://schemas.openxmlformats.org/officeDocument/2006/relationships/image" Target="media/image176.png"/><Relationship Id="rId187" Type="http://schemas.openxmlformats.org/officeDocument/2006/relationships/image" Target="media/image175.png"/><Relationship Id="rId186" Type="http://schemas.openxmlformats.org/officeDocument/2006/relationships/image" Target="media/image174.png"/><Relationship Id="rId185" Type="http://schemas.openxmlformats.org/officeDocument/2006/relationships/image" Target="media/image173.png"/><Relationship Id="rId184" Type="http://schemas.openxmlformats.org/officeDocument/2006/relationships/image" Target="media/image172.png"/><Relationship Id="rId183" Type="http://schemas.openxmlformats.org/officeDocument/2006/relationships/image" Target="media/image171.png"/><Relationship Id="rId182" Type="http://schemas.openxmlformats.org/officeDocument/2006/relationships/image" Target="media/image170.png"/><Relationship Id="rId181" Type="http://schemas.openxmlformats.org/officeDocument/2006/relationships/image" Target="media/image169.png"/><Relationship Id="rId180" Type="http://schemas.openxmlformats.org/officeDocument/2006/relationships/image" Target="media/image168.png"/><Relationship Id="rId18" Type="http://schemas.openxmlformats.org/officeDocument/2006/relationships/image" Target="media/image18.png"/><Relationship Id="rId179" Type="http://schemas.openxmlformats.org/officeDocument/2006/relationships/image" Target="media/image167.png"/><Relationship Id="rId178" Type="http://schemas.openxmlformats.org/officeDocument/2006/relationships/image" Target="media/image166.png"/><Relationship Id="rId177" Type="http://schemas.openxmlformats.org/officeDocument/2006/relationships/image" Target="media/image165.png"/><Relationship Id="rId176" Type="http://schemas.openxmlformats.org/officeDocument/2006/relationships/image" Target="media/image164.png"/><Relationship Id="rId175" Type="http://schemas.openxmlformats.org/officeDocument/2006/relationships/image" Target="media/image163.png"/><Relationship Id="rId174" Type="http://schemas.openxmlformats.org/officeDocument/2006/relationships/image" Target="media/image162.png"/><Relationship Id="rId173" Type="http://schemas.openxmlformats.org/officeDocument/2006/relationships/image" Target="media/image161.png"/><Relationship Id="rId172" Type="http://schemas.openxmlformats.org/officeDocument/2006/relationships/image" Target="media/image160.png"/><Relationship Id="rId171" Type="http://schemas.openxmlformats.org/officeDocument/2006/relationships/image" Target="media/image159.png"/><Relationship Id="rId170" Type="http://schemas.openxmlformats.org/officeDocument/2006/relationships/image" Target="media/image158.png"/><Relationship Id="rId17" Type="http://schemas.openxmlformats.org/officeDocument/2006/relationships/image" Target="media/image17.png"/><Relationship Id="rId169" Type="http://schemas.openxmlformats.org/officeDocument/2006/relationships/image" Target="media/image157.png"/><Relationship Id="rId168" Type="http://schemas.openxmlformats.org/officeDocument/2006/relationships/image" Target="media/image156.png"/><Relationship Id="rId167" Type="http://schemas.openxmlformats.org/officeDocument/2006/relationships/hyperlink" Target="https://baijiahao.baidu.com/s?id=1729340391433605946&amp;wfr=spider&amp;for=pc" TargetMode="External"/><Relationship Id="rId166" Type="http://schemas.openxmlformats.org/officeDocument/2006/relationships/hyperlink" Target="http://www.nengyuantoutiao.com/chunen/2022/0709/110701.html" TargetMode="External"/><Relationship Id="rId165" Type="http://schemas.openxmlformats.org/officeDocument/2006/relationships/image" Target="media/image155.png"/><Relationship Id="rId164" Type="http://schemas.openxmlformats.org/officeDocument/2006/relationships/image" Target="media/image154.png"/><Relationship Id="rId163" Type="http://schemas.openxmlformats.org/officeDocument/2006/relationships/image" Target="media/image153.png"/><Relationship Id="rId162" Type="http://schemas.openxmlformats.org/officeDocument/2006/relationships/image" Target="media/image152.png"/><Relationship Id="rId161" Type="http://schemas.openxmlformats.org/officeDocument/2006/relationships/image" Target="media/image151.png"/><Relationship Id="rId160" Type="http://schemas.openxmlformats.org/officeDocument/2006/relationships/image" Target="media/image150.png"/><Relationship Id="rId16" Type="http://schemas.openxmlformats.org/officeDocument/2006/relationships/image" Target="media/image16.png"/><Relationship Id="rId159" Type="http://schemas.openxmlformats.org/officeDocument/2006/relationships/image" Target="media/image149.png"/><Relationship Id="rId158" Type="http://schemas.openxmlformats.org/officeDocument/2006/relationships/image" Target="media/image148.png"/><Relationship Id="rId157" Type="http://schemas.openxmlformats.org/officeDocument/2006/relationships/image" Target="media/image147.png"/><Relationship Id="rId156" Type="http://schemas.openxmlformats.org/officeDocument/2006/relationships/image" Target="media/image146.png"/><Relationship Id="rId155" Type="http://schemas.openxmlformats.org/officeDocument/2006/relationships/image" Target="media/image145.png"/><Relationship Id="rId154" Type="http://schemas.openxmlformats.org/officeDocument/2006/relationships/image" Target="media/image144.png"/><Relationship Id="rId153" Type="http://schemas.openxmlformats.org/officeDocument/2006/relationships/image" Target="media/image143.png"/><Relationship Id="rId152" Type="http://schemas.openxmlformats.org/officeDocument/2006/relationships/image" Target="media/image142.png"/><Relationship Id="rId151" Type="http://schemas.openxmlformats.org/officeDocument/2006/relationships/image" Target="media/image141.png"/><Relationship Id="rId150" Type="http://schemas.openxmlformats.org/officeDocument/2006/relationships/image" Target="media/image140.png"/><Relationship Id="rId15" Type="http://schemas.openxmlformats.org/officeDocument/2006/relationships/image" Target="media/image15.png"/><Relationship Id="rId149" Type="http://schemas.openxmlformats.org/officeDocument/2006/relationships/image" Target="media/image139.png"/><Relationship Id="rId148" Type="http://schemas.openxmlformats.org/officeDocument/2006/relationships/image" Target="media/image138.png"/><Relationship Id="rId147" Type="http://schemas.openxmlformats.org/officeDocument/2006/relationships/image" Target="media/image137.jpeg"/><Relationship Id="rId146" Type="http://schemas.openxmlformats.org/officeDocument/2006/relationships/image" Target="media/image136.jpeg"/><Relationship Id="rId145" Type="http://schemas.openxmlformats.org/officeDocument/2006/relationships/image" Target="media/image135.jpeg"/><Relationship Id="rId144" Type="http://schemas.openxmlformats.org/officeDocument/2006/relationships/image" Target="media/image134.jpeg"/><Relationship Id="rId143" Type="http://schemas.openxmlformats.org/officeDocument/2006/relationships/image" Target="media/image133.jpeg"/><Relationship Id="rId142" Type="http://schemas.openxmlformats.org/officeDocument/2006/relationships/image" Target="media/image132.jpeg"/><Relationship Id="rId141" Type="http://schemas.openxmlformats.org/officeDocument/2006/relationships/image" Target="media/image131.jpeg"/><Relationship Id="rId140" Type="http://schemas.openxmlformats.org/officeDocument/2006/relationships/image" Target="media/image130.jpeg"/><Relationship Id="rId14" Type="http://schemas.openxmlformats.org/officeDocument/2006/relationships/image" Target="media/image14.png"/><Relationship Id="rId139" Type="http://schemas.openxmlformats.org/officeDocument/2006/relationships/image" Target="media/image129.png"/><Relationship Id="rId138" Type="http://schemas.openxmlformats.org/officeDocument/2006/relationships/image" Target="media/image128.png"/><Relationship Id="rId137" Type="http://schemas.openxmlformats.org/officeDocument/2006/relationships/image" Target="media/image127.png"/><Relationship Id="rId136" Type="http://schemas.openxmlformats.org/officeDocument/2006/relationships/image" Target="media/image126.jpeg"/><Relationship Id="rId135" Type="http://schemas.openxmlformats.org/officeDocument/2006/relationships/image" Target="media/image125.jpeg"/><Relationship Id="rId134" Type="http://schemas.openxmlformats.org/officeDocument/2006/relationships/image" Target="media/image124.jpeg"/><Relationship Id="rId133" Type="http://schemas.openxmlformats.org/officeDocument/2006/relationships/image" Target="media/image123.jpeg"/><Relationship Id="rId132" Type="http://schemas.openxmlformats.org/officeDocument/2006/relationships/image" Target="media/image122.jpeg"/><Relationship Id="rId131" Type="http://schemas.openxmlformats.org/officeDocument/2006/relationships/image" Target="media/image121.jpeg"/><Relationship Id="rId130" Type="http://schemas.openxmlformats.org/officeDocument/2006/relationships/image" Target="media/image120.png"/><Relationship Id="rId13" Type="http://schemas.openxmlformats.org/officeDocument/2006/relationships/image" Target="media/image13.png"/><Relationship Id="rId129" Type="http://schemas.openxmlformats.org/officeDocument/2006/relationships/image" Target="media/image119.png"/><Relationship Id="rId128" Type="http://schemas.openxmlformats.org/officeDocument/2006/relationships/image" Target="media/image118.png"/><Relationship Id="rId127" Type="http://schemas.openxmlformats.org/officeDocument/2006/relationships/image" Target="media/image117.png"/><Relationship Id="rId126" Type="http://schemas.openxmlformats.org/officeDocument/2006/relationships/image" Target="media/image116.png"/><Relationship Id="rId125" Type="http://schemas.openxmlformats.org/officeDocument/2006/relationships/image" Target="media/image115.png"/><Relationship Id="rId124" Type="http://schemas.openxmlformats.org/officeDocument/2006/relationships/image" Target="media/image114.png"/><Relationship Id="rId123" Type="http://schemas.openxmlformats.org/officeDocument/2006/relationships/image" Target="media/image113.png"/><Relationship Id="rId122" Type="http://schemas.openxmlformats.org/officeDocument/2006/relationships/image" Target="media/image112.png"/><Relationship Id="rId121" Type="http://schemas.openxmlformats.org/officeDocument/2006/relationships/image" Target="media/image111.png"/><Relationship Id="rId120" Type="http://schemas.openxmlformats.org/officeDocument/2006/relationships/image" Target="media/image110.png"/><Relationship Id="rId12" Type="http://schemas.openxmlformats.org/officeDocument/2006/relationships/image" Target="media/image12.png"/><Relationship Id="rId119" Type="http://schemas.openxmlformats.org/officeDocument/2006/relationships/image" Target="media/image109.png"/><Relationship Id="rId118" Type="http://schemas.openxmlformats.org/officeDocument/2006/relationships/image" Target="media/image108.png"/><Relationship Id="rId117" Type="http://schemas.openxmlformats.org/officeDocument/2006/relationships/image" Target="media/image107.png"/><Relationship Id="rId116" Type="http://schemas.openxmlformats.org/officeDocument/2006/relationships/image" Target="media/image106.png"/><Relationship Id="rId115" Type="http://schemas.openxmlformats.org/officeDocument/2006/relationships/hyperlink" Target="https://www.woodmac.com/press-releases/global-energy-storage-capacity-to-grow-at-cagr-of-31-to-2030/" TargetMode="External"/><Relationship Id="rId114" Type="http://schemas.openxmlformats.org/officeDocument/2006/relationships/image" Target="media/image105.png"/><Relationship Id="rId113" Type="http://schemas.openxmlformats.org/officeDocument/2006/relationships/image" Target="media/image104.png"/><Relationship Id="rId112" Type="http://schemas.openxmlformats.org/officeDocument/2006/relationships/image" Target="media/image103.png"/><Relationship Id="rId111" Type="http://schemas.openxmlformats.org/officeDocument/2006/relationships/image" Target="media/image102.png"/><Relationship Id="rId110" Type="http://schemas.openxmlformats.org/officeDocument/2006/relationships/image" Target="media/image101.png"/><Relationship Id="rId11" Type="http://schemas.openxmlformats.org/officeDocument/2006/relationships/image" Target="media/image11.png"/><Relationship Id="rId109" Type="http://schemas.openxmlformats.org/officeDocument/2006/relationships/image" Target="media/image100.png"/><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png"/><Relationship Id="rId105" Type="http://schemas.openxmlformats.org/officeDocument/2006/relationships/image" Target="media/image96.pn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image" Target="media/image10.png"/><Relationship Id="rId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ap:Application>Acrobat PDFMaker 20 for PowerPoint</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新型储能助力能源转型</dc:title>
  <dc:subject>大力发展储能对提高可再生能源利用率，实现“双碳”目标，建立新型电力体系具有重要意义。2022年1月发改委、国家能源局联合发布的《“十四五”新型储能发展实施方案》指出，新型储能是构建新型电力系统的重要技术和基础装备，是实现碳达峰碳中和目标的重要支撑，也是催生国内能源新业态、抢占国际战略新高地的重要领域。
毕马威中国与中国电力企业联合会电动交通与储能分会联合发布《新型储能助力能源转型》报告，报告从储能的定义和发展背景入手，对各种储能方式、全球和中国储能产业规模进行了比较，进而对不同应用场景下储能的商业模式、企业布局、行业投融资等进行了深入分析，并对行业未来所面临的机遇和挑战进行了展望。</dc:subject>
  <dc:creator>毕马威中国(kpmg.com/cn)</dc:creator>
  <cp:keywords>储能; 新型储能; 电化学储能; 抽水蓄能; 锂电池; 发电侧; 电网侧; 用户侧; 储能投资; 电力市场</cp:keywords>
  <dcterms:created xsi:type="dcterms:W3CDTF">2023-04-03T22:37:43Z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2024-05-08T11:48:09</vt:filetime>
  </property>
</Properties>
</file>