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87</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37</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rFonts w:hint="default" w:eastAsia="黑体"/>
          <w:lang w:val="en-US" w:eastAsia="zh-CN"/>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37</w:t>
      </w:r>
      <w:r>
        <w:rPr>
          <w:lang w:val="fr-FR"/>
        </w:rPr>
        <w:t>/T</w:t>
      </w:r>
      <w:r>
        <w:fldChar w:fldCharType="end"/>
      </w:r>
      <w:bookmarkEnd w:id="5"/>
      <w:r>
        <w:rPr>
          <w:lang w:val="fr-FR"/>
        </w:rPr>
        <w:t xml:space="preserve"> </w:t>
      </w:r>
      <w:r>
        <w:rPr>
          <w:rFonts w:hint="eastAsia"/>
          <w:lang w:val="en-US" w:eastAsia="zh-CN"/>
        </w:rPr>
        <w:t>4516</w:t>
      </w:r>
      <w:r>
        <w:rPr>
          <w:rFonts w:hAnsi="黑体"/>
          <w:lang w:val="fr-FR"/>
        </w:rPr>
        <w:t>—</w:t>
      </w:r>
      <w:r>
        <w:rPr>
          <w:rFonts w:hint="eastAsia"/>
          <w:lang w:val="en-US" w:eastAsia="zh-CN"/>
        </w:rPr>
        <w:t>2022</w:t>
      </w:r>
    </w:p>
    <w:p>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高速公路边坡光伏发电工程技术规范</w:t>
      </w:r>
      <w:r>
        <w:fldChar w:fldCharType="end"/>
      </w:r>
      <w:bookmarkEnd w:id="7"/>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code for photovoltaic engineering construction of Expressway Sloper</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720" w:beforeLines="300" w:after="72" w:afterLines="30" w:line="240" w:lineRule="auto"/>
        <w:textAlignment w:val="bottom"/>
        <w:rPr>
          <w:b/>
          <w:sz w:val="21"/>
          <w:szCs w:val="28"/>
        </w:rPr>
      </w:pPr>
    </w:p>
    <w:p>
      <w:pPr>
        <w:pStyle w:val="194"/>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06</w:t>
      </w:r>
      <w:r>
        <w:t xml:space="preserve"> </w:t>
      </w:r>
      <w:r>
        <w:rPr>
          <w:rFonts w:ascii="黑体"/>
        </w:rPr>
        <w:t>-</w:t>
      </w:r>
      <w:r>
        <w:t xml:space="preserve"> </w:t>
      </w:r>
      <w:r>
        <w:rPr>
          <w:rFonts w:hint="eastAsia" w:ascii="黑体"/>
          <w:lang w:val="en-US" w:eastAsia="zh-CN"/>
        </w:rPr>
        <w:t>20</w:t>
      </w:r>
      <w:r>
        <w:rPr>
          <w:rFonts w:hint="eastAsia"/>
        </w:rPr>
        <w:t>发布</w:t>
      </w:r>
    </w:p>
    <w:p>
      <w:pPr>
        <w:pStyle w:val="195"/>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07</w:t>
      </w:r>
      <w:r>
        <w:t xml:space="preserve"> </w:t>
      </w:r>
      <w:r>
        <w:rPr>
          <w:rFonts w:ascii="黑体"/>
        </w:rPr>
        <w:t>-</w:t>
      </w:r>
      <w:r>
        <w:t xml:space="preserve"> </w:t>
      </w:r>
      <w:r>
        <w:rPr>
          <w:rFonts w:hint="eastAsia" w:ascii="黑体"/>
          <w:lang w:val="en-US" w:eastAsia="zh-CN"/>
        </w:rPr>
        <w:t>20</w:t>
      </w:r>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9"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w:t>
      </w:r>
      <w:r>
        <w:rPr>
          <w:rFonts w:hAnsi="黑体"/>
          <w:w w:val="100"/>
          <w:sz w:val="28"/>
        </w:rPr>
        <w:t>市场监督管理局</w:t>
      </w:r>
      <w:r>
        <w:rPr>
          <w:rFonts w:hAnsi="黑体"/>
          <w:w w:val="100"/>
          <w:sz w:val="28"/>
        </w:rPr>
        <w:fldChar w:fldCharType="end"/>
      </w:r>
      <w:bookmarkEnd w:id="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84" w:name="_GoBack"/>
      <w:bookmarkEnd w:id="84"/>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rPr>
          <w:rFonts w:hint="eastAsia"/>
        </w:rPr>
      </w:pPr>
      <w:bookmarkStart w:id="10" w:name="BookMark1"/>
      <w:bookmarkStart w:id="11" w:name="_Toc104993671"/>
      <w:bookmarkStart w:id="12" w:name="_Toc104990941"/>
      <w:bookmarkStart w:id="13" w:name="_Toc104993324"/>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"_Toc105060386" </w:instrText>
      </w:r>
      <w:r>
        <w:fldChar w:fldCharType="separate"/>
      </w:r>
      <w:r>
        <w:rPr>
          <w:rStyle w:val="33"/>
          <w:rFonts w:hint="eastAsia"/>
        </w:rPr>
        <w:t>前言</w:t>
      </w:r>
      <w:r>
        <w:tab/>
      </w:r>
      <w:r>
        <w:fldChar w:fldCharType="begin"/>
      </w:r>
      <w:r>
        <w:instrText xml:space="preserve"> PAGEREF _Toc105060386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"_Toc105060387" </w:instrText>
      </w:r>
      <w:r>
        <w:fldChar w:fldCharType="separate"/>
      </w:r>
      <w:r>
        <w:rPr>
          <w:rStyle w:val="33"/>
          <w:rFonts w:hint="eastAsia"/>
        </w:rPr>
        <w:t>引言</w:t>
      </w:r>
      <w:r>
        <w:tab/>
      </w:r>
      <w:r>
        <w:fldChar w:fldCharType="begin"/>
      </w:r>
      <w:r>
        <w:instrText xml:space="preserve"> PAGEREF _Toc105060387 \h </w:instrText>
      </w:r>
      <w:r>
        <w:fldChar w:fldCharType="separate"/>
      </w:r>
      <w:r>
        <w:t>III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"_Toc105060388" </w:instrText>
      </w:r>
      <w:r>
        <w:fldChar w:fldCharType="separate"/>
      </w:r>
      <w:r>
        <w:rPr>
          <w:rStyle w:val="33"/>
        </w:rPr>
        <w:t xml:space="preserve">1 </w:t>
      </w:r>
      <w:r>
        <w:rPr>
          <w:rStyle w:val="33"/>
          <w:rFonts w:hint="eastAsia"/>
        </w:rPr>
        <w:t xml:space="preserve"> 范围</w:t>
      </w:r>
      <w:r>
        <w:tab/>
      </w:r>
      <w:r>
        <w:fldChar w:fldCharType="begin"/>
      </w:r>
      <w:r>
        <w:instrText xml:space="preserve"> PAGEREF _Toc105060388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"_Toc105060389"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_Toc105060389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"_Toc105060390"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_Toc105060390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"_Toc105060391" </w:instrText>
      </w:r>
      <w:r>
        <w:fldChar w:fldCharType="separate"/>
      </w:r>
      <w:r>
        <w:rPr>
          <w:rStyle w:val="33"/>
        </w:rPr>
        <w:t xml:space="preserve">4 </w:t>
      </w:r>
      <w:r>
        <w:rPr>
          <w:rStyle w:val="33"/>
          <w:rFonts w:hint="eastAsia"/>
        </w:rPr>
        <w:t xml:space="preserve"> 基本规定</w:t>
      </w:r>
      <w:r>
        <w:tab/>
      </w:r>
      <w:r>
        <w:fldChar w:fldCharType="begin"/>
      </w:r>
      <w:r>
        <w:instrText xml:space="preserve"> PAGEREF _Toc105060391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"_Toc105060392" </w:instrText>
      </w:r>
      <w:r>
        <w:fldChar w:fldCharType="separate"/>
      </w:r>
      <w:r>
        <w:rPr>
          <w:rStyle w:val="33"/>
        </w:rPr>
        <w:t xml:space="preserve">5 </w:t>
      </w:r>
      <w:r>
        <w:rPr>
          <w:rStyle w:val="33"/>
          <w:rFonts w:hint="eastAsia"/>
        </w:rPr>
        <w:t xml:space="preserve"> 项目选址</w:t>
      </w:r>
      <w:r>
        <w:tab/>
      </w:r>
      <w:r>
        <w:fldChar w:fldCharType="begin"/>
      </w:r>
      <w:r>
        <w:instrText xml:space="preserve"> PAGEREF _Toc105060392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"_Toc105060393" </w:instrText>
      </w:r>
      <w:r>
        <w:fldChar w:fldCharType="separate"/>
      </w:r>
      <w:r>
        <w:rPr>
          <w:rStyle w:val="33"/>
        </w:rPr>
        <w:t xml:space="preserve">6 </w:t>
      </w:r>
      <w:r>
        <w:rPr>
          <w:rStyle w:val="33"/>
          <w:rFonts w:hint="eastAsia"/>
        </w:rPr>
        <w:t xml:space="preserve"> 技术要求</w:t>
      </w:r>
      <w:r>
        <w:tab/>
      </w:r>
      <w:r>
        <w:fldChar w:fldCharType="begin"/>
      </w:r>
      <w:r>
        <w:instrText xml:space="preserve"> PAGEREF _Toc105060393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"_Toc105060394" </w:instrText>
      </w:r>
      <w:r>
        <w:fldChar w:fldCharType="separate"/>
      </w:r>
      <w:r>
        <w:rPr>
          <w:rStyle w:val="33"/>
        </w:rPr>
        <w:t xml:space="preserve">7 </w:t>
      </w:r>
      <w:r>
        <w:rPr>
          <w:rStyle w:val="33"/>
          <w:rFonts w:hint="eastAsia"/>
        </w:rPr>
        <w:t xml:space="preserve"> 施工交通组织</w:t>
      </w:r>
      <w:r>
        <w:tab/>
      </w:r>
      <w:r>
        <w:fldChar w:fldCharType="begin"/>
      </w:r>
      <w:r>
        <w:instrText xml:space="preserve"> PAGEREF _Toc105060394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"_Toc105060395" </w:instrText>
      </w:r>
      <w:r>
        <w:fldChar w:fldCharType="separate"/>
      </w:r>
      <w:r>
        <w:rPr>
          <w:rStyle w:val="33"/>
        </w:rPr>
        <w:t xml:space="preserve">8 </w:t>
      </w:r>
      <w:r>
        <w:rPr>
          <w:rStyle w:val="33"/>
          <w:rFonts w:hint="eastAsia"/>
        </w:rPr>
        <w:t xml:space="preserve"> 监控测量</w:t>
      </w:r>
      <w:r>
        <w:tab/>
      </w:r>
      <w:r>
        <w:fldChar w:fldCharType="begin"/>
      </w:r>
      <w:r>
        <w:instrText xml:space="preserve"> PAGEREF _Toc105060395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"_Toc105060396" </w:instrText>
      </w:r>
      <w:r>
        <w:fldChar w:fldCharType="separate"/>
      </w:r>
      <w:r>
        <w:rPr>
          <w:rStyle w:val="33"/>
        </w:rPr>
        <w:t xml:space="preserve">9 </w:t>
      </w:r>
      <w:r>
        <w:rPr>
          <w:rStyle w:val="33"/>
          <w:rFonts w:hint="eastAsia"/>
        </w:rPr>
        <w:t xml:space="preserve"> 环境保护与水土保持</w:t>
      </w:r>
      <w:r>
        <w:tab/>
      </w:r>
      <w:r>
        <w:fldChar w:fldCharType="begin"/>
      </w:r>
      <w:r>
        <w:instrText xml:space="preserve"> PAGEREF _Toc105060396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"_Toc105060397" </w:instrText>
      </w:r>
      <w:r>
        <w:fldChar w:fldCharType="separate"/>
      </w:r>
      <w:r>
        <w:rPr>
          <w:rStyle w:val="33"/>
          <w:rFonts w:hint="eastAsia"/>
        </w:rPr>
        <w:t>附录A（资料性）</w:t>
      </w:r>
      <w:r>
        <w:rPr>
          <w:rStyle w:val="33"/>
        </w:rPr>
        <w:t xml:space="preserve">  </w:t>
      </w:r>
      <w:r>
        <w:rPr>
          <w:rStyle w:val="33"/>
          <w:rFonts w:hint="eastAsia"/>
        </w:rPr>
        <w:t>高速公路边坡光伏发电工程建设流程</w:t>
      </w:r>
      <w:r>
        <w:tab/>
      </w:r>
      <w:r>
        <w:fldChar w:fldCharType="begin"/>
      </w:r>
      <w:r>
        <w:instrText xml:space="preserve"> PAGEREF _Toc105060397 \h </w:instrText>
      </w:r>
      <w:r>
        <w:fldChar w:fldCharType="separate"/>
      </w:r>
      <w:r>
        <w:t>7</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"_Toc105060398" </w:instrText>
      </w:r>
      <w:r>
        <w:fldChar w:fldCharType="separate"/>
      </w:r>
      <w:r>
        <w:rPr>
          <w:rStyle w:val="33"/>
          <w:rFonts w:hint="eastAsia"/>
        </w:rPr>
        <w:t>附录B（资料性）</w:t>
      </w:r>
      <w:r>
        <w:rPr>
          <w:rStyle w:val="33"/>
        </w:rPr>
        <w:t xml:space="preserve">  </w:t>
      </w:r>
      <w:r>
        <w:rPr>
          <w:rStyle w:val="33"/>
          <w:rFonts w:hint="eastAsia"/>
        </w:rPr>
        <w:t>施工作业控制区布置</w:t>
      </w:r>
      <w:r>
        <w:tab/>
      </w:r>
      <w:r>
        <w:fldChar w:fldCharType="begin"/>
      </w:r>
      <w:r>
        <w:instrText xml:space="preserve"> PAGEREF _Toc105060398 \h </w:instrText>
      </w:r>
      <w:r>
        <w:fldChar w:fldCharType="separate"/>
      </w:r>
      <w:r>
        <w:t>8</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"_Toc105060399" </w:instrText>
      </w:r>
      <w:r>
        <w:fldChar w:fldCharType="separate"/>
      </w:r>
      <w:r>
        <w:rPr>
          <w:rStyle w:val="33"/>
          <w:rFonts w:hint="eastAsia"/>
        </w:rPr>
        <w:t>附录C（资料性）</w:t>
      </w:r>
      <w:r>
        <w:rPr>
          <w:rStyle w:val="33"/>
        </w:rPr>
        <w:t xml:space="preserve">  </w:t>
      </w:r>
      <w:r>
        <w:rPr>
          <w:rStyle w:val="33"/>
          <w:rFonts w:hint="eastAsia"/>
        </w:rPr>
        <w:t>施工现场安全标志及安全警示设施</w:t>
      </w:r>
      <w:r>
        <w:tab/>
      </w:r>
      <w:r>
        <w:fldChar w:fldCharType="begin"/>
      </w:r>
      <w:r>
        <w:instrText xml:space="preserve"> PAGEREF _Toc105060399 \h </w:instrText>
      </w:r>
      <w:r>
        <w:fldChar w:fldCharType="separate"/>
      </w:r>
      <w:r>
        <w:t>9</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"_Toc105060400" </w:instrText>
      </w:r>
      <w:r>
        <w:fldChar w:fldCharType="separate"/>
      </w:r>
      <w:r>
        <w:rPr>
          <w:rStyle w:val="33"/>
          <w:rFonts w:hint="eastAsia"/>
        </w:rPr>
        <w:t>参考文献</w:t>
      </w:r>
      <w:r>
        <w:tab/>
      </w:r>
      <w:r>
        <w:fldChar w:fldCharType="begin"/>
      </w:r>
      <w:r>
        <w:instrText xml:space="preserve"> PAGEREF _Toc105060400 \h </w:instrText>
      </w:r>
      <w:r>
        <w:fldChar w:fldCharType="separate"/>
      </w:r>
      <w:r>
        <w:t>10</w:t>
      </w:r>
      <w:r>
        <w:fldChar w:fldCharType="end"/>
      </w:r>
      <w:r>
        <w:fldChar w:fldCharType="end"/>
      </w:r>
    </w:p>
    <w:p>
      <w:pPr>
        <w:pStyle w:val="92"/>
        <w:spacing w:after="468"/>
        <w:sectPr>
          <w:headerReference r:id="rId11" w:type="default"/>
          <w:footerReference r:id="rId13" w:type="default"/>
          <w:headerReference r:id="rId12"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10"/>
    <w:p>
      <w:pPr>
        <w:pStyle w:val="90"/>
        <w:spacing w:after="468"/>
      </w:pPr>
      <w:bookmarkStart w:id="14" w:name="_Toc105060386"/>
      <w:bookmarkStart w:id="15" w:name="BookMark2"/>
      <w:r>
        <w:rPr>
          <w:spacing w:val="320"/>
        </w:rPr>
        <w:t>前</w:t>
      </w:r>
      <w:r>
        <w:t>言</w:t>
      </w:r>
      <w:bookmarkEnd w:id="11"/>
      <w:bookmarkEnd w:id="12"/>
      <w:bookmarkEnd w:id="13"/>
      <w:bookmarkEnd w:id="14"/>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本文件由山东省交通运输厅、山东省公安厅提出并组织实施。</w:t>
      </w:r>
    </w:p>
    <w:p>
      <w:pPr>
        <w:pStyle w:val="57"/>
        <w:ind w:firstLine="420"/>
      </w:pPr>
      <w:r>
        <w:rPr>
          <w:rFonts w:hint="eastAsia"/>
        </w:rPr>
        <w:t>本文件由山东省交通运输标准化技术委员会归口。</w:t>
      </w:r>
    </w:p>
    <w:p>
      <w:pPr>
        <w:pStyle w:val="57"/>
        <w:ind w:firstLine="420"/>
      </w:pPr>
    </w:p>
    <w:p>
      <w:pPr>
        <w:pStyle w:val="57"/>
        <w:ind w:firstLine="420"/>
      </w:pPr>
    </w:p>
    <w:p>
      <w:pPr>
        <w:pStyle w:val="57"/>
        <w:ind w:firstLine="420"/>
        <w:sectPr>
          <w:pgSz w:w="11906" w:h="16838"/>
          <w:pgMar w:top="567" w:right="1134" w:bottom="1134" w:left="1134" w:header="1418" w:footer="1134" w:gutter="284"/>
          <w:pgNumType w:fmt="upperRoman"/>
          <w:cols w:space="425" w:num="1"/>
          <w:formProt w:val="0"/>
          <w:docGrid w:type="lines" w:linePitch="312" w:charSpace="0"/>
        </w:sectPr>
      </w:pPr>
    </w:p>
    <w:bookmarkEnd w:id="15"/>
    <w:p>
      <w:pPr>
        <w:pStyle w:val="90"/>
        <w:spacing w:after="468"/>
      </w:pPr>
      <w:bookmarkStart w:id="16" w:name="_Toc105060387"/>
      <w:bookmarkStart w:id="17" w:name="_Toc104993672"/>
      <w:bookmarkStart w:id="18" w:name="_Toc104993325"/>
      <w:bookmarkStart w:id="19" w:name="BookMark3"/>
      <w:r>
        <w:rPr>
          <w:spacing w:val="320"/>
        </w:rPr>
        <w:t>引</w:t>
      </w:r>
      <w:r>
        <w:t>言</w:t>
      </w:r>
      <w:bookmarkEnd w:id="16"/>
      <w:bookmarkEnd w:id="17"/>
      <w:bookmarkEnd w:id="18"/>
    </w:p>
    <w:p>
      <w:pPr>
        <w:pStyle w:val="57"/>
        <w:ind w:firstLine="420"/>
      </w:pPr>
      <w:r>
        <w:rPr>
          <w:rFonts w:hint="eastAsia"/>
        </w:rPr>
        <w:t>为贯彻落实国家“碳达峰、碳中和”重大战略决策，促进可再生能源、清洁能源利用，推进交通基础设施网与运输服务网、信息网、能源网融合发展，助力绿色低碳交通发展，推动高速公路边坡光伏工程规模化建设，编制本文件。</w:t>
      </w:r>
    </w:p>
    <w:p>
      <w:pPr>
        <w:pStyle w:val="57"/>
        <w:ind w:firstLine="420"/>
      </w:pPr>
    </w:p>
    <w:p>
      <w:pPr>
        <w:pStyle w:val="57"/>
        <w:ind w:firstLine="420"/>
        <w:sectPr>
          <w:pgSz w:w="11906" w:h="16838"/>
          <w:pgMar w:top="567"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021382BEB6334716A3C4C81BC1FFB301"/>
        </w:placeholder>
      </w:sdtPr>
      <w:sdtContent>
        <w:p>
          <w:pPr>
            <w:pStyle w:val="178"/>
            <w:spacing w:before="3" w:beforeLines="1" w:after="686" w:afterLines="220"/>
          </w:pPr>
          <w:bookmarkStart w:id="21" w:name="NEW_STAND_NAME"/>
          <w:r>
            <w:rPr>
              <w:rFonts w:hint="eastAsia"/>
            </w:rPr>
            <w:t>高速公路边坡光伏发电工程技术规范</w:t>
          </w:r>
        </w:p>
      </w:sdtContent>
    </w:sdt>
    <w:bookmarkEnd w:id="21"/>
    <w:p>
      <w:pPr>
        <w:pStyle w:val="105"/>
        <w:spacing w:before="312" w:after="312"/>
      </w:pPr>
      <w:bookmarkStart w:id="22" w:name="_Toc17233333"/>
      <w:bookmarkStart w:id="23" w:name="_Toc26718930"/>
      <w:bookmarkStart w:id="24" w:name="_Toc104993673"/>
      <w:bookmarkStart w:id="25" w:name="_Toc26986530"/>
      <w:bookmarkStart w:id="26" w:name="_Toc26648465"/>
      <w:bookmarkStart w:id="27" w:name="_Toc24884218"/>
      <w:bookmarkStart w:id="28" w:name="_Toc17233325"/>
      <w:bookmarkStart w:id="29" w:name="_Toc104990942"/>
      <w:bookmarkStart w:id="30" w:name="_Toc26986771"/>
      <w:bookmarkStart w:id="31" w:name="_Toc104993326"/>
      <w:bookmarkStart w:id="32" w:name="_Toc24884211"/>
      <w:bookmarkStart w:id="33" w:name="_Toc105060388"/>
      <w:r>
        <w:rPr>
          <w:rFonts w:hint="eastAsia"/>
        </w:rPr>
        <w:t>范围</w:t>
      </w:r>
      <w:bookmarkEnd w:id="22"/>
      <w:bookmarkEnd w:id="23"/>
      <w:bookmarkEnd w:id="24"/>
      <w:bookmarkEnd w:id="25"/>
      <w:bookmarkEnd w:id="26"/>
      <w:bookmarkEnd w:id="27"/>
      <w:bookmarkEnd w:id="28"/>
      <w:bookmarkEnd w:id="29"/>
      <w:bookmarkEnd w:id="30"/>
      <w:bookmarkEnd w:id="31"/>
      <w:bookmarkEnd w:id="32"/>
      <w:bookmarkEnd w:id="33"/>
    </w:p>
    <w:p>
      <w:pPr>
        <w:pStyle w:val="57"/>
        <w:ind w:firstLine="420"/>
      </w:pPr>
      <w:bookmarkStart w:id="34" w:name="_Toc24884219"/>
      <w:bookmarkStart w:id="35" w:name="_Toc17233326"/>
      <w:bookmarkStart w:id="36" w:name="_Toc24884212"/>
      <w:bookmarkStart w:id="37" w:name="_Toc26648466"/>
      <w:bookmarkStart w:id="38" w:name="_Toc17233334"/>
      <w:r>
        <w:rPr>
          <w:rFonts w:hint="eastAsia"/>
        </w:rPr>
        <w:t>本文件规定了高速公路边坡光伏发电工程的基本规定、项目选址、技术要求、施工交通组织、监控测量、环境保护与水土保持的要求。</w:t>
      </w:r>
    </w:p>
    <w:p>
      <w:pPr>
        <w:pStyle w:val="57"/>
        <w:ind w:firstLine="420"/>
      </w:pPr>
      <w:r>
        <w:rPr>
          <w:rFonts w:hint="eastAsia"/>
        </w:rPr>
        <w:t xml:space="preserve">本文件适用于既有高速公路边坡光伏发电工程建设。新建、改扩建高速公路参照执行。 </w:t>
      </w:r>
    </w:p>
    <w:p>
      <w:pPr>
        <w:pStyle w:val="105"/>
        <w:spacing w:before="312" w:after="312"/>
      </w:pPr>
      <w:bookmarkStart w:id="39" w:name="_Toc104990943"/>
      <w:bookmarkStart w:id="40" w:name="_Toc26986772"/>
      <w:bookmarkStart w:id="41" w:name="_Toc26986531"/>
      <w:bookmarkStart w:id="42" w:name="_Toc104993327"/>
      <w:bookmarkStart w:id="43" w:name="_Toc26718931"/>
      <w:bookmarkStart w:id="44" w:name="_Toc104993674"/>
      <w:bookmarkStart w:id="45" w:name="_Toc105060389"/>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210F4A9D9514149AC47FA0AB2C24B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GB/T 38335　光伏发电站运行规程</w:t>
      </w:r>
    </w:p>
    <w:p>
      <w:pPr>
        <w:pStyle w:val="57"/>
        <w:ind w:firstLine="420"/>
      </w:pPr>
      <w:r>
        <w:rPr>
          <w:rFonts w:hint="eastAsia"/>
        </w:rPr>
        <w:t>GB 50009　建筑结构荷载规范</w:t>
      </w:r>
    </w:p>
    <w:p>
      <w:pPr>
        <w:pStyle w:val="57"/>
        <w:ind w:firstLine="420"/>
      </w:pPr>
      <w:r>
        <w:rPr>
          <w:rFonts w:hint="eastAsia"/>
        </w:rPr>
        <w:t>GB 50217　电力工程电缆设计标准</w:t>
      </w:r>
    </w:p>
    <w:p>
      <w:pPr>
        <w:pStyle w:val="57"/>
        <w:ind w:firstLine="420"/>
      </w:pPr>
      <w:r>
        <w:rPr>
          <w:rFonts w:hint="eastAsia"/>
        </w:rPr>
        <w:t>GB 50794　光伏发电站施工规范</w:t>
      </w:r>
    </w:p>
    <w:p>
      <w:pPr>
        <w:pStyle w:val="57"/>
        <w:ind w:firstLine="420"/>
      </w:pPr>
      <w:r>
        <w:rPr>
          <w:rFonts w:hint="eastAsia"/>
        </w:rPr>
        <w:t>GB 50797　光伏发电站设计规范</w:t>
      </w:r>
    </w:p>
    <w:p>
      <w:pPr>
        <w:pStyle w:val="57"/>
        <w:ind w:firstLine="420"/>
      </w:pPr>
      <w:r>
        <w:rPr>
          <w:rFonts w:hint="eastAsia"/>
        </w:rPr>
        <w:t>GB 51101　太阳能发电站支架基础技术规范</w:t>
      </w:r>
    </w:p>
    <w:p>
      <w:pPr>
        <w:pStyle w:val="57"/>
        <w:ind w:firstLine="420"/>
      </w:pPr>
      <w:r>
        <w:rPr>
          <w:rFonts w:hint="eastAsia"/>
        </w:rPr>
        <w:t>JTG/T D33　公路排水设计规范</w:t>
      </w:r>
    </w:p>
    <w:p>
      <w:pPr>
        <w:pStyle w:val="57"/>
        <w:ind w:firstLine="420"/>
      </w:pPr>
      <w:r>
        <w:rPr>
          <w:rFonts w:hint="eastAsia"/>
        </w:rPr>
        <w:t>JTG D81　公路交通安全设施设计规范</w:t>
      </w:r>
    </w:p>
    <w:p>
      <w:pPr>
        <w:pStyle w:val="57"/>
        <w:ind w:firstLine="420"/>
      </w:pPr>
      <w:r>
        <w:rPr>
          <w:rFonts w:hint="eastAsia"/>
        </w:rPr>
        <w:t>JTG H30　公路养护安全作业规程</w:t>
      </w:r>
    </w:p>
    <w:p>
      <w:pPr>
        <w:pStyle w:val="57"/>
        <w:ind w:firstLine="420"/>
      </w:pPr>
      <w:r>
        <w:rPr>
          <w:rFonts w:hint="eastAsia"/>
        </w:rPr>
        <w:t>DB37/T 3366　山东省涉路工程技术规范</w:t>
      </w:r>
    </w:p>
    <w:p>
      <w:pPr>
        <w:pStyle w:val="105"/>
        <w:spacing w:before="312" w:after="312"/>
      </w:pPr>
      <w:bookmarkStart w:id="46" w:name="_Toc104993675"/>
      <w:bookmarkStart w:id="47" w:name="_Toc105060390"/>
      <w:bookmarkStart w:id="48" w:name="_Toc104993328"/>
      <w:bookmarkStart w:id="49" w:name="_Toc104990944"/>
      <w:r>
        <w:rPr>
          <w:rFonts w:hint="eastAsia"/>
          <w:szCs w:val="21"/>
        </w:rPr>
        <w:t>术语和定义</w:t>
      </w:r>
      <w:bookmarkEnd w:id="46"/>
      <w:bookmarkEnd w:id="47"/>
      <w:bookmarkEnd w:id="48"/>
      <w:bookmarkEnd w:id="49"/>
    </w:p>
    <w:sdt>
      <w:sdtPr>
        <w:id w:val="-1909835108"/>
        <w:placeholder>
          <w:docPart w:val="B6C04ECD658C4D36A0E55EFDD044BE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50" w:name="_Toc26986532"/>
          <w:bookmarkEnd w:id="50"/>
          <w:r>
            <w:rPr>
              <w:rFonts w:hint="eastAsia"/>
            </w:rPr>
            <w:t>GB 50794、GB 50797和GB 51101</w:t>
          </w:r>
          <w:r>
            <w:t>界定的以及下列术语和定义适用于本文件。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高速公路边坡　highway slope</w:t>
      </w:r>
    </w:p>
    <w:p>
      <w:pPr>
        <w:pStyle w:val="57"/>
        <w:ind w:firstLine="420"/>
      </w:pPr>
      <w:r>
        <w:rPr>
          <w:rFonts w:hint="eastAsia"/>
        </w:rPr>
        <w:t>由高速公路开挖或填方施工，在路基横断面两侧与地面形成的坡面，包括路堑边坡和路堤边坡。</w:t>
      </w:r>
    </w:p>
    <w:p>
      <w:pPr>
        <w:pStyle w:val="180"/>
      </w:pPr>
      <w:r>
        <w:rPr>
          <w:rFonts w:hint="eastAsia"/>
        </w:rPr>
        <w:t>与公路平行方向为边坡纵向，简称纵向；与公路垂直方向为边坡横向，简称横向。</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路堤边坡　embankment slope</w:t>
      </w:r>
    </w:p>
    <w:p>
      <w:pPr>
        <w:pStyle w:val="57"/>
        <w:ind w:firstLine="420"/>
      </w:pPr>
      <w:r>
        <w:rPr>
          <w:rFonts w:hint="eastAsia"/>
        </w:rPr>
        <w:t>高于原地面的填方路基的边坡。</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光伏组件　PV module</w:t>
      </w:r>
    </w:p>
    <w:p>
      <w:pPr>
        <w:pStyle w:val="57"/>
        <w:ind w:firstLine="420"/>
      </w:pPr>
      <w:r>
        <w:rPr>
          <w:rFonts w:hint="eastAsia"/>
        </w:rPr>
        <w:t>具有封装及内部联结的、能单独提供直流电输岀的、最小不可分割的太阳电池组合装置，又称太阳电池组件(solar cell module)。</w:t>
      </w:r>
    </w:p>
    <w:p>
      <w:pPr>
        <w:pStyle w:val="57"/>
        <w:ind w:firstLine="420"/>
      </w:pPr>
      <w:r>
        <w:rPr>
          <w:rFonts w:hint="eastAsia"/>
        </w:rPr>
        <w:t>[来源：GB 50797—2012，2.1.1]</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螺旋桩　helical pile</w:t>
      </w:r>
    </w:p>
    <w:p>
      <w:pPr>
        <w:pStyle w:val="57"/>
        <w:ind w:firstLine="420"/>
      </w:pPr>
      <w:r>
        <w:rPr>
          <w:rFonts w:hint="eastAsia"/>
        </w:rPr>
        <w:t>桩杆上连接一个或多个螺旋状叶片，并通过在桩顶施加扭矩旋拧钻入土中形成的一种可承受竖向和水平向荷载作用的桩。</w:t>
      </w:r>
    </w:p>
    <w:p>
      <w:pPr>
        <w:pStyle w:val="57"/>
        <w:ind w:firstLine="420"/>
      </w:pPr>
      <w:r>
        <w:rPr>
          <w:rFonts w:hint="eastAsia"/>
        </w:rPr>
        <w:t>[来源：GB 51101—2016，2.1.8]</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光伏支架　PV supporting bracket</w:t>
      </w:r>
    </w:p>
    <w:p>
      <w:pPr>
        <w:pStyle w:val="57"/>
        <w:ind w:firstLine="420"/>
      </w:pPr>
      <w:r>
        <w:rPr>
          <w:rFonts w:hint="eastAsia"/>
        </w:rPr>
        <w:t>光伏发电系统中为了摆放、安装、固定光伏组件而设计的专用支架，简称支架。</w:t>
      </w:r>
    </w:p>
    <w:p>
      <w:pPr>
        <w:pStyle w:val="57"/>
        <w:ind w:firstLine="420"/>
      </w:pPr>
      <w:r>
        <w:rPr>
          <w:rFonts w:hint="eastAsia"/>
        </w:rPr>
        <w:t>[来源：GB 50794—2012，2.0.3]</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逆变器　inverter</w:t>
      </w:r>
    </w:p>
    <w:p>
      <w:pPr>
        <w:pStyle w:val="57"/>
        <w:ind w:firstLine="420"/>
      </w:pPr>
      <w:r>
        <w:rPr>
          <w:rFonts w:hint="eastAsia"/>
        </w:rPr>
        <w:t>光伏发电站内将直流电变换成交流电的设备。</w:t>
      </w:r>
    </w:p>
    <w:p>
      <w:pPr>
        <w:pStyle w:val="57"/>
        <w:ind w:firstLine="420"/>
      </w:pPr>
      <w:r>
        <w:rPr>
          <w:rFonts w:hint="eastAsia"/>
        </w:rPr>
        <w:t>[来源：GB 50794—2012，2.0.7]</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箱式变电站　box-type substation</w:t>
      </w:r>
    </w:p>
    <w:p>
      <w:pPr>
        <w:pStyle w:val="57"/>
        <w:ind w:firstLine="420"/>
      </w:pPr>
      <w:r>
        <w:rPr>
          <w:rFonts w:hint="eastAsia"/>
        </w:rPr>
        <w:t>将电力变压器、高压和低压开关及控制设备等集成到箱体内的整体式变配电设备。</w:t>
      </w:r>
    </w:p>
    <w:p>
      <w:pPr>
        <w:pStyle w:val="105"/>
        <w:spacing w:before="312" w:after="312"/>
      </w:pPr>
      <w:bookmarkStart w:id="51" w:name="_Toc104993676"/>
      <w:bookmarkStart w:id="52" w:name="_Toc104993329"/>
      <w:bookmarkStart w:id="53" w:name="_Toc105060391"/>
      <w:r>
        <w:rPr>
          <w:rFonts w:hint="eastAsia"/>
        </w:rPr>
        <w:t>基本规定</w:t>
      </w:r>
      <w:bookmarkEnd w:id="51"/>
      <w:bookmarkEnd w:id="52"/>
      <w:bookmarkEnd w:id="53"/>
    </w:p>
    <w:p>
      <w:pPr>
        <w:pStyle w:val="163"/>
      </w:pPr>
      <w:r>
        <w:rPr>
          <w:rFonts w:hint="eastAsia"/>
        </w:rPr>
        <w:t>高速公路边坡光伏发电工程设计及施工应考虑交通事故及二次事故影响，识别安全应急风险，并制订应急预案。</w:t>
      </w:r>
    </w:p>
    <w:p>
      <w:pPr>
        <w:pStyle w:val="163"/>
      </w:pPr>
      <w:r>
        <w:rPr>
          <w:rFonts w:hint="eastAsia"/>
        </w:rPr>
        <w:t>应结合环境保护和水土保持要求，从高速公路边坡光伏发电工程全生命周期角度，考虑其建设及运行对环境的影响。</w:t>
      </w:r>
    </w:p>
    <w:p>
      <w:pPr>
        <w:pStyle w:val="163"/>
      </w:pPr>
      <w:r>
        <w:rPr>
          <w:rFonts w:hint="eastAsia"/>
        </w:rPr>
        <w:t>光伏发电站设计在满足安全性和可靠性的同时，宜采用绿色、环保、节能、低碳的材料与设施。</w:t>
      </w:r>
    </w:p>
    <w:p>
      <w:pPr>
        <w:pStyle w:val="163"/>
      </w:pPr>
      <w:r>
        <w:rPr>
          <w:rFonts w:hint="eastAsia"/>
        </w:rPr>
        <w:t>高速公路边坡光伏发电工程主要流程包括设计、施工与验收，应加强流程实施相关方之间的信息沟通与协调，建设流程参照附录A。</w:t>
      </w:r>
    </w:p>
    <w:p>
      <w:pPr>
        <w:pStyle w:val="105"/>
        <w:spacing w:before="312" w:after="312"/>
      </w:pPr>
      <w:bookmarkStart w:id="54" w:name="_Toc104993330"/>
      <w:bookmarkStart w:id="55" w:name="_Toc104993677"/>
      <w:bookmarkStart w:id="56" w:name="_Toc105060392"/>
      <w:r>
        <w:rPr>
          <w:rFonts w:hint="eastAsia"/>
        </w:rPr>
        <w:t>项目选址</w:t>
      </w:r>
      <w:bookmarkEnd w:id="54"/>
      <w:bookmarkEnd w:id="55"/>
      <w:bookmarkEnd w:id="56"/>
    </w:p>
    <w:p>
      <w:pPr>
        <w:pStyle w:val="163"/>
      </w:pPr>
      <w:r>
        <w:rPr>
          <w:rFonts w:hint="eastAsia"/>
        </w:rPr>
        <w:t>应对项目建设路段工程地质情况进行勘探和调查，根据地形地貌特征、水文特征、结构和主要地层的分布及物理力学性质等选取项目建设路段。</w:t>
      </w:r>
    </w:p>
    <w:p>
      <w:pPr>
        <w:pStyle w:val="163"/>
      </w:pPr>
      <w:r>
        <w:rPr>
          <w:rFonts w:hint="eastAsia"/>
        </w:rPr>
        <w:t>应充分考虑光资源利用率和眩光安全性，宜选择东西走向直线路段向阳侧边坡和不产生眩光影响的曲线路段向阳侧边坡进行工程建设。</w:t>
      </w:r>
    </w:p>
    <w:p>
      <w:pPr>
        <w:pStyle w:val="163"/>
      </w:pPr>
      <w:r>
        <w:rPr>
          <w:rFonts w:hint="eastAsia"/>
        </w:rPr>
        <w:t>应充分考虑施工、运营安全性及施工难度，宜选择路堤边坡进行项目建设。</w:t>
      </w:r>
    </w:p>
    <w:p>
      <w:pPr>
        <w:pStyle w:val="163"/>
      </w:pPr>
      <w:r>
        <w:rPr>
          <w:rFonts w:hint="eastAsia"/>
        </w:rPr>
        <w:t>应充分考虑路基边坡地质条件，宜选取填土路基及混填路基进行项目建设。</w:t>
      </w:r>
    </w:p>
    <w:p>
      <w:pPr>
        <w:pStyle w:val="163"/>
      </w:pPr>
      <w:r>
        <w:rPr>
          <w:rFonts w:hint="eastAsia"/>
        </w:rPr>
        <w:t>应充分结合边坡本身植被情况，宜选择少树木或无树木的边坡进行项目建设，并应建模确认9:00—15:00时段内边坡内外构筑物和树木等对光伏组件无阴影遮挡。</w:t>
      </w:r>
    </w:p>
    <w:p>
      <w:pPr>
        <w:pStyle w:val="163"/>
      </w:pPr>
      <w:r>
        <w:rPr>
          <w:rFonts w:hint="eastAsia"/>
        </w:rPr>
        <w:t>应充分考虑路段交通流量和交通事故情况，宜选择流量小、交通事故少的路段进行项目建设。</w:t>
      </w:r>
    </w:p>
    <w:p>
      <w:pPr>
        <w:pStyle w:val="163"/>
      </w:pPr>
      <w:r>
        <w:rPr>
          <w:rFonts w:hint="eastAsia"/>
        </w:rPr>
        <w:t>应考虑边坡排水及耐冲刷需求，宜选择具备集中排水系统或易于进行排水改造的边坡进行项目建设。</w:t>
      </w:r>
    </w:p>
    <w:p>
      <w:pPr>
        <w:pStyle w:val="163"/>
      </w:pPr>
      <w:r>
        <w:rPr>
          <w:rFonts w:hint="eastAsia"/>
        </w:rPr>
        <w:t>建设自发自用、余电上网的边坡光伏发电工程，宜选择高速公路服务区、隧道、收费站等大用电量场景的临近路段边坡；建设全额上网的边坡光伏发电工程，宜选择并网条件便利的路段边坡。</w:t>
      </w:r>
    </w:p>
    <w:p>
      <w:pPr>
        <w:pStyle w:val="105"/>
        <w:spacing w:before="312" w:after="312"/>
      </w:pPr>
      <w:bookmarkStart w:id="57" w:name="_Toc104993678"/>
      <w:bookmarkStart w:id="58" w:name="_Toc104993331"/>
      <w:bookmarkStart w:id="59" w:name="_Toc105060393"/>
      <w:r>
        <w:rPr>
          <w:rFonts w:hint="eastAsia"/>
        </w:rPr>
        <w:t>技术要求</w:t>
      </w:r>
      <w:bookmarkEnd w:id="57"/>
      <w:bookmarkEnd w:id="58"/>
      <w:bookmarkEnd w:id="59"/>
    </w:p>
    <w:p>
      <w:pPr>
        <w:pStyle w:val="106"/>
        <w:spacing w:before="156" w:after="156"/>
      </w:pPr>
      <w:r>
        <w:rPr>
          <w:rFonts w:hint="eastAsia"/>
        </w:rPr>
        <w:t>一般要求</w:t>
      </w:r>
    </w:p>
    <w:p>
      <w:pPr>
        <w:pStyle w:val="166"/>
      </w:pPr>
      <w:r>
        <w:rPr>
          <w:rFonts w:hint="eastAsia"/>
        </w:rPr>
        <w:t>应按照DB37/T 3366要求，对边坡光伏发电工程设计方案进行涉路评价，并按涉路评价结果进行高速公路护栏、边坡排水系统等设计。护栏防护等级应满足JTG D81的规定，边坡排水系统设计应满足JTG/T D33的规定。</w:t>
      </w:r>
    </w:p>
    <w:p>
      <w:pPr>
        <w:pStyle w:val="166"/>
      </w:pPr>
      <w:r>
        <w:rPr>
          <w:rFonts w:hint="eastAsia"/>
        </w:rPr>
        <w:t>宜采用安全性高的新工艺、新材料对暴露于组件方阵以外的支架、支架基础、钢结构棱角等实施安全防护措施。</w:t>
      </w:r>
    </w:p>
    <w:p>
      <w:pPr>
        <w:pStyle w:val="166"/>
      </w:pPr>
      <w:r>
        <w:rPr>
          <w:rFonts w:hint="eastAsia"/>
        </w:rPr>
        <w:t>项目施工不应破坏高速公路边坡原有设施的基本功能。</w:t>
      </w:r>
    </w:p>
    <w:p>
      <w:pPr>
        <w:pStyle w:val="166"/>
      </w:pPr>
      <w:r>
        <w:rPr>
          <w:rFonts w:hint="eastAsia"/>
        </w:rPr>
        <w:t>应减少土石方挖填施工，降低对地表植被和表层土的破坏；应减少开挖施工对边坡及道路基础的影响，保证公路路基稳定。</w:t>
      </w:r>
    </w:p>
    <w:p>
      <w:pPr>
        <w:pStyle w:val="166"/>
      </w:pPr>
      <w:r>
        <w:rPr>
          <w:rFonts w:hint="eastAsia"/>
        </w:rPr>
        <w:t>应按照GB 50797要求，对边坡光伏发电工程进行过电压保护、防雷接地和消防设计。</w:t>
      </w:r>
    </w:p>
    <w:p>
      <w:pPr>
        <w:pStyle w:val="166"/>
      </w:pPr>
      <w:r>
        <w:rPr>
          <w:rFonts w:hint="eastAsia"/>
        </w:rPr>
        <w:t>工程使用启动前，应进行系统调试，并对植被及施工表面恢复补救情况、交通安全设施、排水设施功能、结构稳定性、设备布置及运行、电气和线路安全性等进行必要检查。</w:t>
      </w:r>
    </w:p>
    <w:p>
      <w:pPr>
        <w:pStyle w:val="106"/>
        <w:spacing w:before="156" w:after="156"/>
      </w:pPr>
      <w:r>
        <w:rPr>
          <w:rFonts w:hint="eastAsia"/>
        </w:rPr>
        <w:t>支架基础</w:t>
      </w:r>
    </w:p>
    <w:p>
      <w:pPr>
        <w:pStyle w:val="166"/>
      </w:pPr>
      <w:r>
        <w:rPr>
          <w:rFonts w:hint="eastAsia"/>
        </w:rPr>
        <w:t>应根据所选路段的岩土工程勘察结果，进行支架基础设计。</w:t>
      </w:r>
    </w:p>
    <w:p>
      <w:pPr>
        <w:pStyle w:val="166"/>
      </w:pPr>
      <w:r>
        <w:rPr>
          <w:rFonts w:hint="eastAsia"/>
        </w:rPr>
        <w:t>应减少支架基础施工对边坡稳定性产生的不良影响，宜采用螺旋桩等破坏性小的支架基础型式。</w:t>
      </w:r>
    </w:p>
    <w:p>
      <w:pPr>
        <w:pStyle w:val="166"/>
      </w:pPr>
      <w:r>
        <w:rPr>
          <w:rFonts w:hint="eastAsia"/>
        </w:rPr>
        <w:t>螺旋桩支架基础型式相关技术要求，包括但不限于：</w:t>
      </w:r>
    </w:p>
    <w:p>
      <w:pPr>
        <w:pStyle w:val="175"/>
      </w:pPr>
      <w:r>
        <w:rPr>
          <w:rFonts w:hint="eastAsia"/>
        </w:rPr>
        <w:t>为设计提供依据的试验应在设计前进行，基桩载荷试验、锚杆的抗拔试验及平板载荷试验等应加载至破坏或设计要求值。支架基础竖向拉力值应根据GB 50009中50年一遇的风荷载数值取值，结构建模计算确定；</w:t>
      </w:r>
    </w:p>
    <w:p>
      <w:pPr>
        <w:pStyle w:val="175"/>
      </w:pPr>
      <w:r>
        <w:rPr>
          <w:rFonts w:hint="eastAsia"/>
        </w:rPr>
        <w:t>通常采用便携式旋紧机进行打桩作业，如遇钻进困难可预成小孔后再旋拧，预成孔孔径不应超过桩杆直径；</w:t>
      </w:r>
    </w:p>
    <w:p>
      <w:pPr>
        <w:pStyle w:val="175"/>
      </w:pPr>
      <w:r>
        <w:rPr>
          <w:rFonts w:hint="eastAsia"/>
        </w:rPr>
        <w:t>螺旋桩施工完毕后，应测量螺旋桩位置，当桩位偏差大于30</w:t>
      </w:r>
      <w:r>
        <w:t> </w:t>
      </w:r>
      <w:r>
        <w:rPr>
          <w:rFonts w:hint="eastAsia"/>
        </w:rPr>
        <w:t>mm或大于桩直径的10</w:t>
      </w:r>
      <w:r>
        <w:t> </w:t>
      </w:r>
      <w:r>
        <w:rPr>
          <w:rFonts w:hint="eastAsia"/>
        </w:rPr>
        <w:t>%时，应进行纠偏，并用素土或砂浆等填充材料回填螺旋桩与边坡之间的缝隙。</w:t>
      </w:r>
    </w:p>
    <w:p>
      <w:pPr>
        <w:pStyle w:val="106"/>
        <w:spacing w:before="156" w:after="156"/>
      </w:pPr>
      <w:r>
        <w:rPr>
          <w:rFonts w:hint="eastAsia"/>
        </w:rPr>
        <w:t>支架</w:t>
      </w:r>
    </w:p>
    <w:p>
      <w:pPr>
        <w:pStyle w:val="166"/>
      </w:pPr>
      <w:r>
        <w:rPr>
          <w:rFonts w:hint="eastAsia"/>
        </w:rPr>
        <w:t>高速公路边坡光伏可选用刚性支架、柔性支架或一体化安装等形式，宜采用刚性材料较少的柔性支架等安装方式。</w:t>
      </w:r>
    </w:p>
    <w:p>
      <w:pPr>
        <w:pStyle w:val="166"/>
      </w:pPr>
      <w:r>
        <w:rPr>
          <w:rFonts w:hint="eastAsia"/>
        </w:rPr>
        <w:t>支架的风荷载、雪荷载和温度应力应按GB 50009中50年一遇的荷载数值取值。</w:t>
      </w:r>
    </w:p>
    <w:p>
      <w:pPr>
        <w:pStyle w:val="166"/>
      </w:pPr>
      <w:r>
        <w:rPr>
          <w:rFonts w:hint="eastAsia"/>
        </w:rPr>
        <w:t>应根据不同地区的实际环境确定支架的防腐处理要求，可采用热浸镀锌或镀镁铝锌等方式进行表面处理。</w:t>
      </w:r>
    </w:p>
    <w:p>
      <w:pPr>
        <w:pStyle w:val="166"/>
      </w:pPr>
      <w:r>
        <w:rPr>
          <w:rFonts w:hint="eastAsia"/>
        </w:rPr>
        <w:t>支架安装施工宜采用螺栓连接方式，组件与支架之间螺栓的螺杆朝向地面。</w:t>
      </w:r>
    </w:p>
    <w:p>
      <w:pPr>
        <w:pStyle w:val="166"/>
      </w:pPr>
      <w:r>
        <w:rPr>
          <w:rFonts w:hint="eastAsia"/>
        </w:rPr>
        <w:t>应保证支架立柱与支架基础连接牢固，纵横两向排布于同一直线上，且同一阵列内立柱顶点位</w:t>
      </w:r>
    </w:p>
    <w:p>
      <w:pPr>
        <w:pStyle w:val="166"/>
        <w:numPr>
          <w:ilvl w:val="3"/>
          <w:numId w:val="0"/>
        </w:numPr>
      </w:pPr>
      <w:r>
        <w:rPr>
          <w:rFonts w:hint="eastAsia"/>
        </w:rPr>
        <w:t>于与边坡平行的同一倾斜面内。以倾斜面为基准，支架的高度偏差应不大于5</w:t>
      </w:r>
      <w:r>
        <w:t> </w:t>
      </w:r>
      <w:r>
        <w:rPr>
          <w:rFonts w:hint="eastAsia"/>
        </w:rPr>
        <w:t>mm。</w:t>
      </w:r>
    </w:p>
    <w:p>
      <w:pPr>
        <w:pStyle w:val="166"/>
      </w:pPr>
      <w:r>
        <w:rPr>
          <w:rFonts w:hint="eastAsia"/>
        </w:rPr>
        <w:t>采用刚性支架时，应确保同一光伏方阵内各横梁相互平行，连接点不应位于两块光伏板空隙之间。</w:t>
      </w:r>
    </w:p>
    <w:p>
      <w:pPr>
        <w:pStyle w:val="166"/>
      </w:pPr>
      <w:r>
        <w:rPr>
          <w:rFonts w:hint="eastAsia"/>
        </w:rPr>
        <w:t>采用柔性支架时，结合边坡地形进行结构设计，支架柱间跨度不小于5</w:t>
      </w:r>
      <w:r>
        <w:t> </w:t>
      </w:r>
      <w:r>
        <w:rPr>
          <w:rFonts w:hint="eastAsia"/>
        </w:rPr>
        <w:t>m。组件安装前使用专用锚具对钢铰线进行预张拉，确保钢索不会出现明显下沉与偏移，单根拉锁长度不宜超过120</w:t>
      </w:r>
      <w:r>
        <w:t> </w:t>
      </w:r>
      <w:r>
        <w:rPr>
          <w:rFonts w:hint="eastAsia"/>
        </w:rPr>
        <w:t>m。</w:t>
      </w:r>
    </w:p>
    <w:p>
      <w:pPr>
        <w:pStyle w:val="106"/>
        <w:spacing w:before="156" w:after="156"/>
      </w:pPr>
      <w:r>
        <w:rPr>
          <w:rFonts w:hint="eastAsia"/>
        </w:rPr>
        <w:t>组件</w:t>
      </w:r>
    </w:p>
    <w:p>
      <w:pPr>
        <w:pStyle w:val="166"/>
      </w:pPr>
      <w:r>
        <w:rPr>
          <w:rFonts w:hint="eastAsia"/>
        </w:rPr>
        <w:t>组件的选择应满足高效、防火的基本功能，宜采用低眩光的无边框或无玻璃光伏组件。</w:t>
      </w:r>
    </w:p>
    <w:p>
      <w:pPr>
        <w:pStyle w:val="166"/>
      </w:pPr>
      <w:r>
        <w:rPr>
          <w:rFonts w:hint="eastAsia"/>
        </w:rPr>
        <w:t>应结合边坡利用率、光伏建设容量、电缆用量等确定组件安装方向。</w:t>
      </w:r>
    </w:p>
    <w:p>
      <w:pPr>
        <w:pStyle w:val="166"/>
      </w:pPr>
      <w:r>
        <w:rPr>
          <w:rFonts w:hint="eastAsia"/>
        </w:rPr>
        <w:t>光伏方阵上缘与高速公路土路肩外边缘沿坡面的直线距离不小于1.5</w:t>
      </w:r>
      <w:r>
        <w:t> </w:t>
      </w:r>
      <w:r>
        <w:rPr>
          <w:rFonts w:hint="eastAsia"/>
        </w:rPr>
        <w:t>m；光伏组件与坡面垂直距离应为0.5</w:t>
      </w:r>
      <w:r>
        <w:t> </w:t>
      </w:r>
      <w:r>
        <w:rPr>
          <w:rFonts w:hint="eastAsia"/>
        </w:rPr>
        <w:t>m±0.1</w:t>
      </w:r>
      <w:r>
        <w:t> </w:t>
      </w:r>
      <w:r>
        <w:rPr>
          <w:rFonts w:hint="eastAsia"/>
        </w:rPr>
        <w:t>m，确保边坡草皮与组件无接触；边坡纵向相邻组件阵列间应设置宽度不小于1</w:t>
      </w:r>
      <w:r>
        <w:t> </w:t>
      </w:r>
      <w:r>
        <w:rPr>
          <w:rFonts w:hint="eastAsia"/>
        </w:rPr>
        <w:t>m的检修通道；边坡横向每隔两排组件设置一条维护通道，通道宽度应不小于0.5</w:t>
      </w:r>
      <w:r>
        <w:t> </w:t>
      </w:r>
      <w:r>
        <w:rPr>
          <w:rFonts w:hint="eastAsia"/>
        </w:rPr>
        <w:t>m。</w:t>
      </w:r>
    </w:p>
    <w:p>
      <w:pPr>
        <w:pStyle w:val="166"/>
      </w:pPr>
      <w:r>
        <w:rPr>
          <w:rFonts w:hint="eastAsia"/>
        </w:rPr>
        <w:t>将光伏组件与光伏支架牢固组装，并确保组件不会对电缆产生挤压。</w:t>
      </w:r>
    </w:p>
    <w:p>
      <w:pPr>
        <w:pStyle w:val="166"/>
      </w:pPr>
      <w:r>
        <w:rPr>
          <w:rFonts w:hint="eastAsia"/>
        </w:rPr>
        <w:t>采用横向自下而上，纵向自方阵一侧向另一侧的方式安装光伏组件。</w:t>
      </w:r>
    </w:p>
    <w:p>
      <w:pPr>
        <w:pStyle w:val="166"/>
      </w:pPr>
      <w:r>
        <w:rPr>
          <w:rFonts w:hint="eastAsia"/>
        </w:rPr>
        <w:t>同一光伏方阵内，组件间的间隔距离不小于20</w:t>
      </w:r>
      <w:r>
        <w:t> </w:t>
      </w:r>
      <w:r>
        <w:rPr>
          <w:rFonts w:hint="eastAsia"/>
        </w:rPr>
        <w:t>mm。</w:t>
      </w:r>
    </w:p>
    <w:p>
      <w:pPr>
        <w:pStyle w:val="166"/>
      </w:pPr>
      <w:r>
        <w:rPr>
          <w:rFonts w:hint="eastAsia"/>
        </w:rPr>
        <w:t>同一光伏方阵内的光伏组件应在与边坡平行的同一倾斜面内，光伏组件倾斜角度偏差允许范围为±1°，相邻光伏组件间的边缘高差不大于2</w:t>
      </w:r>
      <w:r>
        <w:t> </w:t>
      </w:r>
      <w:r>
        <w:rPr>
          <w:rFonts w:hint="eastAsia"/>
        </w:rPr>
        <w:t>mm，同组光伏组件间的边缘高差不大于5</w:t>
      </w:r>
      <w:r>
        <w:t> </w:t>
      </w:r>
      <w:r>
        <w:rPr>
          <w:rFonts w:hint="eastAsia"/>
        </w:rPr>
        <w:t>mm。</w:t>
      </w:r>
    </w:p>
    <w:p>
      <w:pPr>
        <w:pStyle w:val="106"/>
        <w:spacing w:before="156" w:after="156"/>
      </w:pPr>
      <w:r>
        <w:rPr>
          <w:rFonts w:hint="eastAsia"/>
        </w:rPr>
        <w:t>逆变器</w:t>
      </w:r>
    </w:p>
    <w:p>
      <w:pPr>
        <w:pStyle w:val="166"/>
      </w:pPr>
      <w:r>
        <w:rPr>
          <w:rFonts w:hint="eastAsia"/>
        </w:rPr>
        <w:t>应选用具备频率异常耐受能力、高低电压穿越能力、系统异常电压耐受能力、防孤岛保护能力等功能的逆变器，必要时选用具备组串智能分断功能的逆变器。</w:t>
      </w:r>
    </w:p>
    <w:p>
      <w:pPr>
        <w:pStyle w:val="166"/>
      </w:pPr>
      <w:r>
        <w:rPr>
          <w:rFonts w:hint="eastAsia"/>
        </w:rPr>
        <w:t>应结合光伏方阵排布、电缆用量、线损、箱式变电站布置方案、外线接入方案等确定逆变器安装位置，且不应对光伏组件形成光线遮挡。</w:t>
      </w:r>
    </w:p>
    <w:p>
      <w:pPr>
        <w:pStyle w:val="166"/>
      </w:pPr>
      <w:r>
        <w:rPr>
          <w:rFonts w:hint="eastAsia"/>
        </w:rPr>
        <w:t>宜采用壁挂方式将逆变器安装于坡脚位置，逆变器与地面的垂直距离不小于1</w:t>
      </w:r>
      <w:r>
        <w:t> </w:t>
      </w:r>
      <w:r>
        <w:rPr>
          <w:rFonts w:hint="eastAsia"/>
        </w:rPr>
        <w:t>m，壁挂支架基础外沿与排水沟净距不小于0.5</w:t>
      </w:r>
      <w:r>
        <w:t> </w:t>
      </w:r>
      <w:r>
        <w:rPr>
          <w:rFonts w:hint="eastAsia"/>
        </w:rPr>
        <w:t>m，逆变器安装不应破坏原排水系统。</w:t>
      </w:r>
    </w:p>
    <w:p>
      <w:pPr>
        <w:pStyle w:val="166"/>
      </w:pPr>
      <w:r>
        <w:rPr>
          <w:rFonts w:hint="eastAsia"/>
        </w:rPr>
        <w:t>电缆与逆变器连接前，应检查电缆绝缘性，并校对电缆相序和/或极性。</w:t>
      </w:r>
    </w:p>
    <w:p>
      <w:pPr>
        <w:pStyle w:val="166"/>
      </w:pPr>
      <w:r>
        <w:rPr>
          <w:rFonts w:hint="eastAsia"/>
        </w:rPr>
        <w:t>采用套管将逆变器直流进线缆与交流出线缆接入地面，对直流电缆进行组串标号，对交流电缆编号并挂标识牌。</w:t>
      </w:r>
    </w:p>
    <w:p>
      <w:pPr>
        <w:pStyle w:val="166"/>
      </w:pPr>
      <w:r>
        <w:rPr>
          <w:rFonts w:hint="eastAsia"/>
        </w:rPr>
        <w:t>应在逆变器明显位置设置防触电警示标识。</w:t>
      </w:r>
    </w:p>
    <w:p>
      <w:pPr>
        <w:pStyle w:val="106"/>
        <w:spacing w:before="156" w:after="156"/>
      </w:pPr>
      <w:r>
        <w:rPr>
          <w:rFonts w:hint="eastAsia"/>
        </w:rPr>
        <w:t>箱式变电站</w:t>
      </w:r>
    </w:p>
    <w:p>
      <w:pPr>
        <w:pStyle w:val="166"/>
      </w:pPr>
      <w:r>
        <w:rPr>
          <w:rFonts w:hint="eastAsia"/>
        </w:rPr>
        <w:t>箱式变电站建设应考虑环境保护及安全防护需求，宜选择干式变压器。</w:t>
      </w:r>
    </w:p>
    <w:p>
      <w:pPr>
        <w:pStyle w:val="166"/>
      </w:pPr>
      <w:r>
        <w:rPr>
          <w:rFonts w:hint="eastAsia"/>
        </w:rPr>
        <w:t>应结合边坡高度、高速公路隔离栅外土地性质等因素，确定箱式变电站的安装位置，宜安装在高速公路隔离栅以外。</w:t>
      </w:r>
    </w:p>
    <w:p>
      <w:pPr>
        <w:pStyle w:val="166"/>
      </w:pPr>
      <w:r>
        <w:rPr>
          <w:rFonts w:hint="eastAsia"/>
        </w:rPr>
        <w:t>确需将箱式变电站安装于隔离栅以内时，相关技术要求包括但不限于：</w:t>
      </w:r>
    </w:p>
    <w:p>
      <w:pPr>
        <w:pStyle w:val="175"/>
        <w:numPr>
          <w:ilvl w:val="0"/>
          <w:numId w:val="32"/>
        </w:numPr>
      </w:pPr>
      <w:r>
        <w:rPr>
          <w:rFonts w:hint="eastAsia"/>
        </w:rPr>
        <w:t>应结合光伏方阵排布、接入方案、线缆用量、走线便利性等，确定箱式变电站安装位置，宜放置于电网接入点附近，箱式变电站不应对光伏方阵造成光线遮挡；</w:t>
      </w:r>
    </w:p>
    <w:p>
      <w:pPr>
        <w:pStyle w:val="175"/>
      </w:pPr>
      <w:r>
        <w:rPr>
          <w:rFonts w:hint="eastAsia"/>
        </w:rPr>
        <w:t>应结合基础承载力、边坡抗雨水冲刷能力及水土保持需求，预留边坡导水通道，设计箱式变电站基础；</w:t>
      </w:r>
    </w:p>
    <w:p>
      <w:pPr>
        <w:pStyle w:val="175"/>
      </w:pPr>
      <w:r>
        <w:rPr>
          <w:rFonts w:hint="eastAsia"/>
        </w:rPr>
        <w:t>箱式变电站应安装于坡底位置，安装完成后的箱体最高点宜低于高速公路路面，箱体最低点与地面的间距应不小于0.4</w:t>
      </w:r>
      <w:r>
        <w:t> </w:t>
      </w:r>
      <w:r>
        <w:rPr>
          <w:rFonts w:hint="eastAsia"/>
        </w:rPr>
        <w:t>m，且保证箱体水平；</w:t>
      </w:r>
    </w:p>
    <w:p>
      <w:pPr>
        <w:pStyle w:val="175"/>
      </w:pPr>
      <w:r>
        <w:rPr>
          <w:rFonts w:hint="eastAsia"/>
        </w:rPr>
        <w:t>应围绕箱式变电站搭建检修平台，检修平台应设置防护围栏，围栏高度不低于1 m，应设置检修扶梯与检修平台连接，并在高速公路隔离栅处预留维修通道。</w:t>
      </w:r>
    </w:p>
    <w:p>
      <w:pPr>
        <w:pStyle w:val="166"/>
      </w:pPr>
      <w:r>
        <w:rPr>
          <w:rFonts w:hint="eastAsia"/>
        </w:rPr>
        <w:t>应加强箱式变电站安装区域的安全防护，必要时提升公路护栏等级，并在箱式变电站的明显位置设置防触电警示标识。</w:t>
      </w:r>
    </w:p>
    <w:p>
      <w:pPr>
        <w:pStyle w:val="106"/>
        <w:spacing w:before="156" w:after="156"/>
      </w:pPr>
      <w:r>
        <w:rPr>
          <w:rFonts w:hint="eastAsia"/>
        </w:rPr>
        <w:t>电缆</w:t>
      </w:r>
    </w:p>
    <w:p>
      <w:pPr>
        <w:pStyle w:val="166"/>
      </w:pPr>
      <w:r>
        <w:rPr>
          <w:rFonts w:hint="eastAsia"/>
        </w:rPr>
        <w:t>电缆选择与敷设满足GB 50217的规定，宜采取穿管埋地敷设方式，应在边坡下沿敷设电缆，埋地深度应不小于0.8</w:t>
      </w:r>
      <w:r>
        <w:t> </w:t>
      </w:r>
      <w:r>
        <w:rPr>
          <w:rFonts w:hint="eastAsia"/>
        </w:rPr>
        <w:t>m，直埋电缆与排水沟净距不小于0.5</w:t>
      </w:r>
      <w:r>
        <w:t> </w:t>
      </w:r>
      <w:r>
        <w:rPr>
          <w:rFonts w:hint="eastAsia"/>
        </w:rPr>
        <w:t>m；遇不易开挖的边坡路段可采取桥架敷设方式，桥架宜布置于坡脚位置，应预制桥架基础架空桥架，桥架与地面的距离不小于0.1</w:t>
      </w:r>
      <w:r>
        <w:t> </w:t>
      </w:r>
      <w:r>
        <w:rPr>
          <w:rFonts w:hint="eastAsia"/>
        </w:rPr>
        <w:t>m。</w:t>
      </w:r>
    </w:p>
    <w:p>
      <w:pPr>
        <w:pStyle w:val="166"/>
      </w:pPr>
      <w:r>
        <w:rPr>
          <w:rFonts w:hint="eastAsia"/>
        </w:rPr>
        <w:t>敷设前应复核电缆型号、规格、电压等级等，并检查电缆外观及盘上电缆端头密封性。</w:t>
      </w:r>
    </w:p>
    <w:p>
      <w:pPr>
        <w:pStyle w:val="166"/>
      </w:pPr>
      <w:r>
        <w:rPr>
          <w:rFonts w:hint="eastAsia"/>
        </w:rPr>
        <w:t>电缆敷设前，沿电缆敷设路径检查电缆桥架、支架、电缆保护管等，并确认各单元区域的设备位号和平面位置符合设计要求。</w:t>
      </w:r>
    </w:p>
    <w:p>
      <w:pPr>
        <w:pStyle w:val="166"/>
      </w:pPr>
      <w:r>
        <w:rPr>
          <w:rFonts w:hint="eastAsia"/>
        </w:rPr>
        <w:t>电缆与公路交叉时，应采用非开挖方式敷设，并设置保护套管。高速公路、一级公路套管顶覆土深度不小于2</w:t>
      </w:r>
      <w:r>
        <w:t> </w:t>
      </w:r>
      <w:r>
        <w:rPr>
          <w:rFonts w:hint="eastAsia"/>
        </w:rPr>
        <w:t>m，二级及以下公路套管顶覆土深度不小于1.8</w:t>
      </w:r>
      <w:r>
        <w:t> </w:t>
      </w:r>
      <w:r>
        <w:rPr>
          <w:rFonts w:hint="eastAsia"/>
        </w:rPr>
        <w:t>m。</w:t>
      </w:r>
    </w:p>
    <w:p>
      <w:pPr>
        <w:pStyle w:val="166"/>
      </w:pPr>
      <w:r>
        <w:rPr>
          <w:rFonts w:hint="eastAsia"/>
        </w:rPr>
        <w:t>不应出现电缆外露情形，应对垂落的线缆进行捆扎固定，捆扎间距不大于0.3 m，防止直接垂落于坡面。</w:t>
      </w:r>
    </w:p>
    <w:p>
      <w:pPr>
        <w:pStyle w:val="166"/>
      </w:pPr>
      <w:r>
        <w:rPr>
          <w:rFonts w:hint="eastAsia"/>
        </w:rPr>
        <w:t>应沿电缆敷设路径的直线间隔100</w:t>
      </w:r>
      <w:r>
        <w:t> </w:t>
      </w:r>
      <w:r>
        <w:rPr>
          <w:rFonts w:hint="eastAsia"/>
        </w:rPr>
        <w:t>m、转弯处和接头部位，竖立明显的方位标识或标桩。</w:t>
      </w:r>
    </w:p>
    <w:p>
      <w:pPr>
        <w:pStyle w:val="106"/>
        <w:spacing w:before="156" w:after="156"/>
      </w:pPr>
      <w:r>
        <w:rPr>
          <w:rFonts w:hint="eastAsia"/>
        </w:rPr>
        <w:t>接入系统</w:t>
      </w:r>
    </w:p>
    <w:p>
      <w:pPr>
        <w:pStyle w:val="166"/>
      </w:pPr>
      <w:r>
        <w:rPr>
          <w:rFonts w:hint="eastAsia"/>
        </w:rPr>
        <w:t>光伏发电工程接入电网应满足GB/T 38335的有关规定。</w:t>
      </w:r>
    </w:p>
    <w:p>
      <w:pPr>
        <w:pStyle w:val="166"/>
      </w:pPr>
      <w:r>
        <w:rPr>
          <w:rFonts w:hint="eastAsia"/>
        </w:rPr>
        <w:t>光伏发电工程接入电网的电压等级应根据光伏发电站的容量及电网的具体情况，经技术经济比较后确定，宜采用10</w:t>
      </w:r>
      <w:r>
        <w:t> </w:t>
      </w:r>
      <w:r>
        <w:rPr>
          <w:rFonts w:hint="eastAsia"/>
        </w:rPr>
        <w:t>kV及以下电网等级接入。</w:t>
      </w:r>
    </w:p>
    <w:p>
      <w:pPr>
        <w:pStyle w:val="166"/>
      </w:pPr>
      <w:r>
        <w:rPr>
          <w:rFonts w:hint="eastAsia"/>
        </w:rPr>
        <w:t>光伏发电工程应具备与电力调度部门进行数据通信的能力，并网双方的通信系统应符合电网安全经济运行对电力通信的要求。</w:t>
      </w:r>
    </w:p>
    <w:p>
      <w:pPr>
        <w:pStyle w:val="166"/>
      </w:pPr>
      <w:r>
        <w:rPr>
          <w:rFonts w:hint="eastAsia"/>
        </w:rPr>
        <w:t>应充分考虑周边电网接入条件及要求，确定光伏发电工程接入点位，宜按就近并网原则将边坡光伏发电工程与边坡外并网点建立快速通道。</w:t>
      </w:r>
    </w:p>
    <w:p>
      <w:pPr>
        <w:pStyle w:val="166"/>
      </w:pPr>
      <w:r>
        <w:rPr>
          <w:rFonts w:hint="eastAsia"/>
        </w:rPr>
        <w:t>配电柜、计量柜等带电设施放置于边坡以外，应架高安装并采取隔离措施，并在明显位置设置警示标识。</w:t>
      </w:r>
    </w:p>
    <w:p>
      <w:pPr>
        <w:pStyle w:val="105"/>
        <w:spacing w:before="312" w:after="312"/>
      </w:pPr>
      <w:bookmarkStart w:id="60" w:name="_Toc104993332"/>
      <w:bookmarkStart w:id="61" w:name="_Toc105060394"/>
      <w:bookmarkStart w:id="62" w:name="_Toc104993679"/>
      <w:r>
        <w:rPr>
          <w:rFonts w:hint="eastAsia"/>
        </w:rPr>
        <w:t>施工交通组织</w:t>
      </w:r>
      <w:bookmarkEnd w:id="60"/>
      <w:bookmarkEnd w:id="61"/>
      <w:bookmarkEnd w:id="62"/>
    </w:p>
    <w:p>
      <w:pPr>
        <w:pStyle w:val="163"/>
      </w:pPr>
      <w:r>
        <w:rPr>
          <w:rFonts w:hint="eastAsia"/>
        </w:rPr>
        <w:t>应编制施工交通组织方案及应急管理预案，并有效实施，确保施工和行车安全，减少封闭时间及施工对交通的影响，不宜对周边路网造成交通压力。</w:t>
      </w:r>
    </w:p>
    <w:p>
      <w:pPr>
        <w:pStyle w:val="163"/>
      </w:pPr>
      <w:r>
        <w:rPr>
          <w:rFonts w:hint="eastAsia"/>
        </w:rPr>
        <w:t>应按照JTG H30的要求，采用封闭硬路肩交通组织方式布设交通控制设施，施工作业控制区布置参照附录B。施工作业前，应顺交通流方向布设交通控制设施；作业完成后，应逆交通流方向撤除相关安全设施，恢复正常交通。</w:t>
      </w:r>
    </w:p>
    <w:p>
      <w:pPr>
        <w:pStyle w:val="163"/>
      </w:pPr>
      <w:r>
        <w:rPr>
          <w:rFonts w:hint="eastAsia"/>
        </w:rPr>
        <w:t>施工期间应加强安全管控，落实施工安全和交通保障措施，重要位置设置安全提示，施工现场安全标志及安全警示设施参照附录C。</w:t>
      </w:r>
    </w:p>
    <w:p>
      <w:pPr>
        <w:pStyle w:val="163"/>
      </w:pPr>
      <w:r>
        <w:rPr>
          <w:rFonts w:hint="eastAsia"/>
        </w:rPr>
        <w:t>夜间及雨雪天气不应进行施工作业，需实施夜间应急管理时，应使用带有反光功能的安全设施。</w:t>
      </w:r>
    </w:p>
    <w:p>
      <w:pPr>
        <w:pStyle w:val="105"/>
        <w:spacing w:before="312" w:after="312"/>
      </w:pPr>
      <w:bookmarkStart w:id="63" w:name="_Toc104993333"/>
      <w:bookmarkStart w:id="64" w:name="_Toc104993680"/>
      <w:bookmarkStart w:id="65" w:name="_Toc105060395"/>
      <w:r>
        <w:rPr>
          <w:rFonts w:hint="eastAsia"/>
        </w:rPr>
        <w:t>监控测量</w:t>
      </w:r>
      <w:bookmarkEnd w:id="63"/>
      <w:bookmarkEnd w:id="64"/>
      <w:bookmarkEnd w:id="65"/>
    </w:p>
    <w:p>
      <w:pPr>
        <w:pStyle w:val="163"/>
      </w:pPr>
      <w:r>
        <w:rPr>
          <w:rFonts w:hint="eastAsia"/>
        </w:rPr>
        <w:t>应配备高速公路边坡光伏发电能效监测系统，对系统运行情况、发电量（年、月、日）、逆变器组串电压和电流等能效指标进行监控与统计。</w:t>
      </w:r>
    </w:p>
    <w:p>
      <w:pPr>
        <w:pStyle w:val="163"/>
      </w:pPr>
      <w:r>
        <w:rPr>
          <w:rFonts w:hint="eastAsia"/>
        </w:rPr>
        <w:t>应配备远程实时视频监控系统，对光伏发电工程、工程建设路段道路状况等场景进行在线监控，传输的图像质量不宜低于4CIF(704×576)，视频图像信息存储时间不应少于30</w:t>
      </w:r>
      <w:r>
        <w:t> </w:t>
      </w:r>
      <w:r>
        <w:rPr>
          <w:rFonts w:hint="eastAsia"/>
        </w:rPr>
        <w:t>d。</w:t>
      </w:r>
    </w:p>
    <w:p>
      <w:pPr>
        <w:pStyle w:val="163"/>
      </w:pPr>
      <w:r>
        <w:rPr>
          <w:rFonts w:hint="eastAsia"/>
        </w:rPr>
        <w:t>采用现场巡检、仪器监测等方法和手段，获取监测对象的安全状态、变化特征及发展趋势等信息，加强数据分析与利用。</w:t>
      </w:r>
    </w:p>
    <w:p>
      <w:pPr>
        <w:pStyle w:val="163"/>
      </w:pPr>
      <w:r>
        <w:rPr>
          <w:rFonts w:hint="eastAsia"/>
        </w:rPr>
        <w:t>按照电网公司的调度管理要求，配备光伏发电工程监测系统。</w:t>
      </w:r>
    </w:p>
    <w:p>
      <w:pPr>
        <w:pStyle w:val="105"/>
        <w:spacing w:before="312" w:after="312"/>
      </w:pPr>
      <w:bookmarkStart w:id="66" w:name="_Toc104993681"/>
      <w:bookmarkStart w:id="67" w:name="_Toc104993334"/>
      <w:bookmarkStart w:id="68" w:name="_Toc105060396"/>
      <w:r>
        <w:rPr>
          <w:rFonts w:hint="eastAsia"/>
        </w:rPr>
        <w:t>环境保护与水土保持</w:t>
      </w:r>
      <w:bookmarkEnd w:id="66"/>
      <w:bookmarkEnd w:id="67"/>
      <w:bookmarkEnd w:id="68"/>
    </w:p>
    <w:p>
      <w:pPr>
        <w:pStyle w:val="163"/>
      </w:pPr>
      <w:r>
        <w:rPr>
          <w:rFonts w:hint="eastAsia"/>
        </w:rPr>
        <w:t>应结合道路景观需求，统筹光伏发电工程的整体布置与规划。</w:t>
      </w:r>
    </w:p>
    <w:p>
      <w:pPr>
        <w:pStyle w:val="163"/>
      </w:pPr>
      <w:r>
        <w:rPr>
          <w:rFonts w:hint="eastAsia"/>
        </w:rPr>
        <w:t>应确保因项目施工所导致的土方开挖、路面破坏等临时性破坏情形得到有效恢复。</w:t>
      </w:r>
    </w:p>
    <w:p>
      <w:pPr>
        <w:pStyle w:val="163"/>
      </w:pPr>
      <w:r>
        <w:rPr>
          <w:rFonts w:hint="eastAsia"/>
        </w:rPr>
        <w:t>施工中应尽量减少对边坡植被的破坏，并应充分评估植被破坏对边坡抗冲刷能力的影响，施工结束后及时修复植被，并对边坡植被生长情况进行跟踪观测。</w:t>
      </w:r>
    </w:p>
    <w:p>
      <w:pPr>
        <w:pStyle w:val="163"/>
      </w:pPr>
      <w:r>
        <w:rPr>
          <w:rFonts w:hint="eastAsia"/>
        </w:rPr>
        <w:t>施工完毕后，应及时拆除临时设施，恢复既有地貌。</w:t>
      </w:r>
    </w:p>
    <w:p>
      <w:pPr>
        <w:pStyle w:val="163"/>
      </w:pPr>
      <w:r>
        <w:rPr>
          <w:rFonts w:hint="eastAsia"/>
        </w:rPr>
        <w:t>应减少施工污水、废油、废气等污染物的排放，对废弃物进行有效处理。</w:t>
      </w:r>
    </w:p>
    <w:p>
      <w:pPr>
        <w:pStyle w:val="57"/>
        <w:ind w:firstLine="420"/>
      </w:pPr>
    </w:p>
    <w:p>
      <w:pPr>
        <w:pStyle w:val="57"/>
        <w:ind w:firstLine="420"/>
      </w:pPr>
    </w:p>
    <w:p>
      <w:pPr>
        <w:pStyle w:val="57"/>
        <w:ind w:firstLine="420"/>
        <w:sectPr>
          <w:pgSz w:w="11906" w:h="16838"/>
          <w:pgMar w:top="567" w:right="1134" w:bottom="1134" w:left="1134" w:header="1418" w:footer="1134" w:gutter="284"/>
          <w:pgNumType w:start="1"/>
          <w:cols w:space="425" w:num="1"/>
          <w:formProt w:val="0"/>
          <w:docGrid w:type="lines" w:linePitch="312" w:charSpace="0"/>
        </w:sectPr>
      </w:pPr>
    </w:p>
    <w:bookmarkEnd w:id="20"/>
    <w:p>
      <w:pPr>
        <w:pStyle w:val="199"/>
        <w:rPr>
          <w:vanish w:val="0"/>
        </w:rPr>
      </w:pPr>
      <w:bookmarkStart w:id="69" w:name="BookMark5"/>
    </w:p>
    <w:p>
      <w:pPr>
        <w:pStyle w:val="200"/>
        <w:rPr>
          <w:vanish w:val="0"/>
        </w:rPr>
      </w:pPr>
    </w:p>
    <w:p>
      <w:pPr>
        <w:pStyle w:val="77"/>
        <w:spacing w:before="78" w:after="156"/>
      </w:pPr>
      <w:r>
        <w:br w:type="textWrapping"/>
      </w:r>
      <w:bookmarkStart w:id="70" w:name="_Toc104993335"/>
      <w:bookmarkStart w:id="71" w:name="_Toc104993682"/>
      <w:bookmarkStart w:id="72" w:name="_Toc105060397"/>
      <w:r>
        <w:rPr>
          <w:rFonts w:hint="eastAsia"/>
        </w:rPr>
        <w:t>（资料性）</w:t>
      </w:r>
      <w:r>
        <w:br w:type="textWrapping"/>
      </w:r>
      <w:r>
        <w:rPr>
          <w:rFonts w:hint="eastAsia"/>
        </w:rPr>
        <w:t>高速公路边坡光伏发电工程建设流程</w:t>
      </w:r>
      <w:bookmarkEnd w:id="70"/>
      <w:bookmarkEnd w:id="71"/>
      <w:bookmarkEnd w:id="72"/>
    </w:p>
    <w:p>
      <w:pPr>
        <w:pStyle w:val="57"/>
        <w:ind w:firstLine="420"/>
      </w:pPr>
      <w:r>
        <w:rPr>
          <w:rFonts w:hint="eastAsia"/>
        </w:rPr>
        <w:t>表A.1给出了高速公路边坡光伏发电工程建设的主要流程及相关说明。</w:t>
      </w:r>
    </w:p>
    <w:p>
      <w:pPr>
        <w:pStyle w:val="78"/>
        <w:spacing w:before="156" w:after="156"/>
      </w:pPr>
      <w:r>
        <w:rPr>
          <w:rFonts w:hint="eastAsia"/>
        </w:rPr>
        <w:t>高速公路边坡光伏发电工程建设流程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711"/>
        <w:gridCol w:w="3544"/>
        <w:gridCol w:w="41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711" w:type="dxa"/>
            <w:tcBorders>
              <w:top w:val="single" w:color="auto" w:sz="8" w:space="0"/>
              <w:bottom w:val="single" w:color="auto" w:sz="8" w:space="0"/>
            </w:tcBorders>
            <w:shd w:val="clear" w:color="auto" w:fill="auto"/>
            <w:vAlign w:val="center"/>
          </w:tcPr>
          <w:p>
            <w:pPr>
              <w:pStyle w:val="179"/>
            </w:pPr>
            <w:r>
              <w:rPr>
                <w:rFonts w:hint="eastAsia"/>
              </w:rPr>
              <w:t>阶段</w:t>
            </w:r>
          </w:p>
        </w:tc>
        <w:tc>
          <w:tcPr>
            <w:tcW w:w="3544" w:type="dxa"/>
            <w:tcBorders>
              <w:top w:val="single" w:color="auto" w:sz="8" w:space="0"/>
              <w:bottom w:val="single" w:color="auto" w:sz="8" w:space="0"/>
            </w:tcBorders>
            <w:shd w:val="clear" w:color="auto" w:fill="auto"/>
            <w:vAlign w:val="center"/>
          </w:tcPr>
          <w:p>
            <w:pPr>
              <w:pStyle w:val="179"/>
            </w:pPr>
            <w:r>
              <w:rPr>
                <w:rFonts w:hint="eastAsia"/>
              </w:rPr>
              <w:t>流程</w:t>
            </w:r>
          </w:p>
        </w:tc>
        <w:tc>
          <w:tcPr>
            <w:tcW w:w="4119" w:type="dxa"/>
            <w:tcBorders>
              <w:top w:val="single" w:color="auto" w:sz="8" w:space="0"/>
              <w:bottom w:val="single" w:color="auto" w:sz="8" w:space="0"/>
            </w:tcBorders>
            <w:shd w:val="clear" w:color="auto" w:fill="auto"/>
            <w:vAlign w:val="center"/>
          </w:tcPr>
          <w:p>
            <w:pPr>
              <w:pStyle w:val="179"/>
            </w:pPr>
            <w:r>
              <w:rPr>
                <w:rFonts w:hint="eastAsia"/>
              </w:rPr>
              <w:t>其他说明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711" w:type="dxa"/>
            <w:tcBorders>
              <w:top w:val="single" w:color="auto" w:sz="8" w:space="0"/>
            </w:tcBorders>
            <w:shd w:val="clear" w:color="auto" w:fill="auto"/>
            <w:vAlign w:val="center"/>
          </w:tcPr>
          <w:p>
            <w:pPr>
              <w:pStyle w:val="179"/>
            </w:pPr>
            <w:r>
              <w:rPr>
                <w:rFonts w:hint="eastAsia"/>
              </w:rPr>
              <w:t>设计</w:t>
            </w:r>
          </w:p>
        </w:tc>
        <w:tc>
          <w:tcPr>
            <w:tcW w:w="3544" w:type="dxa"/>
            <w:tcBorders>
              <w:top w:val="single" w:color="auto" w:sz="8" w:space="0"/>
            </w:tcBorders>
            <w:shd w:val="clear" w:color="auto" w:fill="auto"/>
            <w:vAlign w:val="center"/>
          </w:tcPr>
          <w:p>
            <w:pPr>
              <w:pStyle w:val="179"/>
              <w:jc w:val="left"/>
            </w:pPr>
            <w:r>
              <w:rPr>
                <w:rFonts w:ascii="Calibri" w:hAnsi="Calibri"/>
                <w:kern w:val="2"/>
                <w:sz w:val="21"/>
                <w:szCs w:val="21"/>
              </w:rPr>
              <mc:AlternateContent>
                <mc:Choice Requires="wps">
                  <w:drawing>
                    <wp:anchor distT="0" distB="0" distL="114300" distR="114300" simplePos="0" relativeHeight="251661312" behindDoc="0" locked="0" layoutInCell="1" allowOverlap="1">
                      <wp:simplePos x="0" y="0"/>
                      <wp:positionH relativeFrom="column">
                        <wp:posOffset>779780</wp:posOffset>
                      </wp:positionH>
                      <wp:positionV relativeFrom="paragraph">
                        <wp:posOffset>1899920</wp:posOffset>
                      </wp:positionV>
                      <wp:extent cx="0" cy="219075"/>
                      <wp:effectExtent l="76200" t="0" r="76200" b="47625"/>
                      <wp:wrapNone/>
                      <wp:docPr id="46" name="直接箭头连接符 46"/>
                      <wp:cNvGraphicFramePr/>
                      <a:graphic xmlns:a="http://schemas.openxmlformats.org/drawingml/2006/main">
                        <a:graphicData uri="http://schemas.microsoft.com/office/word/2010/wordprocessingShape">
                          <wps:wsp>
                            <wps:cNvCnPr/>
                            <wps:spPr bwMode="auto">
                              <a:xfrm>
                                <a:off x="0" y="0"/>
                                <a:ext cx="0" cy="21907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61.4pt;margin-top:149.6pt;height:17.25pt;width:0pt;z-index:251661312;mso-width-relative:page;mso-height-relative:page;" filled="f" stroked="t" coordsize="21600,21600" o:gfxdata="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GJ&#10;2SnZAAAACwEAAA8AAAAAAAAAAQAgAAAAIgAAAGRycy9kb3ducmV2LnhtbFBLAQIUABQAAAAIAIdO&#10;4kDFYkSO6QEAAKkDAAAOAAAAAAAAAAEAIAAAACgBAABkcnMvZTJvRG9jLnhtbFBLBQYAAAAABgAG&#10;AFkBAACDBQAAAAA=&#10;">
                      <v:fill on="f" focussize="0,0"/>
                      <v:stroke color="#000000" joinstyle="round" endarrow="block"/>
                      <v:imagedata o:title=""/>
                      <o:lock v:ext="edit" aspectratio="f"/>
                    </v:shape>
                  </w:pict>
                </mc:Fallback>
              </mc:AlternateContent>
            </w:r>
            <w:r>
              <w:rPr>
                <w:rFonts w:ascii="Calibri" w:hAnsi="Calibri"/>
                <w:kern w:val="2"/>
                <w:sz w:val="21"/>
                <w:szCs w:val="21"/>
              </w:rPr>
              <w:drawing>
                <wp:inline distT="0" distB="0" distL="0" distR="0">
                  <wp:extent cx="1543050" cy="18764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43050" cy="1876425"/>
                          </a:xfrm>
                          <a:prstGeom prst="rect">
                            <a:avLst/>
                          </a:prstGeom>
                          <a:noFill/>
                          <a:ln>
                            <a:noFill/>
                          </a:ln>
                        </pic:spPr>
                      </pic:pic>
                    </a:graphicData>
                  </a:graphic>
                </wp:inline>
              </w:drawing>
            </w:r>
          </w:p>
        </w:tc>
        <w:tc>
          <w:tcPr>
            <w:tcW w:w="4119" w:type="dxa"/>
            <w:tcBorders>
              <w:top w:val="single" w:color="auto" w:sz="8" w:space="0"/>
            </w:tcBorders>
            <w:shd w:val="clear" w:color="auto" w:fill="auto"/>
            <w:vAlign w:val="center"/>
          </w:tcPr>
          <w:p>
            <w:pPr>
              <w:pStyle w:val="179"/>
              <w:jc w:val="both"/>
            </w:pPr>
            <w:r>
              <w:rPr>
                <w:rFonts w:hint="eastAsia"/>
              </w:rPr>
              <w:t>1、设计主要包括光伏系统设计、涉路工程设计、涉路工程交通组织设计等。</w:t>
            </w:r>
          </w:p>
          <w:p>
            <w:pPr>
              <w:pStyle w:val="179"/>
              <w:jc w:val="both"/>
            </w:pPr>
            <w:r>
              <w:rPr>
                <w:rFonts w:hint="eastAsia"/>
              </w:rPr>
              <w:t>2、评价主要包括涉路工程设计评价、施工安全评价、交通组织设计评价等。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711" w:type="dxa"/>
            <w:shd w:val="clear" w:color="auto" w:fill="auto"/>
            <w:vAlign w:val="center"/>
          </w:tcPr>
          <w:p>
            <w:pPr>
              <w:pStyle w:val="179"/>
            </w:pPr>
            <w:r>
              <w:rPr>
                <w:rFonts w:hint="eastAsia"/>
              </w:rPr>
              <w:t>施工</w:t>
            </w:r>
          </w:p>
        </w:tc>
        <w:tc>
          <w:tcPr>
            <w:tcW w:w="3544" w:type="dxa"/>
            <w:shd w:val="clear" w:color="auto" w:fill="auto"/>
            <w:vAlign w:val="center"/>
          </w:tcPr>
          <w:p>
            <w:pPr>
              <w:pStyle w:val="179"/>
              <w:jc w:val="left"/>
            </w:pPr>
            <w:r>
              <mc:AlternateContent>
                <mc:Choice Requires="wps">
                  <w:drawing>
                    <wp:anchor distT="0" distB="0" distL="114300" distR="114300" simplePos="0" relativeHeight="251662336" behindDoc="0" locked="0" layoutInCell="1" allowOverlap="1">
                      <wp:simplePos x="0" y="0"/>
                      <wp:positionH relativeFrom="column">
                        <wp:posOffset>780415</wp:posOffset>
                      </wp:positionH>
                      <wp:positionV relativeFrom="paragraph">
                        <wp:posOffset>3062605</wp:posOffset>
                      </wp:positionV>
                      <wp:extent cx="0" cy="452755"/>
                      <wp:effectExtent l="76200" t="0" r="57150" b="61595"/>
                      <wp:wrapNone/>
                      <wp:docPr id="47" name="直接箭头连接符 47"/>
                      <wp:cNvGraphicFramePr/>
                      <a:graphic xmlns:a="http://schemas.openxmlformats.org/drawingml/2006/main">
                        <a:graphicData uri="http://schemas.microsoft.com/office/word/2010/wordprocessingShape">
                          <wps:wsp>
                            <wps:cNvCnPr/>
                            <wps:spPr bwMode="auto">
                              <a:xfrm>
                                <a:off x="0" y="0"/>
                                <a:ext cx="0" cy="45275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61.45pt;margin-top:241.15pt;height:35.65pt;width:0pt;z-index:251662336;mso-width-relative:page;mso-height-relative:page;" filled="f" stroked="t" coordsize="21600,21600" o:gfxdata="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rcCZdsAAAALAQAADwAAAAAAAAABACAAAAAiAAAAZHJzL2Rvd25yZXYueG1sUEsBAhQAFAAAAAgA&#10;h07iQAEmfOnpAQAAqQMAAA4AAAAAAAAAAQAgAAAAKgEAAGRycy9lMm9Eb2MueG1sUEsFBgAAAAAG&#10;AAYAWQEAAIUFAAAAAA==&#10;">
                      <v:fill on="f" focussize="0,0"/>
                      <v:stroke color="#000000" joinstyle="round" endarrow="block"/>
                      <v:imagedata o:title=""/>
                      <o:lock v:ext="edit" aspectratio="f"/>
                    </v:shape>
                  </w:pict>
                </mc:Fallback>
              </mc:AlternateContent>
            </w:r>
            <w:r>
              <w:rPr>
                <w:rFonts w:ascii="Calibri" w:hAnsi="Calibri"/>
                <w:kern w:val="2"/>
                <w:sz w:val="21"/>
                <w:szCs w:val="21"/>
              </w:rPr>
              <w:drawing>
                <wp:inline distT="0" distB="0" distL="0" distR="0">
                  <wp:extent cx="2143125" cy="29813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43125" cy="2981325"/>
                          </a:xfrm>
                          <a:prstGeom prst="rect">
                            <a:avLst/>
                          </a:prstGeom>
                          <a:noFill/>
                          <a:ln>
                            <a:noFill/>
                          </a:ln>
                        </pic:spPr>
                      </pic:pic>
                    </a:graphicData>
                  </a:graphic>
                </wp:inline>
              </w:drawing>
            </w:r>
          </w:p>
        </w:tc>
        <w:tc>
          <w:tcPr>
            <w:tcW w:w="4119" w:type="dxa"/>
            <w:shd w:val="clear" w:color="auto" w:fill="auto"/>
            <w:vAlign w:val="center"/>
          </w:tcPr>
          <w:p>
            <w:pPr>
              <w:pStyle w:val="179"/>
              <w:jc w:val="both"/>
            </w:pPr>
            <w:r>
              <w:rPr>
                <w:rFonts w:hint="eastAsia"/>
              </w:rPr>
              <w:t>施工过程还涉及交通组织及部署、边坡表面处理与修复、防（排）水处理和修复、建立交通安全设施、能效监控系统安装等支持性流程。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87" w:hRule="atLeast"/>
          <w:jc w:val="center"/>
        </w:trPr>
        <w:tc>
          <w:tcPr>
            <w:tcW w:w="1711" w:type="dxa"/>
            <w:shd w:val="clear" w:color="auto" w:fill="auto"/>
            <w:vAlign w:val="center"/>
          </w:tcPr>
          <w:p>
            <w:pPr>
              <w:pStyle w:val="179"/>
            </w:pPr>
            <w:r>
              <w:rPr>
                <w:rFonts w:hint="eastAsia"/>
              </w:rPr>
              <w:t>验收</w:t>
            </w:r>
          </w:p>
        </w:tc>
        <w:tc>
          <w:tcPr>
            <w:tcW w:w="3544" w:type="dxa"/>
            <w:shd w:val="clear" w:color="auto" w:fill="auto"/>
            <w:vAlign w:val="center"/>
          </w:tcPr>
          <w:p>
            <w:pPr>
              <w:pStyle w:val="179"/>
              <w:jc w:val="left"/>
            </w:pPr>
            <w:r>
              <w:drawing>
                <wp:inline distT="0" distB="0" distL="0" distR="0">
                  <wp:extent cx="1562100" cy="381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62100" cy="381000"/>
                          </a:xfrm>
                          <a:prstGeom prst="rect">
                            <a:avLst/>
                          </a:prstGeom>
                          <a:noFill/>
                          <a:ln>
                            <a:noFill/>
                          </a:ln>
                        </pic:spPr>
                      </pic:pic>
                    </a:graphicData>
                  </a:graphic>
                </wp:inline>
              </w:drawing>
            </w:r>
          </w:p>
        </w:tc>
        <w:tc>
          <w:tcPr>
            <w:tcW w:w="4119" w:type="dxa"/>
            <w:shd w:val="clear" w:color="auto" w:fill="auto"/>
            <w:vAlign w:val="center"/>
          </w:tcPr>
          <w:p>
            <w:pPr>
              <w:pStyle w:val="179"/>
              <w:jc w:val="both"/>
            </w:pPr>
            <w:r>
              <w:rPr>
                <w:rFonts w:hint="eastAsia"/>
              </w:rPr>
              <w:t>验收包括单位工程验收、工程启动验收、工程试运和移交生产验收、工程竣工验收等。</w:t>
            </w:r>
          </w:p>
        </w:tc>
      </w:tr>
    </w:tbl>
    <w:p>
      <w:pPr>
        <w:pStyle w:val="57"/>
        <w:ind w:firstLine="420"/>
      </w:pPr>
    </w:p>
    <w:p>
      <w:pPr>
        <w:pStyle w:val="57"/>
        <w:ind w:firstLine="420"/>
      </w:pPr>
    </w:p>
    <w:p>
      <w:pPr>
        <w:pStyle w:val="57"/>
        <w:ind w:firstLine="420"/>
      </w:pPr>
    </w:p>
    <w:p>
      <w:pPr>
        <w:pStyle w:val="57"/>
        <w:ind w:firstLine="420"/>
        <w:sectPr>
          <w:pgSz w:w="11906" w:h="16838"/>
          <w:pgMar w:top="567"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p>
      <w:pPr>
        <w:pStyle w:val="77"/>
        <w:spacing w:before="78" w:after="156"/>
      </w:pPr>
      <w:r>
        <w:br w:type="textWrapping"/>
      </w:r>
      <w:bookmarkStart w:id="73" w:name="_Toc104993683"/>
      <w:bookmarkStart w:id="74" w:name="_Toc105060398"/>
      <w:bookmarkStart w:id="75" w:name="_Toc104993336"/>
      <w:r>
        <w:rPr>
          <w:rFonts w:hint="eastAsia"/>
        </w:rPr>
        <w:t>（资料性）</w:t>
      </w:r>
      <w:r>
        <w:br w:type="textWrapping"/>
      </w:r>
      <w:r>
        <w:rPr>
          <w:rFonts w:hint="eastAsia"/>
        </w:rPr>
        <w:t>施工作业控制区布置</w:t>
      </w:r>
      <w:bookmarkEnd w:id="73"/>
      <w:bookmarkEnd w:id="74"/>
      <w:bookmarkEnd w:id="75"/>
    </w:p>
    <w:p>
      <w:pPr>
        <w:pStyle w:val="57"/>
        <w:ind w:firstLine="420"/>
      </w:pPr>
      <w:r>
        <w:rPr>
          <w:rFonts w:hint="eastAsia"/>
        </w:rPr>
        <w:t>图B.1给出了高速公路边坡光伏发电工程施工过程交通组织布置方式（以设计时速100</w:t>
      </w:r>
      <w:r>
        <w:t> </w:t>
      </w:r>
      <w:r>
        <w:rPr>
          <w:rFonts w:hint="eastAsia"/>
        </w:rPr>
        <w:t>km/h计）。</w:t>
      </w:r>
    </w:p>
    <w:p>
      <w:pPr>
        <w:pStyle w:val="57"/>
        <w:ind w:firstLine="0" w:firstLineChars="0"/>
        <w:jc w:val="center"/>
      </w:pPr>
      <w:r>
        <w:rPr>
          <w:rFonts w:hint="eastAsia" w:ascii="仿宋" w:hAnsi="仿宋" w:eastAsia="仿宋" w:cs="仿宋"/>
          <w:b/>
          <w:bCs/>
          <w:sz w:val="28"/>
          <w:szCs w:val="28"/>
        </w:rPr>
        <w:drawing>
          <wp:anchor distT="0" distB="0" distL="114300" distR="114300" simplePos="0" relativeHeight="251663360" behindDoc="0" locked="0" layoutInCell="1" allowOverlap="1">
            <wp:simplePos x="0" y="0"/>
            <wp:positionH relativeFrom="page">
              <wp:posOffset>2350135</wp:posOffset>
            </wp:positionH>
            <wp:positionV relativeFrom="paragraph">
              <wp:posOffset>137795</wp:posOffset>
            </wp:positionV>
            <wp:extent cx="2882265" cy="6161405"/>
            <wp:effectExtent l="0" t="0" r="0" b="0"/>
            <wp:wrapNone/>
            <wp:docPr id="14"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图片2"/>
                    <pic:cNvPicPr>
                      <a:picLocks noChangeAspect="1"/>
                    </pic:cNvPicPr>
                  </pic:nvPicPr>
                  <pic:blipFill>
                    <a:blip r:embed="rId19"/>
                    <a:stretch>
                      <a:fillRect/>
                    </a:stretch>
                  </pic:blipFill>
                  <pic:spPr>
                    <a:xfrm>
                      <a:off x="0" y="0"/>
                      <a:ext cx="2882265" cy="6161405"/>
                    </a:xfrm>
                    <a:prstGeom prst="rect">
                      <a:avLst/>
                    </a:prstGeom>
                    <a:noFill/>
                    <a:ln>
                      <a:noFill/>
                    </a:ln>
                  </pic:spPr>
                </pic:pic>
              </a:graphicData>
            </a:graphic>
          </wp:anchor>
        </w:drawing>
      </w: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84"/>
        <w:spacing w:before="156" w:after="156"/>
        <w:sectPr>
          <w:pgSz w:w="11906" w:h="16838"/>
          <w:pgMar w:top="567" w:right="1134" w:bottom="1134" w:left="1134" w:header="1418" w:footer="1134" w:gutter="284"/>
          <w:cols w:space="425" w:num="1"/>
          <w:formProt w:val="0"/>
          <w:docGrid w:type="lines" w:linePitch="312" w:charSpace="0"/>
        </w:sectPr>
      </w:pPr>
      <w:r>
        <w:rPr>
          <w:rFonts w:hint="eastAsia"/>
        </w:rPr>
        <w:t>施工作业控制区布置</w:t>
      </w:r>
    </w:p>
    <w:p>
      <w:pPr>
        <w:pStyle w:val="199"/>
        <w:rPr>
          <w:vanish w:val="0"/>
        </w:rPr>
      </w:pPr>
    </w:p>
    <w:p>
      <w:pPr>
        <w:pStyle w:val="200"/>
        <w:rPr>
          <w:vanish w:val="0"/>
        </w:rPr>
      </w:pPr>
    </w:p>
    <w:p>
      <w:pPr>
        <w:pStyle w:val="77"/>
        <w:spacing w:before="78" w:after="156"/>
      </w:pPr>
      <w:r>
        <w:br w:type="textWrapping"/>
      </w:r>
      <w:bookmarkStart w:id="76" w:name="_Toc104993684"/>
      <w:bookmarkStart w:id="77" w:name="_Toc104993337"/>
      <w:bookmarkStart w:id="78" w:name="_Toc105060399"/>
      <w:r>
        <w:rPr>
          <w:rFonts w:hint="eastAsia"/>
        </w:rPr>
        <w:t>（资料性）</w:t>
      </w:r>
      <w:r>
        <w:br w:type="textWrapping"/>
      </w:r>
      <w:r>
        <w:rPr>
          <w:rFonts w:hint="eastAsia"/>
        </w:rPr>
        <w:t>施工现场安全标志及安全警示设施</w:t>
      </w:r>
      <w:bookmarkEnd w:id="76"/>
      <w:bookmarkEnd w:id="77"/>
      <w:bookmarkEnd w:id="78"/>
    </w:p>
    <w:p>
      <w:pPr>
        <w:pStyle w:val="57"/>
        <w:ind w:firstLine="420"/>
      </w:pPr>
      <w:r>
        <w:rPr>
          <w:rFonts w:hint="eastAsia"/>
        </w:rPr>
        <w:t>表C.1给出了高速公路边坡光伏发电工程施工过程涉及的主要安全标志标识。</w:t>
      </w:r>
    </w:p>
    <w:p>
      <w:pPr>
        <w:pStyle w:val="57"/>
        <w:ind w:firstLine="420"/>
      </w:pPr>
      <w:r>
        <w:rPr>
          <w:rFonts w:hint="eastAsia"/>
        </w:rPr>
        <w:t>表C.2给出了高速公路边坡光伏发电工程施工过程涉及的常用警示设施。</w:t>
      </w:r>
    </w:p>
    <w:p>
      <w:pPr>
        <w:pStyle w:val="78"/>
        <w:spacing w:before="156" w:after="156"/>
      </w:pPr>
      <w:r>
        <w:rPr>
          <w:rFonts w:hint="eastAsia"/>
        </w:rPr>
        <w:t>施工现场主要安全标志</w:t>
      </w:r>
    </w:p>
    <w:tbl>
      <w:tblPr>
        <w:tblStyle w:val="27"/>
        <w:tblW w:w="8089" w:type="dxa"/>
        <w:jc w:val="center"/>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2419"/>
        <w:gridCol w:w="2772"/>
        <w:gridCol w:w="2898"/>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279" w:hRule="atLeast"/>
          <w:jc w:val="center"/>
        </w:trPr>
        <w:tc>
          <w:tcPr>
            <w:tcW w:w="2419"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标志</w:t>
            </w:r>
          </w:p>
        </w:tc>
        <w:tc>
          <w:tcPr>
            <w:tcW w:w="2772"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名称</w:t>
            </w:r>
          </w:p>
        </w:tc>
        <w:tc>
          <w:tcPr>
            <w:tcW w:w="2898"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规格</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2419" w:type="dxa"/>
            <w:shd w:val="clear" w:color="auto" w:fill="FFFFFF"/>
            <w:tcMar>
              <w:top w:w="80" w:type="dxa"/>
              <w:left w:w="80" w:type="dxa"/>
              <w:bottom w:w="80" w:type="dxa"/>
              <w:right w:w="80" w:type="dxa"/>
            </w:tcMar>
          </w:tcPr>
          <w:p>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64384" behindDoc="0" locked="0" layoutInCell="1" allowOverlap="1">
                  <wp:simplePos x="0" y="0"/>
                  <wp:positionH relativeFrom="column">
                    <wp:posOffset>478790</wp:posOffset>
                  </wp:positionH>
                  <wp:positionV relativeFrom="paragraph">
                    <wp:posOffset>36195</wp:posOffset>
                  </wp:positionV>
                  <wp:extent cx="419735" cy="514985"/>
                  <wp:effectExtent l="0" t="0" r="12065" b="571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0"/>
                          <a:stretch>
                            <a:fillRect/>
                          </a:stretch>
                        </pic:blipFill>
                        <pic:spPr>
                          <a:xfrm>
                            <a:off x="0" y="0"/>
                            <a:ext cx="419735" cy="514985"/>
                          </a:xfrm>
                          <a:prstGeom prst="rect">
                            <a:avLst/>
                          </a:prstGeom>
                          <a:noFill/>
                          <a:ln>
                            <a:noFill/>
                          </a:ln>
                        </pic:spPr>
                      </pic:pic>
                    </a:graphicData>
                  </a:graphic>
                </wp:anchor>
              </w:drawing>
            </w:r>
          </w:p>
        </w:tc>
        <w:tc>
          <w:tcPr>
            <w:tcW w:w="2772"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施工距离标志</w:t>
            </w:r>
          </w:p>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施工长度标志</w:t>
            </w:r>
          </w:p>
        </w:tc>
        <w:tc>
          <w:tcPr>
            <w:tcW w:w="2898"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三角形边长1.3</w:t>
            </w:r>
            <w:r>
              <w:rPr>
                <w:rFonts w:hint="eastAsia" w:ascii="MS Mincho" w:hAnsi="MS Mincho" w:eastAsia="MS Mincho" w:cs="MS Mincho"/>
                <w:kern w:val="0"/>
                <w:sz w:val="18"/>
                <w:szCs w:val="18"/>
              </w:rPr>
              <w:t> </w:t>
            </w:r>
            <w:r>
              <w:rPr>
                <w:rFonts w:hint="eastAsia" w:ascii="宋体" w:hAnsi="宋体" w:cs="宋体"/>
                <w:kern w:val="0"/>
                <w:sz w:val="18"/>
                <w:szCs w:val="18"/>
              </w:rPr>
              <w:t>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2419"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drawing>
                <wp:inline distT="0" distB="0" distL="114300" distR="114300">
                  <wp:extent cx="666750" cy="419100"/>
                  <wp:effectExtent l="0" t="0" r="635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1"/>
                          <a:stretch>
                            <a:fillRect/>
                          </a:stretch>
                        </pic:blipFill>
                        <pic:spPr>
                          <a:xfrm>
                            <a:off x="0" y="0"/>
                            <a:ext cx="666750" cy="419100"/>
                          </a:xfrm>
                          <a:prstGeom prst="rect">
                            <a:avLst/>
                          </a:prstGeom>
                          <a:noFill/>
                          <a:ln>
                            <a:noFill/>
                          </a:ln>
                        </pic:spPr>
                      </pic:pic>
                    </a:graphicData>
                  </a:graphic>
                </wp:inline>
              </w:drawing>
            </w:r>
          </w:p>
        </w:tc>
        <w:tc>
          <w:tcPr>
            <w:tcW w:w="2772"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限速标志</w:t>
            </w:r>
          </w:p>
        </w:tc>
        <w:tc>
          <w:tcPr>
            <w:tcW w:w="2898"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外径1.2</w:t>
            </w:r>
            <w:r>
              <w:rPr>
                <w:rFonts w:ascii="宋体" w:hAnsi="宋体" w:cs="宋体"/>
                <w:kern w:val="0"/>
                <w:sz w:val="18"/>
                <w:szCs w:val="18"/>
              </w:rPr>
              <w:t> </w:t>
            </w:r>
            <w:r>
              <w:rPr>
                <w:rFonts w:hint="eastAsia" w:ascii="宋体" w:hAnsi="宋体" w:cs="宋体"/>
                <w:kern w:val="0"/>
                <w:sz w:val="18"/>
                <w:szCs w:val="18"/>
              </w:rPr>
              <w:t>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2419" w:type="dxa"/>
            <w:shd w:val="clear" w:color="auto" w:fill="FFFFFF"/>
            <w:tcMar>
              <w:top w:w="80" w:type="dxa"/>
              <w:left w:w="80" w:type="dxa"/>
              <w:bottom w:w="80" w:type="dxa"/>
              <w:right w:w="80" w:type="dxa"/>
            </w:tcMar>
          </w:tcPr>
          <w:p>
            <w:pPr>
              <w:widowControl/>
              <w:adjustRightInd/>
              <w:spacing w:line="240" w:lineRule="auto"/>
              <w:ind w:firstLine="360" w:firstLineChars="200"/>
              <w:jc w:val="left"/>
              <w:rPr>
                <w:rFonts w:ascii="宋体" w:hAnsi="宋体" w:cs="宋体"/>
                <w:color w:val="000000"/>
                <w:kern w:val="0"/>
                <w:sz w:val="18"/>
                <w:szCs w:val="18"/>
              </w:rPr>
            </w:pPr>
            <w:r>
              <w:rPr>
                <w:rFonts w:ascii="Helvetica" w:hAnsi="Helvetica" w:eastAsia="Helvetica" w:cs="Helvetica"/>
                <w:color w:val="000000"/>
                <w:kern w:val="0"/>
                <w:sz w:val="18"/>
                <w:szCs w:val="18"/>
              </w:rPr>
              <w:drawing>
                <wp:anchor distT="0" distB="0" distL="114300" distR="114300" simplePos="0" relativeHeight="251665408" behindDoc="0" locked="0" layoutInCell="1" allowOverlap="1">
                  <wp:simplePos x="0" y="0"/>
                  <wp:positionH relativeFrom="column">
                    <wp:posOffset>497840</wp:posOffset>
                  </wp:positionH>
                  <wp:positionV relativeFrom="paragraph">
                    <wp:posOffset>67310</wp:posOffset>
                  </wp:positionV>
                  <wp:extent cx="412115" cy="453390"/>
                  <wp:effectExtent l="0" t="0" r="6985" b="3810"/>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22"/>
                          <a:stretch>
                            <a:fillRect/>
                          </a:stretch>
                        </pic:blipFill>
                        <pic:spPr>
                          <a:xfrm>
                            <a:off x="0" y="0"/>
                            <a:ext cx="412115" cy="453390"/>
                          </a:xfrm>
                          <a:prstGeom prst="rect">
                            <a:avLst/>
                          </a:prstGeom>
                          <a:noFill/>
                          <a:ln>
                            <a:noFill/>
                          </a:ln>
                        </pic:spPr>
                      </pic:pic>
                    </a:graphicData>
                  </a:graphic>
                </wp:anchor>
              </w:drawing>
            </w:r>
          </w:p>
        </w:tc>
        <w:tc>
          <w:tcPr>
            <w:tcW w:w="2772"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解除限速标志</w:t>
            </w:r>
          </w:p>
        </w:tc>
        <w:tc>
          <w:tcPr>
            <w:tcW w:w="2898"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外径1.2</w:t>
            </w:r>
            <w:r>
              <w:rPr>
                <w:rFonts w:ascii="宋体" w:hAnsi="宋体" w:cs="宋体"/>
                <w:kern w:val="0"/>
                <w:sz w:val="18"/>
                <w:szCs w:val="18"/>
              </w:rPr>
              <w:t> </w:t>
            </w:r>
            <w:r>
              <w:rPr>
                <w:rFonts w:hint="eastAsia" w:ascii="宋体" w:hAnsi="宋体" w:cs="宋体"/>
                <w:kern w:val="0"/>
                <w:sz w:val="18"/>
                <w:szCs w:val="18"/>
              </w:rPr>
              <w:t>m</w:t>
            </w:r>
          </w:p>
        </w:tc>
      </w:tr>
    </w:tbl>
    <w:p>
      <w:pPr>
        <w:pStyle w:val="57"/>
        <w:ind w:firstLine="420"/>
      </w:pPr>
    </w:p>
    <w:p>
      <w:pPr>
        <w:pStyle w:val="78"/>
        <w:spacing w:before="156" w:after="156"/>
      </w:pPr>
      <w:r>
        <w:rPr>
          <w:rFonts w:hint="eastAsia"/>
        </w:rPr>
        <w:t>施工现场常用安全警示设施</w:t>
      </w:r>
    </w:p>
    <w:tbl>
      <w:tblPr>
        <w:tblStyle w:val="27"/>
        <w:tblW w:w="8179" w:type="dxa"/>
        <w:jc w:val="center"/>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2688"/>
        <w:gridCol w:w="2835"/>
        <w:gridCol w:w="2656"/>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279" w:hRule="atLeast"/>
          <w:jc w:val="center"/>
        </w:trPr>
        <w:tc>
          <w:tcPr>
            <w:tcW w:w="2688"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标志</w:t>
            </w:r>
          </w:p>
        </w:tc>
        <w:tc>
          <w:tcPr>
            <w:tcW w:w="2835"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名称</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规格</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812" w:hRule="atLeast"/>
          <w:jc w:val="center"/>
        </w:trPr>
        <w:tc>
          <w:tcPr>
            <w:tcW w:w="2688" w:type="dxa"/>
            <w:shd w:val="clear" w:color="auto" w:fill="FFFFFF"/>
            <w:tcMar>
              <w:top w:w="80" w:type="dxa"/>
              <w:left w:w="80" w:type="dxa"/>
              <w:bottom w:w="80" w:type="dxa"/>
              <w:right w:w="80" w:type="dxa"/>
            </w:tcMar>
          </w:tcPr>
          <w:p>
            <w:pPr>
              <w:widowControl/>
              <w:adjustRightInd/>
              <w:spacing w:line="240" w:lineRule="auto"/>
              <w:ind w:firstLine="360" w:firstLineChars="200"/>
              <w:jc w:val="left"/>
              <w:rPr>
                <w:rFonts w:ascii="宋体" w:hAnsi="宋体" w:cs="宋体"/>
                <w:color w:val="000000"/>
                <w:kern w:val="0"/>
                <w:sz w:val="18"/>
                <w:szCs w:val="18"/>
              </w:rPr>
            </w:pPr>
            <w:r>
              <w:rPr>
                <w:rFonts w:hint="eastAsia" w:ascii="宋体" w:hAnsi="宋体" w:cs="Helvetica"/>
                <w:color w:val="000000"/>
                <w:kern w:val="0"/>
                <w:sz w:val="18"/>
                <w:szCs w:val="18"/>
              </w:rPr>
              <w:drawing>
                <wp:anchor distT="0" distB="0" distL="114300" distR="114300" simplePos="0" relativeHeight="251666432" behindDoc="0" locked="0" layoutInCell="1" allowOverlap="1">
                  <wp:simplePos x="0" y="0"/>
                  <wp:positionH relativeFrom="column">
                    <wp:posOffset>379095</wp:posOffset>
                  </wp:positionH>
                  <wp:positionV relativeFrom="paragraph">
                    <wp:posOffset>34290</wp:posOffset>
                  </wp:positionV>
                  <wp:extent cx="558800" cy="437515"/>
                  <wp:effectExtent l="0" t="0" r="12700" b="635"/>
                  <wp:wrapNone/>
                  <wp:docPr id="12" name="图片 7" descr="rBgIBlzOUTPRjZoZAABSJpwLWRU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rBgIBlzOUTPRjZoZAABSJpwLWRU847"/>
                          <pic:cNvPicPr>
                            <a:picLocks noChangeAspect="1"/>
                          </pic:cNvPicPr>
                        </pic:nvPicPr>
                        <pic:blipFill>
                          <a:blip r:embed="rId23"/>
                          <a:stretch>
                            <a:fillRect/>
                          </a:stretch>
                        </pic:blipFill>
                        <pic:spPr>
                          <a:xfrm>
                            <a:off x="0" y="0"/>
                            <a:ext cx="558800" cy="437515"/>
                          </a:xfrm>
                          <a:prstGeom prst="rect">
                            <a:avLst/>
                          </a:prstGeom>
                          <a:noFill/>
                          <a:ln>
                            <a:noFill/>
                          </a:ln>
                        </pic:spPr>
                      </pic:pic>
                    </a:graphicData>
                  </a:graphic>
                </wp:anchor>
              </w:drawing>
            </w:r>
          </w:p>
        </w:tc>
        <w:tc>
          <w:tcPr>
            <w:tcW w:w="2835"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摇旗机器人</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高2 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027" w:hRule="atLeast"/>
          <w:jc w:val="center"/>
        </w:trPr>
        <w:tc>
          <w:tcPr>
            <w:tcW w:w="2688" w:type="dxa"/>
            <w:shd w:val="clear" w:color="auto" w:fill="FFFFFF"/>
            <w:tcMar>
              <w:top w:w="80" w:type="dxa"/>
              <w:left w:w="80" w:type="dxa"/>
              <w:bottom w:w="80" w:type="dxa"/>
              <w:right w:w="80" w:type="dxa"/>
            </w:tcMa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drawing>
                <wp:inline distT="0" distB="0" distL="114300" distR="114300">
                  <wp:extent cx="499110" cy="423545"/>
                  <wp:effectExtent l="0" t="0" r="15240"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4"/>
                          <a:stretch>
                            <a:fillRect/>
                          </a:stretch>
                        </pic:blipFill>
                        <pic:spPr>
                          <a:xfrm>
                            <a:off x="0" y="0"/>
                            <a:ext cx="499828" cy="424471"/>
                          </a:xfrm>
                          <a:prstGeom prst="rect">
                            <a:avLst/>
                          </a:prstGeom>
                          <a:noFill/>
                          <a:ln>
                            <a:noFill/>
                          </a:ln>
                        </pic:spPr>
                      </pic:pic>
                    </a:graphicData>
                  </a:graphic>
                </wp:inline>
              </w:drawing>
            </w:r>
          </w:p>
        </w:tc>
        <w:tc>
          <w:tcPr>
            <w:tcW w:w="2835"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警示频闪灯</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黄色、蓝色相间闪光，可视距离≥150</w:t>
            </w:r>
            <w:r>
              <w:rPr>
                <w:rFonts w:ascii="宋体" w:hAnsi="宋体" w:cs="宋体"/>
                <w:kern w:val="0"/>
                <w:sz w:val="18"/>
                <w:szCs w:val="18"/>
              </w:rPr>
              <w:t> </w:t>
            </w:r>
            <w:r>
              <w:rPr>
                <w:rFonts w:hint="eastAsia" w:ascii="宋体" w:hAnsi="宋体" w:cs="宋体"/>
                <w:kern w:val="0"/>
                <w:sz w:val="18"/>
                <w:szCs w:val="18"/>
              </w:rPr>
              <w:t>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858" w:hRule="atLeast"/>
          <w:jc w:val="center"/>
        </w:trPr>
        <w:tc>
          <w:tcPr>
            <w:tcW w:w="2688" w:type="dxa"/>
            <w:shd w:val="clear" w:color="auto" w:fill="FFFFFF"/>
            <w:tcMar>
              <w:top w:w="80" w:type="dxa"/>
              <w:left w:w="80" w:type="dxa"/>
              <w:bottom w:w="80" w:type="dxa"/>
              <w:right w:w="80" w:type="dxa"/>
            </w:tcMa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67456" behindDoc="0" locked="0" layoutInCell="1" allowOverlap="1">
                  <wp:simplePos x="0" y="0"/>
                  <wp:positionH relativeFrom="column">
                    <wp:posOffset>390525</wp:posOffset>
                  </wp:positionH>
                  <wp:positionV relativeFrom="paragraph">
                    <wp:posOffset>55245</wp:posOffset>
                  </wp:positionV>
                  <wp:extent cx="552450" cy="476885"/>
                  <wp:effectExtent l="0" t="0" r="0" b="18415"/>
                  <wp:wrapNone/>
                  <wp:docPr id="15" name="图片 8" descr="07ea6196146f36205751b21117deb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07ea6196146f36205751b21117deb897"/>
                          <pic:cNvPicPr>
                            <a:picLocks noChangeAspect="1"/>
                          </pic:cNvPicPr>
                        </pic:nvPicPr>
                        <pic:blipFill>
                          <a:blip r:embed="rId25"/>
                          <a:stretch>
                            <a:fillRect/>
                          </a:stretch>
                        </pic:blipFill>
                        <pic:spPr>
                          <a:xfrm>
                            <a:off x="0" y="0"/>
                            <a:ext cx="552450" cy="476885"/>
                          </a:xfrm>
                          <a:prstGeom prst="rect">
                            <a:avLst/>
                          </a:prstGeom>
                          <a:noFill/>
                          <a:ln>
                            <a:noFill/>
                          </a:ln>
                        </pic:spPr>
                      </pic:pic>
                    </a:graphicData>
                  </a:graphic>
                </wp:anchor>
              </w:drawing>
            </w:r>
          </w:p>
        </w:tc>
        <w:tc>
          <w:tcPr>
            <w:tcW w:w="2835"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回转灯</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红蓝闪光可视距离≥150</w:t>
            </w:r>
            <w:r>
              <w:rPr>
                <w:rFonts w:ascii="宋体" w:hAnsi="宋体" w:cs="宋体"/>
                <w:kern w:val="0"/>
                <w:sz w:val="18"/>
                <w:szCs w:val="18"/>
              </w:rPr>
              <w:t> </w:t>
            </w:r>
            <w:r>
              <w:rPr>
                <w:rFonts w:hint="eastAsia" w:ascii="宋体" w:hAnsi="宋体" w:cs="宋体"/>
                <w:kern w:val="0"/>
                <w:sz w:val="18"/>
                <w:szCs w:val="18"/>
              </w:rPr>
              <w:t>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874" w:hRule="atLeast"/>
          <w:jc w:val="center"/>
        </w:trPr>
        <w:tc>
          <w:tcPr>
            <w:tcW w:w="2688" w:type="dxa"/>
            <w:shd w:val="clear" w:color="auto" w:fill="FFFFFF"/>
            <w:tcMar>
              <w:top w:w="80" w:type="dxa"/>
              <w:left w:w="80" w:type="dxa"/>
              <w:bottom w:w="80" w:type="dxa"/>
              <w:right w:w="80" w:type="dxa"/>
            </w:tcMa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drawing>
                <wp:inline distT="0" distB="0" distL="114300" distR="114300">
                  <wp:extent cx="625475" cy="404495"/>
                  <wp:effectExtent l="0" t="0" r="3175" b="1460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6"/>
                          <a:stretch>
                            <a:fillRect/>
                          </a:stretch>
                        </pic:blipFill>
                        <pic:spPr>
                          <a:xfrm>
                            <a:off x="0" y="0"/>
                            <a:ext cx="653425" cy="422570"/>
                          </a:xfrm>
                          <a:prstGeom prst="rect">
                            <a:avLst/>
                          </a:prstGeom>
                          <a:noFill/>
                          <a:ln>
                            <a:noFill/>
                          </a:ln>
                        </pic:spPr>
                      </pic:pic>
                    </a:graphicData>
                  </a:graphic>
                </wp:inline>
              </w:drawing>
            </w:r>
          </w:p>
        </w:tc>
        <w:tc>
          <w:tcPr>
            <w:tcW w:w="2835"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附设警示灯的路栏</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长方形：长</w:t>
            </w:r>
            <w:r>
              <w:rPr>
                <w:rFonts w:ascii="宋体" w:hAnsi="宋体" w:cs="Arial"/>
                <w:kern w:val="0"/>
                <w:sz w:val="18"/>
                <w:szCs w:val="18"/>
              </w:rPr>
              <w:t>×</w:t>
            </w:r>
            <w:r>
              <w:rPr>
                <w:rFonts w:hint="eastAsia" w:ascii="宋体" w:hAnsi="宋体" w:cs="宋体"/>
                <w:kern w:val="0"/>
                <w:sz w:val="18"/>
                <w:szCs w:val="18"/>
              </w:rPr>
              <w:t>宽=1.9</w:t>
            </w:r>
            <w:r>
              <w:rPr>
                <w:rFonts w:hint="eastAsia" w:ascii="MS Mincho" w:hAnsi="MS Mincho" w:eastAsia="MS Mincho" w:cs="MS Mincho"/>
                <w:kern w:val="0"/>
                <w:sz w:val="18"/>
                <w:szCs w:val="18"/>
              </w:rPr>
              <w:t> </w:t>
            </w:r>
            <w:r>
              <w:rPr>
                <w:rFonts w:hint="eastAsia" w:ascii="宋体" w:hAnsi="宋体" w:cs="宋体"/>
                <w:kern w:val="0"/>
                <w:sz w:val="18"/>
                <w:szCs w:val="18"/>
              </w:rPr>
              <w:t>m</w:t>
            </w:r>
            <w:r>
              <w:rPr>
                <w:rFonts w:ascii="宋体" w:hAnsi="宋体" w:cs="Arial"/>
                <w:kern w:val="0"/>
                <w:sz w:val="18"/>
                <w:szCs w:val="18"/>
              </w:rPr>
              <w:t>×</w:t>
            </w:r>
            <w:r>
              <w:rPr>
                <w:rFonts w:hint="eastAsia" w:ascii="宋体" w:hAnsi="宋体" w:cs="宋体"/>
                <w:kern w:val="0"/>
                <w:sz w:val="18"/>
                <w:szCs w:val="18"/>
              </w:rPr>
              <w:t>1.4</w:t>
            </w:r>
            <w:r>
              <w:rPr>
                <w:rFonts w:ascii="宋体" w:hAnsi="宋体" w:cs="宋体"/>
                <w:kern w:val="0"/>
                <w:sz w:val="18"/>
                <w:szCs w:val="18"/>
              </w:rPr>
              <w:t> </w:t>
            </w:r>
            <w:r>
              <w:rPr>
                <w:rFonts w:hint="eastAsia" w:ascii="宋体" w:hAnsi="宋体" w:cs="宋体"/>
                <w:kern w:val="0"/>
                <w:sz w:val="18"/>
                <w:szCs w:val="18"/>
              </w:rPr>
              <w:t>m</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2688" w:type="dxa"/>
            <w:shd w:val="clear" w:color="auto" w:fill="FFFFFF"/>
            <w:tcMar>
              <w:top w:w="80" w:type="dxa"/>
              <w:left w:w="80" w:type="dxa"/>
              <w:bottom w:w="80" w:type="dxa"/>
              <w:right w:w="80" w:type="dxa"/>
            </w:tcMa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68480" behindDoc="0" locked="0" layoutInCell="1" allowOverlap="1">
                  <wp:simplePos x="0" y="0"/>
                  <wp:positionH relativeFrom="column">
                    <wp:posOffset>391795</wp:posOffset>
                  </wp:positionH>
                  <wp:positionV relativeFrom="paragraph">
                    <wp:posOffset>30480</wp:posOffset>
                  </wp:positionV>
                  <wp:extent cx="581025" cy="574040"/>
                  <wp:effectExtent l="0" t="0" r="9525" b="16510"/>
                  <wp:wrapNone/>
                  <wp:docPr id="1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64"/>
                          <pic:cNvPicPr>
                            <a:picLocks noChangeAspect="1"/>
                          </pic:cNvPicPr>
                        </pic:nvPicPr>
                        <pic:blipFill>
                          <a:blip r:embed="rId27"/>
                          <a:stretch>
                            <a:fillRect/>
                          </a:stretch>
                        </pic:blipFill>
                        <pic:spPr>
                          <a:xfrm>
                            <a:off x="0" y="0"/>
                            <a:ext cx="581025" cy="574040"/>
                          </a:xfrm>
                          <a:prstGeom prst="rect">
                            <a:avLst/>
                          </a:prstGeom>
                          <a:noFill/>
                          <a:ln>
                            <a:noFill/>
                          </a:ln>
                        </pic:spPr>
                      </pic:pic>
                    </a:graphicData>
                  </a:graphic>
                </wp:anchor>
              </w:drawing>
            </w:r>
          </w:p>
        </w:tc>
        <w:tc>
          <w:tcPr>
            <w:tcW w:w="2835"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交通锥</w:t>
            </w:r>
          </w:p>
        </w:tc>
        <w:tc>
          <w:tcPr>
            <w:tcW w:w="2656" w:type="dxa"/>
            <w:shd w:val="clear" w:color="auto" w:fill="FFFFFF"/>
            <w:tcMar>
              <w:top w:w="80" w:type="dxa"/>
              <w:left w:w="80" w:type="dxa"/>
              <w:bottom w:w="80" w:type="dxa"/>
              <w:right w:w="80" w:type="dxa"/>
            </w:tcMar>
            <w:vAlign w:val="center"/>
          </w:tcPr>
          <w:p>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高度≥0.9</w:t>
            </w:r>
            <w:r>
              <w:rPr>
                <w:rFonts w:ascii="宋体" w:hAnsi="宋体" w:cs="宋体"/>
                <w:kern w:val="0"/>
                <w:sz w:val="18"/>
                <w:szCs w:val="18"/>
              </w:rPr>
              <w:t> </w:t>
            </w:r>
            <w:r>
              <w:rPr>
                <w:rFonts w:hint="eastAsia" w:ascii="宋体" w:hAnsi="宋体" w:cs="宋体"/>
                <w:kern w:val="0"/>
                <w:sz w:val="18"/>
                <w:szCs w:val="18"/>
              </w:rPr>
              <w:t>m</w:t>
            </w:r>
          </w:p>
        </w:tc>
      </w:tr>
    </w:tbl>
    <w:p>
      <w:pPr>
        <w:pStyle w:val="57"/>
        <w:ind w:firstLine="420"/>
      </w:pPr>
    </w:p>
    <w:bookmarkEnd w:id="69"/>
    <w:p>
      <w:pPr>
        <w:pStyle w:val="57"/>
        <w:ind w:firstLine="420"/>
        <w:sectPr>
          <w:pgSz w:w="11906" w:h="16838"/>
          <w:pgMar w:top="567" w:right="1134" w:bottom="1134" w:left="1134" w:header="1418" w:footer="1134" w:gutter="284"/>
          <w:cols w:space="425" w:num="1"/>
          <w:formProt w:val="0"/>
          <w:docGrid w:type="lines" w:linePitch="312" w:charSpace="0"/>
        </w:sectPr>
      </w:pPr>
      <w:bookmarkStart w:id="79" w:name="BookMark6"/>
    </w:p>
    <w:p>
      <w:pPr>
        <w:pStyle w:val="64"/>
        <w:spacing w:before="124" w:after="156"/>
      </w:pPr>
      <w:bookmarkStart w:id="80" w:name="_Toc104993338"/>
      <w:bookmarkStart w:id="81" w:name="_Toc104993685"/>
      <w:bookmarkStart w:id="82" w:name="_Toc105060400"/>
      <w:r>
        <w:rPr>
          <w:rFonts w:hint="eastAsia"/>
          <w:spacing w:val="105"/>
        </w:rPr>
        <w:t>参考文</w:t>
      </w:r>
      <w:r>
        <w:rPr>
          <w:rFonts w:hint="eastAsia"/>
        </w:rPr>
        <w:t>献</w:t>
      </w:r>
      <w:bookmarkEnd w:id="80"/>
      <w:bookmarkEnd w:id="81"/>
      <w:bookmarkEnd w:id="82"/>
    </w:p>
    <w:p>
      <w:pPr>
        <w:pStyle w:val="57"/>
        <w:ind w:firstLine="420"/>
      </w:pPr>
      <w:r>
        <w:rPr>
          <w:rFonts w:hint="eastAsia"/>
        </w:rPr>
        <w:t>[1]　GB/T 12325　电能质量　供电电压偏差</w:t>
      </w:r>
    </w:p>
    <w:p>
      <w:pPr>
        <w:pStyle w:val="57"/>
        <w:ind w:firstLine="420"/>
      </w:pPr>
      <w:r>
        <w:rPr>
          <w:rFonts w:hint="eastAsia"/>
        </w:rPr>
        <w:t>[2]　GB/T 12326　电能质量　电压波动和闪变</w:t>
      </w:r>
    </w:p>
    <w:p>
      <w:pPr>
        <w:pStyle w:val="57"/>
        <w:ind w:firstLine="420"/>
      </w:pPr>
      <w:r>
        <w:rPr>
          <w:rFonts w:hint="eastAsia"/>
        </w:rPr>
        <w:t>[3]　GB/T 14549　电能质量　公用电网谐波</w:t>
      </w:r>
    </w:p>
    <w:p>
      <w:pPr>
        <w:pStyle w:val="57"/>
        <w:ind w:firstLine="420"/>
      </w:pPr>
      <w:r>
        <w:rPr>
          <w:rFonts w:hint="eastAsia"/>
        </w:rPr>
        <w:t>[4]　GB/T 15543　电能质量　三项电压不平衡</w:t>
      </w:r>
    </w:p>
    <w:p>
      <w:pPr>
        <w:pStyle w:val="57"/>
        <w:ind w:firstLine="420"/>
      </w:pPr>
      <w:r>
        <w:rPr>
          <w:rFonts w:hint="eastAsia"/>
        </w:rPr>
        <w:t>[5]　GB/T 17467　高压/低压预装式变电站</w:t>
      </w:r>
    </w:p>
    <w:p>
      <w:pPr>
        <w:pStyle w:val="57"/>
        <w:ind w:firstLine="420"/>
      </w:pPr>
      <w:r>
        <w:rPr>
          <w:rFonts w:hint="eastAsia"/>
        </w:rPr>
        <w:t>[6]　GB/T 18226　公路交通工程钢构件防腐技术条件</w:t>
      </w:r>
    </w:p>
    <w:p>
      <w:pPr>
        <w:pStyle w:val="57"/>
        <w:ind w:firstLine="420"/>
      </w:pPr>
      <w:r>
        <w:rPr>
          <w:rFonts w:hint="eastAsia"/>
        </w:rPr>
        <w:t>[7]　GB/T 19964　光伏发电站接入电力系统技术规定</w:t>
      </w:r>
    </w:p>
    <w:p>
      <w:pPr>
        <w:pStyle w:val="57"/>
        <w:ind w:firstLine="420"/>
      </w:pPr>
      <w:r>
        <w:rPr>
          <w:rFonts w:hint="eastAsia"/>
        </w:rPr>
        <w:t>[8]　GB/T 32512　光伏发电站防雷技术要求</w:t>
      </w:r>
    </w:p>
    <w:p>
      <w:pPr>
        <w:pStyle w:val="57"/>
        <w:ind w:firstLine="420"/>
      </w:pPr>
      <w:r>
        <w:rPr>
          <w:rFonts w:hint="eastAsia"/>
        </w:rPr>
        <w:t>[9]　GB/T 33593　分布式电源并网技术要求</w:t>
      </w:r>
    </w:p>
    <w:p>
      <w:pPr>
        <w:pStyle w:val="57"/>
        <w:ind w:firstLine="420"/>
      </w:pPr>
      <w:r>
        <w:rPr>
          <w:rFonts w:hint="eastAsia"/>
        </w:rPr>
        <w:t>[10]　GB/T 35694　光伏发电站安全规程</w:t>
      </w:r>
    </w:p>
    <w:p>
      <w:pPr>
        <w:pStyle w:val="57"/>
        <w:ind w:firstLine="420"/>
      </w:pPr>
      <w:r>
        <w:rPr>
          <w:rFonts w:hint="eastAsia"/>
        </w:rPr>
        <w:t>[11]　GB/T 37408　光伏发电并网逆变器技术要求</w:t>
      </w:r>
    </w:p>
    <w:p>
      <w:pPr>
        <w:pStyle w:val="57"/>
        <w:ind w:firstLine="420"/>
      </w:pPr>
      <w:r>
        <w:rPr>
          <w:rFonts w:hint="eastAsia"/>
        </w:rPr>
        <w:t>[12]　GB 50153　工程结构可靠性设计统一标准</w:t>
      </w:r>
    </w:p>
    <w:p>
      <w:pPr>
        <w:pStyle w:val="57"/>
        <w:ind w:firstLine="420"/>
      </w:pPr>
      <w:r>
        <w:rPr>
          <w:rFonts w:hint="eastAsia"/>
        </w:rPr>
        <w:t>[13]　GB 50168　电气装置安装工程电缆线路施工及验收标准</w:t>
      </w:r>
    </w:p>
    <w:p>
      <w:pPr>
        <w:pStyle w:val="57"/>
        <w:ind w:firstLine="420"/>
      </w:pPr>
      <w:r>
        <w:rPr>
          <w:rFonts w:hint="eastAsia"/>
        </w:rPr>
        <w:t>[14]　GB 50169　电气装置安装工程接地装置施工及验收规范</w:t>
      </w:r>
    </w:p>
    <w:p>
      <w:pPr>
        <w:pStyle w:val="57"/>
        <w:ind w:firstLine="420"/>
      </w:pPr>
      <w:r>
        <w:rPr>
          <w:rFonts w:hint="eastAsia"/>
        </w:rPr>
        <w:t>[15]　GB 50172　电气装置安装工程蓄电池施工及验收规范</w:t>
      </w:r>
    </w:p>
    <w:p>
      <w:pPr>
        <w:pStyle w:val="57"/>
        <w:ind w:firstLine="420"/>
      </w:pPr>
      <w:r>
        <w:rPr>
          <w:rFonts w:hint="eastAsia"/>
        </w:rPr>
        <w:t>[16]　GB 50227　并联电容器装置设计规范</w:t>
      </w:r>
    </w:p>
    <w:p>
      <w:pPr>
        <w:pStyle w:val="57"/>
        <w:ind w:firstLine="420"/>
      </w:pPr>
      <w:r>
        <w:rPr>
          <w:rFonts w:hint="eastAsia"/>
        </w:rPr>
        <w:t>[17]　GB/T 50796　光伏发电工程验收规范</w:t>
      </w:r>
    </w:p>
    <w:p>
      <w:pPr>
        <w:pStyle w:val="57"/>
        <w:ind w:firstLine="420"/>
      </w:pPr>
      <w:r>
        <w:rPr>
          <w:rFonts w:hint="eastAsia"/>
        </w:rPr>
        <w:t>[18]　DL/T 448　电能计量装置技术管理规程</w:t>
      </w:r>
    </w:p>
    <w:p>
      <w:pPr>
        <w:pStyle w:val="57"/>
        <w:ind w:firstLine="420"/>
      </w:pPr>
      <w:r>
        <w:rPr>
          <w:rFonts w:hint="eastAsia"/>
        </w:rPr>
        <w:t>[19]　DL/T 621　交流电气装置的接地</w:t>
      </w:r>
    </w:p>
    <w:p>
      <w:pPr>
        <w:pStyle w:val="57"/>
        <w:ind w:firstLine="420"/>
      </w:pPr>
      <w:r>
        <w:rPr>
          <w:rFonts w:hint="eastAsia"/>
        </w:rPr>
        <w:t>[20]　DL/T 5044　电力工程直流电源系统设计技术规程</w:t>
      </w:r>
    </w:p>
    <w:p>
      <w:pPr>
        <w:pStyle w:val="57"/>
        <w:ind w:firstLine="420"/>
      </w:pPr>
      <w:r>
        <w:rPr>
          <w:rFonts w:hint="eastAsia"/>
        </w:rPr>
        <w:t>[21]　DL/T 5137　电测量及电能计量装置设计技术规程</w:t>
      </w:r>
    </w:p>
    <w:p>
      <w:pPr>
        <w:pStyle w:val="57"/>
        <w:ind w:firstLine="420"/>
      </w:pPr>
      <w:r>
        <w:rPr>
          <w:rFonts w:hint="eastAsia"/>
        </w:rPr>
        <w:t>[22]　DL/T 5222　导体和电器选择设计技术规定</w:t>
      </w:r>
    </w:p>
    <w:p>
      <w:pPr>
        <w:pStyle w:val="57"/>
        <w:ind w:firstLine="420"/>
      </w:pPr>
      <w:r>
        <w:rPr>
          <w:rFonts w:hint="eastAsia"/>
        </w:rPr>
        <w:t>[23]　JG/T 490　太阳能光伏系统支架通用技术要求</w:t>
      </w:r>
    </w:p>
    <w:p>
      <w:pPr>
        <w:pStyle w:val="57"/>
        <w:ind w:firstLine="420"/>
      </w:pPr>
      <w:r>
        <w:rPr>
          <w:rFonts w:hint="eastAsia"/>
        </w:rPr>
        <w:t>[24]　JTG B01　公路工程技术标准</w:t>
      </w:r>
    </w:p>
    <w:p>
      <w:pPr>
        <w:pStyle w:val="57"/>
        <w:ind w:firstLine="420"/>
      </w:pPr>
      <w:r>
        <w:rPr>
          <w:rFonts w:hint="eastAsia"/>
        </w:rPr>
        <w:t>[25]　JTG D03　公路路基设计规范</w:t>
      </w:r>
    </w:p>
    <w:p>
      <w:pPr>
        <w:pStyle w:val="57"/>
        <w:ind w:firstLine="420"/>
      </w:pPr>
      <w:r>
        <w:rPr>
          <w:rFonts w:hint="eastAsia"/>
        </w:rPr>
        <w:t>[26]　NB/T 42073　光伏发电系统用电缆</w:t>
      </w:r>
    </w:p>
    <w:bookmarkEnd w:id="79"/>
    <w:p>
      <w:pPr>
        <w:pStyle w:val="57"/>
        <w:ind w:firstLine="0" w:firstLineChars="0"/>
        <w:jc w:val="center"/>
      </w:pPr>
      <w:bookmarkStart w:id="83" w:name="BookMark8"/>
      <w:r>
        <w:drawing>
          <wp:inline distT="0" distB="0" distL="0" distR="0">
            <wp:extent cx="1485900" cy="317500"/>
            <wp:effectExtent l="0" t="0" r="0" b="635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8"/>
                    <a:stretch>
                      <a:fillRect/>
                    </a:stretch>
                  </pic:blipFill>
                  <pic:spPr>
                    <a:xfrm>
                      <a:off x="0" y="0"/>
                      <a:ext cx="1485900" cy="317500"/>
                    </a:xfrm>
                    <a:prstGeom prst="rect">
                      <a:avLst/>
                    </a:prstGeom>
                  </pic:spPr>
                </pic:pic>
              </a:graphicData>
            </a:graphic>
          </wp:inline>
        </w:drawing>
      </w:r>
      <w:bookmarkEnd w:id="83"/>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DB37/T 4516—2022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DB37/T 4516—2022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TUzOThhMzgwYTgzZDI5M2VkODE0ODMyOGJkZDUifQ=="/>
  </w:docVars>
  <w:rsids>
    <w:rsidRoot w:val="0090193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DC4"/>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5CA"/>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944"/>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0F7"/>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DA6"/>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2FD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E2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930"/>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51F"/>
    <w:rsid w:val="009429D5"/>
    <w:rsid w:val="00942BF1"/>
    <w:rsid w:val="00945180"/>
    <w:rsid w:val="00945428"/>
    <w:rsid w:val="0094607B"/>
    <w:rsid w:val="00953604"/>
    <w:rsid w:val="0095496B"/>
    <w:rsid w:val="0096041A"/>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18A"/>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3FEE"/>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5BFA"/>
    <w:rsid w:val="00B56FBE"/>
    <w:rsid w:val="00B60ACF"/>
    <w:rsid w:val="00B62B58"/>
    <w:rsid w:val="00B65149"/>
    <w:rsid w:val="00B65210"/>
    <w:rsid w:val="00B66567"/>
    <w:rsid w:val="00B66F52"/>
    <w:rsid w:val="00B66FE5"/>
    <w:rsid w:val="00B72880"/>
    <w:rsid w:val="00B758BF"/>
    <w:rsid w:val="00B77EC8"/>
    <w:rsid w:val="00B827A6"/>
    <w:rsid w:val="00B831CE"/>
    <w:rsid w:val="00B86677"/>
    <w:rsid w:val="00B87131"/>
    <w:rsid w:val="00B87B7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3E21CC"/>
    <w:rsid w:val="0BB93035"/>
    <w:rsid w:val="105A2DDD"/>
    <w:rsid w:val="22237002"/>
    <w:rsid w:val="2E2A34AD"/>
    <w:rsid w:val="2EF27D46"/>
    <w:rsid w:val="2F4155EA"/>
    <w:rsid w:val="3272715D"/>
    <w:rsid w:val="345F4AE7"/>
    <w:rsid w:val="36251143"/>
    <w:rsid w:val="43F25270"/>
    <w:rsid w:val="4B191CF0"/>
    <w:rsid w:val="6AD405D7"/>
    <w:rsid w:val="70C3404C"/>
    <w:rsid w:val="7957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3"/>
    <w:qFormat/>
    <w:uiPriority w:val="0"/>
    <w:rPr>
      <w:rFonts w:ascii="Times New Roman" w:hAnsi="Times New Roman" w:eastAsia="宋体" w:cs="Times New Roman"/>
      <w:b/>
      <w:bCs/>
      <w:kern w:val="44"/>
      <w:sz w:val="44"/>
      <w:szCs w:val="44"/>
    </w:rPr>
  </w:style>
  <w:style w:type="character" w:customStyle="1" w:styleId="36">
    <w:name w:val="标题 2 Char"/>
    <w:link w:val="4"/>
    <w:qFormat/>
    <w:uiPriority w:val="0"/>
    <w:rPr>
      <w:rFonts w:ascii="Arial" w:hAnsi="Arial" w:eastAsia="黑体" w:cs="Times New Roman"/>
      <w:b/>
      <w:bCs/>
      <w:sz w:val="32"/>
      <w:szCs w:val="32"/>
    </w:rPr>
  </w:style>
  <w:style w:type="character" w:customStyle="1" w:styleId="37">
    <w:name w:val="标题 3 Char"/>
    <w:link w:val="5"/>
    <w:qFormat/>
    <w:uiPriority w:val="0"/>
    <w:rPr>
      <w:rFonts w:ascii="Times New Roman" w:hAnsi="Times New Roman" w:eastAsia="宋体" w:cs="Times New Roman"/>
      <w:b/>
      <w:bCs/>
      <w:sz w:val="32"/>
      <w:szCs w:val="32"/>
    </w:rPr>
  </w:style>
  <w:style w:type="character" w:customStyle="1" w:styleId="38">
    <w:name w:val="标题 4 Char"/>
    <w:link w:val="6"/>
    <w:qFormat/>
    <w:uiPriority w:val="0"/>
    <w:rPr>
      <w:rFonts w:ascii="Arial" w:hAnsi="Arial" w:eastAsia="黑体" w:cs="Times New Roman"/>
      <w:b/>
      <w:bCs/>
      <w:sz w:val="28"/>
      <w:szCs w:val="28"/>
    </w:rPr>
  </w:style>
  <w:style w:type="character" w:customStyle="1" w:styleId="39">
    <w:name w:val="标题 5 Char"/>
    <w:link w:val="7"/>
    <w:qFormat/>
    <w:uiPriority w:val="0"/>
    <w:rPr>
      <w:rFonts w:ascii="Times New Roman" w:hAnsi="Times New Roman" w:eastAsia="宋体" w:cs="Times New Roman"/>
      <w:b/>
      <w:bCs/>
      <w:sz w:val="28"/>
      <w:szCs w:val="28"/>
    </w:rPr>
  </w:style>
  <w:style w:type="character" w:customStyle="1" w:styleId="40">
    <w:name w:val="标题 6 Char"/>
    <w:link w:val="8"/>
    <w:qFormat/>
    <w:uiPriority w:val="0"/>
    <w:rPr>
      <w:rFonts w:ascii="Arial" w:hAnsi="Arial" w:eastAsia="黑体" w:cs="Times New Roman"/>
      <w:b/>
      <w:bCs/>
      <w:sz w:val="24"/>
      <w:szCs w:val="24"/>
    </w:rPr>
  </w:style>
  <w:style w:type="character" w:customStyle="1" w:styleId="41">
    <w:name w:val="标题 7 Char"/>
    <w:link w:val="9"/>
    <w:qFormat/>
    <w:uiPriority w:val="0"/>
    <w:rPr>
      <w:rFonts w:ascii="Times New Roman" w:hAnsi="Times New Roman" w:eastAsia="宋体" w:cs="Times New Roman"/>
      <w:b/>
      <w:bCs/>
      <w:sz w:val="24"/>
      <w:szCs w:val="24"/>
    </w:rPr>
  </w:style>
  <w:style w:type="character" w:customStyle="1" w:styleId="42">
    <w:name w:val="标题 8 Char"/>
    <w:link w:val="10"/>
    <w:qFormat/>
    <w:uiPriority w:val="0"/>
    <w:rPr>
      <w:rFonts w:ascii="Arial" w:hAnsi="Arial" w:eastAsia="黑体" w:cs="Times New Roman"/>
      <w:sz w:val="24"/>
      <w:szCs w:val="24"/>
    </w:rPr>
  </w:style>
  <w:style w:type="character" w:customStyle="1" w:styleId="43">
    <w:name w:val="标题 9 Char"/>
    <w:link w:val="11"/>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4.jpe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jpeg"/><Relationship Id="rId24" Type="http://schemas.openxmlformats.org/officeDocument/2006/relationships/image" Target="media/image10.png"/><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emf"/><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1382BEB6334716A3C4C81BC1FFB301"/>
        <w:style w:val=""/>
        <w:category>
          <w:name w:val="常规"/>
          <w:gallery w:val="placeholder"/>
        </w:category>
        <w:types>
          <w:type w:val="bbPlcHdr"/>
        </w:types>
        <w:behaviors>
          <w:behavior w:val="content"/>
        </w:behaviors>
        <w:description w:val=""/>
        <w:guid w:val="{8A268A8B-AADC-4170-A6F6-AD4F2FD9B215}"/>
      </w:docPartPr>
      <w:docPartBody>
        <w:p>
          <w:pPr>
            <w:pStyle w:val="5"/>
          </w:pPr>
          <w:r>
            <w:rPr>
              <w:rStyle w:val="4"/>
              <w:rFonts w:hint="eastAsia"/>
            </w:rPr>
            <w:t>单击或点击此处输入文字。</w:t>
          </w:r>
        </w:p>
      </w:docPartBody>
    </w:docPart>
    <w:docPart>
      <w:docPartPr>
        <w:name w:val="2210F4A9D9514149AC47FA0AB2C24B49"/>
        <w:style w:val=""/>
        <w:category>
          <w:name w:val="常规"/>
          <w:gallery w:val="placeholder"/>
        </w:category>
        <w:types>
          <w:type w:val="bbPlcHdr"/>
        </w:types>
        <w:behaviors>
          <w:behavior w:val="content"/>
        </w:behaviors>
        <w:description w:val=""/>
        <w:guid w:val="{D2027BD7-8BA1-446D-B135-4E99C2180F1B}"/>
      </w:docPartPr>
      <w:docPartBody>
        <w:p>
          <w:pPr>
            <w:pStyle w:val="6"/>
          </w:pPr>
          <w:r>
            <w:rPr>
              <w:rStyle w:val="4"/>
              <w:rFonts w:hint="eastAsia"/>
            </w:rPr>
            <w:t>选择一项。</w:t>
          </w:r>
        </w:p>
      </w:docPartBody>
    </w:docPart>
    <w:docPart>
      <w:docPartPr>
        <w:name w:val="B6C04ECD658C4D36A0E55EFDD044BECF"/>
        <w:style w:val=""/>
        <w:category>
          <w:name w:val="常规"/>
          <w:gallery w:val="placeholder"/>
        </w:category>
        <w:types>
          <w:type w:val="bbPlcHdr"/>
        </w:types>
        <w:behaviors>
          <w:behavior w:val="content"/>
        </w:behaviors>
        <w:description w:val=""/>
        <w:guid w:val="{2E546DE0-DB33-424F-B8E4-D5B81816561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E9"/>
    <w:rsid w:val="00013535"/>
    <w:rsid w:val="001925AF"/>
    <w:rsid w:val="002964A9"/>
    <w:rsid w:val="003E5AE9"/>
    <w:rsid w:val="00765C63"/>
    <w:rsid w:val="00C85B96"/>
    <w:rsid w:val="00D1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21382BEB6334716A3C4C81BC1FFB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210F4A9D9514149AC47FA0AB2C24B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6C04ECD658C4D36A0E55EFDD044BEC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C532C-09DA-447C-B79A-8AD53275FC7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6102</Words>
  <Characters>6849</Characters>
  <Lines>61</Lines>
  <Paragraphs>17</Paragraphs>
  <TotalTime>55</TotalTime>
  <ScaleCrop>false</ScaleCrop>
  <LinksUpToDate>false</LinksUpToDate>
  <CharactersWithSpaces>7112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2021-03-29T03:30:00Z</dcterms:created>
  <dc:creator>李琰</dc:creator>
  <dc:description>&lt;config cover="true" show_menu="true" version="1.0.0" doctype="SDKXY"&gt;_x000d_
&lt;/config&gt;</dc:description>
  <cp:lastModifiedBy>王亚楠</cp:lastModifiedBy>
  <cp:lastPrinted>2020-08-30T10:00:00Z</cp:lastPrinted>
  <dcterms:modified xsi:type="dcterms:W3CDTF">2022-06-20T00:43:11Z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B8B16A219E1341CCBD3273AF68B3D1A2</vt:lpwstr>
  </property>
</Properties>
</file>